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36732" w:rsidRPr="007743B9" w:rsidRDefault="00525E73" w:rsidP="007743B9">
      <w:pPr>
        <w:keepLines/>
        <w:tabs>
          <w:tab w:val="left" w:pos="142"/>
        </w:tabs>
        <w:jc w:val="both"/>
        <w:rPr>
          <w:rFonts w:ascii="Foundry Form Sans" w:hAnsi="Foundry Form Sans" w:cs="Arial"/>
          <w:color w:val="000080"/>
        </w:rPr>
      </w:pP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104775</wp:posOffset>
                </wp:positionH>
                <wp:positionV relativeFrom="paragraph">
                  <wp:posOffset>2540</wp:posOffset>
                </wp:positionV>
                <wp:extent cx="5734050" cy="752475"/>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752475"/>
                        </a:xfrm>
                        <a:prstGeom prst="rect">
                          <a:avLst/>
                        </a:prstGeom>
                        <a:solidFill>
                          <a:srgbClr val="A0A0A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21C" w:rsidRDefault="0047621C">
                            <w:pPr>
                              <w:rPr>
                                <w:rFonts w:ascii="Foundry Form Sans" w:hAnsi="Foundry Form Sans"/>
                                <w:b/>
                                <w:color w:val="FFFFFF"/>
                                <w:sz w:val="40"/>
                                <w:szCs w:val="40"/>
                              </w:rPr>
                            </w:pPr>
                            <w:r w:rsidRPr="007743B9">
                              <w:rPr>
                                <w:rFonts w:ascii="Foundry Form Sans" w:hAnsi="Foundry Form Sans"/>
                                <w:b/>
                                <w:color w:val="FFFFFF"/>
                                <w:sz w:val="40"/>
                                <w:szCs w:val="40"/>
                              </w:rPr>
                              <w:t>DIRECTORATE OF AUDIT, RISK AND ASSURANCE</w:t>
                            </w:r>
                            <w:r>
                              <w:rPr>
                                <w:rFonts w:ascii="Foundry Form Sans" w:hAnsi="Foundry Form Sans"/>
                                <w:b/>
                                <w:color w:val="FFFFFF"/>
                                <w:sz w:val="40"/>
                                <w:szCs w:val="40"/>
                              </w:rPr>
                              <w:t xml:space="preserve"> </w:t>
                            </w:r>
                          </w:p>
                          <w:p w:rsidR="0047621C" w:rsidRPr="007743B9" w:rsidRDefault="0047621C" w:rsidP="003D2E6B">
                            <w:pPr>
                              <w:jc w:val="center"/>
                              <w:rPr>
                                <w:rFonts w:ascii="Foundry Form Sans" w:hAnsi="Foundry Form Sans"/>
                                <w:b/>
                                <w:color w:val="FFFFFF"/>
                                <w:sz w:val="40"/>
                                <w:szCs w:val="40"/>
                              </w:rPr>
                            </w:pPr>
                            <w:r>
                              <w:rPr>
                                <w:rFonts w:ascii="Foundry Form Sans" w:hAnsi="Foundry Form Sans"/>
                                <w:b/>
                                <w:color w:val="FFFFFF"/>
                                <w:sz w:val="40"/>
                                <w:szCs w:val="40"/>
                              </w:rPr>
                              <w:t>Internal Audit Service to the GLA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25pt;margin-top:.2pt;width:451.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" fillcolor="#a0a0aa" stroked="f">
                <v:textbox>
                  <w:txbxContent>
                    <w:p w:rsidR="0047621C" w:rsidRDefault="0047621C">
                      <w:pPr>
                        <w:rPr>
                          <w:rFonts w:ascii="Foundry Form Sans" w:hAnsi="Foundry Form Sans"/>
                          <w:b/>
                          <w:color w:val="FFFFFF"/>
                          <w:sz w:val="40"/>
                          <w:szCs w:val="40"/>
                        </w:rPr>
                      </w:pPr>
                      <w:r w:rsidRPr="007743B9">
                        <w:rPr>
                          <w:rFonts w:ascii="Foundry Form Sans" w:hAnsi="Foundry Form Sans"/>
                          <w:b/>
                          <w:color w:val="FFFFFF"/>
                          <w:sz w:val="40"/>
                          <w:szCs w:val="40"/>
                        </w:rPr>
                        <w:t>DIRECTORATE OF AUDIT, RISK AND ASSURANCE</w:t>
                      </w:r>
                      <w:r>
                        <w:rPr>
                          <w:rFonts w:ascii="Foundry Form Sans" w:hAnsi="Foundry Form Sans"/>
                          <w:b/>
                          <w:color w:val="FFFFFF"/>
                          <w:sz w:val="40"/>
                          <w:szCs w:val="40"/>
                        </w:rPr>
                        <w:t xml:space="preserve"> </w:t>
                      </w:r>
                    </w:p>
                    <w:p w:rsidR="0047621C" w:rsidRPr="007743B9" w:rsidRDefault="0047621C" w:rsidP="003D2E6B">
                      <w:pPr>
                        <w:jc w:val="center"/>
                        <w:rPr>
                          <w:rFonts w:ascii="Foundry Form Sans" w:hAnsi="Foundry Form Sans"/>
                          <w:b/>
                          <w:color w:val="FFFFFF"/>
                          <w:sz w:val="40"/>
                          <w:szCs w:val="40"/>
                        </w:rPr>
                      </w:pPr>
                      <w:r>
                        <w:rPr>
                          <w:rFonts w:ascii="Foundry Form Sans" w:hAnsi="Foundry Form Sans"/>
                          <w:b/>
                          <w:color w:val="FFFFFF"/>
                          <w:sz w:val="40"/>
                          <w:szCs w:val="40"/>
                        </w:rPr>
                        <w:t>Internal Audit Service to the GLA</w:t>
                      </w:r>
                    </w:p>
                  </w:txbxContent>
                </v:textbox>
              </v:shape>
            </w:pict>
          </mc:Fallback>
        </mc:AlternateContent>
      </w:r>
    </w:p>
    <w:p w:rsidR="005D3F3E" w:rsidRDefault="005D07E0" w:rsidP="007743B9">
      <w:pPr>
        <w:tabs>
          <w:tab w:val="left" w:pos="9214"/>
        </w:tabs>
        <w:autoSpaceDE w:val="0"/>
        <w:autoSpaceDN w:val="0"/>
        <w:adjustRightInd w:val="0"/>
        <w:ind w:left="426" w:right="-733"/>
        <w:jc w:val="center"/>
        <w:rPr>
          <w:rFonts w:ascii="Foundry Form Sans" w:hAnsi="Foundry Form Sans" w:cs="Calibri-Bold"/>
          <w:bCs/>
          <w:color w:val="008469"/>
          <w:sz w:val="72"/>
          <w:szCs w:val="72"/>
        </w:rPr>
      </w:pPr>
      <w:r>
        <w:rPr>
          <w:rFonts w:ascii="Foundry Form Sans" w:hAnsi="Foundry Form Sans" w:cs="Calibri-Bold"/>
          <w:bCs/>
          <w:color w:val="0070C0"/>
          <w:sz w:val="40"/>
          <w:szCs w:val="40"/>
        </w:rPr>
        <w:t>FF</w:t>
      </w:r>
    </w:p>
    <w:p w:rsidR="006C452F" w:rsidRPr="007743B9" w:rsidRDefault="006C452F" w:rsidP="007E2902">
      <w:pPr>
        <w:tabs>
          <w:tab w:val="left" w:pos="142"/>
          <w:tab w:val="left" w:pos="9214"/>
        </w:tabs>
        <w:autoSpaceDE w:val="0"/>
        <w:autoSpaceDN w:val="0"/>
        <w:adjustRightInd w:val="0"/>
        <w:ind w:left="426" w:right="-733"/>
        <w:jc w:val="center"/>
        <w:rPr>
          <w:rFonts w:ascii="Foundry Form Sans" w:hAnsi="Foundry Form Sans" w:cs="Calibri-Bold"/>
          <w:bCs/>
          <w:sz w:val="24"/>
          <w:szCs w:val="24"/>
        </w:rPr>
      </w:pPr>
    </w:p>
    <w:p w:rsidR="0057284A" w:rsidRPr="009037E8" w:rsidRDefault="0057284A" w:rsidP="0057284A">
      <w:pPr>
        <w:rPr>
          <w:rFonts w:ascii="Arial" w:hAnsi="Arial" w:cs="Arial"/>
        </w:rPr>
      </w:pPr>
    </w:p>
    <w:p w:rsidR="0057284A" w:rsidRPr="009037E8" w:rsidRDefault="0057284A" w:rsidP="0057284A">
      <w:pPr>
        <w:rPr>
          <w:rFonts w:ascii="Arial" w:hAnsi="Arial" w:cs="Arial"/>
        </w:rPr>
      </w:pPr>
    </w:p>
    <w:p w:rsidR="00F058CF" w:rsidRPr="009037E8" w:rsidRDefault="00F058CF" w:rsidP="0057284A">
      <w:pPr>
        <w:rPr>
          <w:rFonts w:ascii="Arial" w:hAnsi="Arial" w:cs="Arial"/>
        </w:rPr>
      </w:pPr>
    </w:p>
    <w:p w:rsidR="0057284A" w:rsidRPr="009037E8" w:rsidRDefault="0057284A" w:rsidP="0057284A">
      <w:pPr>
        <w:rPr>
          <w:rFonts w:ascii="Arial" w:hAnsi="Arial" w:cs="Arial"/>
        </w:rPr>
      </w:pPr>
    </w:p>
    <w:p w:rsidR="0057284A" w:rsidRPr="009037E8" w:rsidRDefault="0057284A" w:rsidP="0057284A">
      <w:pPr>
        <w:rPr>
          <w:rFonts w:ascii="Arial" w:hAnsi="Arial" w:cs="Arial"/>
        </w:rPr>
      </w:pPr>
    </w:p>
    <w:p w:rsidR="00374DF5" w:rsidRPr="009037E8" w:rsidRDefault="00374DF5" w:rsidP="0057284A">
      <w:pPr>
        <w:rPr>
          <w:rFonts w:ascii="Arial" w:hAnsi="Arial" w:cs="Arial"/>
        </w:rPr>
      </w:pPr>
    </w:p>
    <w:p w:rsidR="00374DF5" w:rsidRPr="009037E8" w:rsidRDefault="00374DF5" w:rsidP="0057284A">
      <w:pPr>
        <w:rPr>
          <w:rFonts w:ascii="Arial" w:hAnsi="Arial" w:cs="Arial"/>
        </w:rPr>
      </w:pPr>
    </w:p>
    <w:p w:rsidR="00374DF5" w:rsidRPr="009037E8" w:rsidRDefault="00374DF5" w:rsidP="0057284A">
      <w:pPr>
        <w:rPr>
          <w:rFonts w:ascii="Arial" w:hAnsi="Arial" w:cs="Arial"/>
        </w:rPr>
      </w:pPr>
    </w:p>
    <w:p w:rsidR="00374DF5" w:rsidRPr="009037E8" w:rsidRDefault="00374DF5" w:rsidP="0057284A">
      <w:pPr>
        <w:rPr>
          <w:rFonts w:ascii="Arial" w:hAnsi="Arial" w:cs="Arial"/>
        </w:rPr>
      </w:pPr>
    </w:p>
    <w:p w:rsidR="0057284A" w:rsidRPr="009037E8" w:rsidRDefault="0057284A" w:rsidP="0057284A">
      <w:pPr>
        <w:rPr>
          <w:rFonts w:ascii="Arial" w:hAnsi="Arial" w:cs="Arial"/>
        </w:rPr>
      </w:pPr>
    </w:p>
    <w:p w:rsidR="0057284A" w:rsidRPr="009037E8" w:rsidRDefault="009037E8" w:rsidP="004A5B8D">
      <w:pPr>
        <w:ind w:left="3600"/>
        <w:rPr>
          <w:rFonts w:ascii="Arial" w:hAnsi="Arial" w:cs="Arial"/>
        </w:rPr>
      </w:pPr>
      <w:r w:rsidRPr="009037E8">
        <w:rPr>
          <w:rFonts w:ascii="Arial Narrow" w:hAnsi="Arial Narrow" w:cs="Arial"/>
          <w:noProof/>
          <w:color w:val="A6A6A6" w:themeColor="background1" w:themeShade="A6"/>
          <w:sz w:val="72"/>
          <w:szCs w:val="72"/>
          <w:lang w:eastAsia="en-GB"/>
        </w:rPr>
        <mc:AlternateContent>
          <mc:Choice Requires="wps">
            <w:drawing>
              <wp:anchor distT="0" distB="0" distL="114300" distR="114300" simplePos="0" relativeHeight="251657728" behindDoc="0" locked="0" layoutInCell="1" allowOverlap="1" wp14:anchorId="46CF43F4" wp14:editId="186EB44C">
                <wp:simplePos x="0" y="0"/>
                <wp:positionH relativeFrom="margin">
                  <wp:posOffset>19050</wp:posOffset>
                </wp:positionH>
                <wp:positionV relativeFrom="margin">
                  <wp:posOffset>3136900</wp:posOffset>
                </wp:positionV>
                <wp:extent cx="5819775" cy="800100"/>
                <wp:effectExtent l="19050" t="1905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800100"/>
                        </a:xfrm>
                        <a:prstGeom prst="rect">
                          <a:avLst/>
                        </a:prstGeom>
                        <a:noFill/>
                        <a:ln w="31750">
                          <a:solidFill>
                            <a:srgbClr val="A0A0AA"/>
                          </a:solidFill>
                          <a:miter lim="800000"/>
                          <a:headEnd/>
                          <a:tailEnd/>
                        </a:ln>
                        <a:extLst>
                          <a:ext uri="{909E8E84-426E-40DD-AFC4-6F175D3DCCD1}">
                            <a14:hiddenFill xmlns:a14="http://schemas.microsoft.com/office/drawing/2010/main">
                              <a:solidFill>
                                <a:srgbClr val="A0A0AA"/>
                              </a:solidFill>
                            </a14:hiddenFill>
                          </a:ext>
                        </a:extLst>
                      </wps:spPr>
                      <wps:txbx>
                        <w:txbxContent>
                          <w:p w:rsidR="0047621C" w:rsidRDefault="005653EF" w:rsidP="005241AB">
                            <w:pPr>
                              <w:ind w:right="119"/>
                              <w:jc w:val="center"/>
                            </w:pPr>
                            <w:r>
                              <w:rPr>
                                <w:rFonts w:ascii="Foundry Form Sans" w:hAnsi="Foundry Form Sans" w:cs="Calibri-Bold"/>
                                <w:b/>
                                <w:bCs/>
                                <w:color w:val="A0A0AA"/>
                                <w:sz w:val="40"/>
                                <w:szCs w:val="40"/>
                              </w:rPr>
                              <w:t xml:space="preserve">Follow up </w:t>
                            </w:r>
                            <w:r w:rsidR="006B43C9">
                              <w:rPr>
                                <w:rFonts w:ascii="Foundry Form Sans" w:hAnsi="Foundry Form Sans" w:cs="Calibri-Bold"/>
                                <w:b/>
                                <w:bCs/>
                                <w:color w:val="A0A0AA"/>
                                <w:sz w:val="40"/>
                                <w:szCs w:val="40"/>
                              </w:rPr>
                              <w:t>Review of Debtors/Sundry Income Control Framework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pt;margin-top:247pt;width:458.25pt;height:63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" filled="f" fillcolor="#a0a0aa" strokecolor="#a0a0aa" strokeweight="2.5pt">
                <v:textbox>
                  <w:txbxContent>
                    <w:p w:rsidR="0047621C" w:rsidRDefault="005653EF" w:rsidP="005241AB">
                      <w:pPr>
                        <w:ind w:right="119"/>
                        <w:jc w:val="center"/>
                      </w:pPr>
                      <w:r>
                        <w:rPr>
                          <w:rFonts w:ascii="Foundry Form Sans" w:hAnsi="Foundry Form Sans" w:cs="Calibri-Bold"/>
                          <w:b/>
                          <w:bCs/>
                          <w:color w:val="A0A0AA"/>
                          <w:sz w:val="40"/>
                          <w:szCs w:val="40"/>
                        </w:rPr>
                        <w:t xml:space="preserve">Follow up </w:t>
                      </w:r>
                      <w:r w:rsidR="006B43C9">
                        <w:rPr>
                          <w:rFonts w:ascii="Foundry Form Sans" w:hAnsi="Foundry Form Sans" w:cs="Calibri-Bold"/>
                          <w:b/>
                          <w:bCs/>
                          <w:color w:val="A0A0AA"/>
                          <w:sz w:val="40"/>
                          <w:szCs w:val="40"/>
                        </w:rPr>
                        <w:t>Review of Debtors/Sundry Income Control Framework</w:t>
                      </w:r>
                    </w:p>
                  </w:txbxContent>
                </v:textbox>
                <w10:wrap anchorx="margin" anchory="margin"/>
              </v:shape>
            </w:pict>
          </mc:Fallback>
        </mc:AlternateContent>
      </w:r>
    </w:p>
    <w:p w:rsidR="0057284A" w:rsidRPr="009037E8" w:rsidRDefault="0057284A" w:rsidP="0057284A">
      <w:pPr>
        <w:rPr>
          <w:rFonts w:ascii="Arial" w:hAnsi="Arial" w:cs="Arial"/>
        </w:rPr>
      </w:pPr>
    </w:p>
    <w:p w:rsidR="003247D8" w:rsidRPr="009037E8" w:rsidRDefault="003247D8" w:rsidP="00172702">
      <w:pPr>
        <w:keepLines/>
        <w:jc w:val="both"/>
        <w:rPr>
          <w:rFonts w:ascii="Foundry Form Sans" w:hAnsi="Foundry Form Sans" w:cs="Arial"/>
          <w:color w:val="000080"/>
        </w:rPr>
      </w:pPr>
    </w:p>
    <w:p w:rsidR="005D3F3E" w:rsidRPr="007743B9" w:rsidRDefault="005D3F3E" w:rsidP="00172702">
      <w:pPr>
        <w:keepLines/>
        <w:jc w:val="both"/>
        <w:rPr>
          <w:rFonts w:ascii="Foundry Form Sans" w:hAnsi="Foundry Form Sans" w:cs="Arial"/>
          <w:color w:val="000080"/>
        </w:rPr>
        <w:sectPr w:rsidR="005D3F3E" w:rsidRPr="007743B9" w:rsidSect="007743B9">
          <w:headerReference w:type="default" r:id="rId8"/>
          <w:footerReference w:type="default" r:id="rId9"/>
          <w:headerReference w:type="first" r:id="rId10"/>
          <w:footerReference w:type="first" r:id="rId11"/>
          <w:pgSz w:w="11909" w:h="16834" w:code="9"/>
          <w:pgMar w:top="1440" w:right="569" w:bottom="1440" w:left="1440" w:header="709" w:footer="709" w:gutter="0"/>
          <w:cols w:space="720"/>
          <w:titlePg/>
          <w:docGrid w:linePitch="272"/>
        </w:sectPr>
      </w:pPr>
    </w:p>
    <w:p w:rsidR="004F653F" w:rsidRPr="001E1A62" w:rsidRDefault="00A33010" w:rsidP="004F653F">
      <w:pPr>
        <w:numPr>
          <w:ilvl w:val="0"/>
          <w:numId w:val="16"/>
        </w:numPr>
        <w:ind w:left="709" w:hanging="709"/>
        <w:rPr>
          <w:rFonts w:ascii="Arial Narrow" w:hAnsi="Arial Narrow" w:cs="Arial"/>
          <w:b/>
          <w:color w:val="548DD4"/>
          <w:sz w:val="28"/>
          <w:szCs w:val="28"/>
        </w:rPr>
      </w:pPr>
      <w:r w:rsidRPr="001E1A62">
        <w:rPr>
          <w:rFonts w:ascii="Arial Narrow" w:hAnsi="Arial Narrow" w:cs="Arial"/>
          <w:b/>
          <w:color w:val="548DD4"/>
          <w:sz w:val="28"/>
          <w:szCs w:val="28"/>
        </w:rPr>
        <w:lastRenderedPageBreak/>
        <w:t>Background</w:t>
      </w:r>
    </w:p>
    <w:p w:rsidR="00524159" w:rsidRPr="00C87E11" w:rsidRDefault="00524159" w:rsidP="00524159">
      <w:pPr>
        <w:keepLines/>
        <w:ind w:left="720" w:right="29" w:hanging="720"/>
        <w:jc w:val="both"/>
        <w:rPr>
          <w:rFonts w:ascii="Arial" w:hAnsi="Arial" w:cs="Arial"/>
          <w:sz w:val="24"/>
          <w:szCs w:val="24"/>
        </w:rPr>
      </w:pPr>
    </w:p>
    <w:p w:rsidR="00E97CA4" w:rsidRPr="00E97CA4" w:rsidRDefault="00524159" w:rsidP="00E97CA4">
      <w:pPr>
        <w:pStyle w:val="BodyText3"/>
        <w:ind w:left="720" w:hanging="720"/>
        <w:rPr>
          <w:rFonts w:ascii="Arial" w:hAnsi="Arial" w:cs="Arial"/>
          <w:szCs w:val="24"/>
        </w:rPr>
      </w:pPr>
      <w:r w:rsidRPr="00FC3AFA">
        <w:rPr>
          <w:rFonts w:ascii="Arial" w:hAnsi="Arial" w:cs="Arial"/>
          <w:szCs w:val="24"/>
        </w:rPr>
        <w:t>1.1</w:t>
      </w:r>
      <w:r w:rsidRPr="00FC3AFA">
        <w:rPr>
          <w:rFonts w:ascii="Arial" w:hAnsi="Arial" w:cs="Arial"/>
          <w:szCs w:val="24"/>
        </w:rPr>
        <w:tab/>
      </w:r>
      <w:r w:rsidR="00E97CA4" w:rsidRPr="00E97CA4">
        <w:rPr>
          <w:rFonts w:ascii="Arial" w:hAnsi="Arial" w:cs="Arial"/>
          <w:szCs w:val="24"/>
        </w:rPr>
        <w:t xml:space="preserve">This audit follows up the progress made towards implementing the </w:t>
      </w:r>
      <w:r w:rsidR="005241AB">
        <w:rPr>
          <w:rFonts w:ascii="Arial" w:hAnsi="Arial" w:cs="Arial"/>
          <w:szCs w:val="24"/>
        </w:rPr>
        <w:t>three</w:t>
      </w:r>
      <w:r w:rsidR="000E4168">
        <w:rPr>
          <w:rFonts w:ascii="Arial" w:hAnsi="Arial" w:cs="Arial"/>
          <w:szCs w:val="24"/>
        </w:rPr>
        <w:t xml:space="preserve"> </w:t>
      </w:r>
      <w:r w:rsidR="00E97CA4" w:rsidRPr="00E97CA4">
        <w:rPr>
          <w:rFonts w:ascii="Arial" w:hAnsi="Arial" w:cs="Arial"/>
          <w:szCs w:val="24"/>
        </w:rPr>
        <w:t>agreed re</w:t>
      </w:r>
      <w:r w:rsidR="006F21C1">
        <w:rPr>
          <w:rFonts w:ascii="Arial" w:hAnsi="Arial" w:cs="Arial"/>
          <w:szCs w:val="24"/>
        </w:rPr>
        <w:t>commendation</w:t>
      </w:r>
      <w:r w:rsidR="00E16670">
        <w:rPr>
          <w:rFonts w:ascii="Arial" w:hAnsi="Arial" w:cs="Arial"/>
          <w:szCs w:val="24"/>
        </w:rPr>
        <w:t>s</w:t>
      </w:r>
      <w:r w:rsidR="006F21C1">
        <w:rPr>
          <w:rFonts w:ascii="Arial" w:hAnsi="Arial" w:cs="Arial"/>
          <w:szCs w:val="24"/>
        </w:rPr>
        <w:t xml:space="preserve"> from the audit of </w:t>
      </w:r>
      <w:r w:rsidR="005241AB">
        <w:rPr>
          <w:rFonts w:ascii="Arial" w:hAnsi="Arial" w:cs="Arial"/>
          <w:szCs w:val="24"/>
        </w:rPr>
        <w:t xml:space="preserve">the </w:t>
      </w:r>
      <w:r w:rsidR="006B43C9" w:rsidRPr="006B43C9">
        <w:rPr>
          <w:rFonts w:ascii="Arial" w:hAnsi="Arial" w:cs="Arial"/>
          <w:szCs w:val="24"/>
        </w:rPr>
        <w:t>Debtors/Sundry Income Control Framework</w:t>
      </w:r>
      <w:r w:rsidR="0098617A">
        <w:rPr>
          <w:rFonts w:ascii="Arial" w:hAnsi="Arial" w:cs="Arial"/>
          <w:szCs w:val="24"/>
        </w:rPr>
        <w:t xml:space="preserve"> that was completed in </w:t>
      </w:r>
      <w:r w:rsidR="006B43C9">
        <w:rPr>
          <w:rFonts w:ascii="Arial" w:hAnsi="Arial" w:cs="Arial"/>
          <w:szCs w:val="24"/>
        </w:rPr>
        <w:t xml:space="preserve">November </w:t>
      </w:r>
      <w:r w:rsidR="005241AB">
        <w:rPr>
          <w:rFonts w:ascii="Arial" w:hAnsi="Arial" w:cs="Arial"/>
          <w:szCs w:val="24"/>
        </w:rPr>
        <w:t>201</w:t>
      </w:r>
      <w:r w:rsidR="006B43C9">
        <w:rPr>
          <w:rFonts w:ascii="Arial" w:hAnsi="Arial" w:cs="Arial"/>
          <w:szCs w:val="24"/>
        </w:rPr>
        <w:t>4</w:t>
      </w:r>
      <w:r w:rsidR="000E4168">
        <w:rPr>
          <w:rFonts w:ascii="Arial" w:hAnsi="Arial" w:cs="Arial"/>
          <w:szCs w:val="24"/>
        </w:rPr>
        <w:t>.</w:t>
      </w:r>
    </w:p>
    <w:p w:rsidR="00E97CA4" w:rsidRPr="00E97CA4" w:rsidRDefault="00E97CA4" w:rsidP="00E97CA4">
      <w:pPr>
        <w:pStyle w:val="BodyText3"/>
        <w:rPr>
          <w:rFonts w:ascii="Arial" w:hAnsi="Arial" w:cs="Arial"/>
          <w:szCs w:val="24"/>
        </w:rPr>
      </w:pPr>
    </w:p>
    <w:p w:rsidR="00DA2E07" w:rsidRDefault="002412C3" w:rsidP="000E4168">
      <w:pPr>
        <w:pStyle w:val="Heading1"/>
        <w:numPr>
          <w:ilvl w:val="0"/>
          <w:numId w:val="16"/>
        </w:numPr>
        <w:rPr>
          <w:rFonts w:ascii="Arial Narrow" w:hAnsi="Arial Narrow" w:cs="Arial"/>
          <w:color w:val="548DD4"/>
          <w:sz w:val="28"/>
          <w:szCs w:val="28"/>
        </w:rPr>
      </w:pPr>
      <w:r w:rsidRPr="001E1A62">
        <w:rPr>
          <w:rFonts w:ascii="Arial Narrow" w:hAnsi="Arial Narrow" w:cs="Arial"/>
          <w:color w:val="548DD4"/>
          <w:sz w:val="28"/>
          <w:szCs w:val="28"/>
        </w:rPr>
        <w:t>Audit Assurance</w:t>
      </w:r>
    </w:p>
    <w:p w:rsidR="000E4168" w:rsidRDefault="000E4168" w:rsidP="00A12E31">
      <w:pPr>
        <w:tabs>
          <w:tab w:val="left" w:pos="567"/>
          <w:tab w:val="left" w:pos="709"/>
        </w:tabs>
        <w:ind w:left="390"/>
        <w:rPr>
          <w:rFonts w:ascii="Arial" w:hAnsi="Arial"/>
          <w:sz w:val="24"/>
        </w:rPr>
      </w:pPr>
    </w:p>
    <w:p w:rsidR="00491272" w:rsidRDefault="00525E73" w:rsidP="00A12E31">
      <w:pPr>
        <w:tabs>
          <w:tab w:val="left" w:pos="567"/>
          <w:tab w:val="left" w:pos="709"/>
        </w:tabs>
        <w:ind w:left="390"/>
        <w:rPr>
          <w:rFonts w:ascii="Arial" w:hAnsi="Arial"/>
          <w:sz w:val="24"/>
        </w:rPr>
      </w:pPr>
      <w:r>
        <w:rPr>
          <w:rFonts w:ascii="Arial" w:hAnsi="Arial"/>
          <w:noProof/>
          <w:sz w:val="24"/>
          <w:lang w:eastAsia="en-GB"/>
        </w:rPr>
        <mc:AlternateContent>
          <mc:Choice Requires="wps">
            <w:drawing>
              <wp:anchor distT="0" distB="0" distL="114300" distR="114300" simplePos="0" relativeHeight="251658752" behindDoc="0" locked="0" layoutInCell="1" allowOverlap="1">
                <wp:simplePos x="0" y="0"/>
                <wp:positionH relativeFrom="column">
                  <wp:posOffset>390525</wp:posOffset>
                </wp:positionH>
                <wp:positionV relativeFrom="paragraph">
                  <wp:posOffset>-1905</wp:posOffset>
                </wp:positionV>
                <wp:extent cx="5343525" cy="771525"/>
                <wp:effectExtent l="0" t="0" r="28575" b="285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71525"/>
                        </a:xfrm>
                        <a:prstGeom prst="rect">
                          <a:avLst/>
                        </a:prstGeom>
                        <a:solidFill>
                          <a:srgbClr val="B8CCE4"/>
                        </a:solidFill>
                        <a:ln w="12700">
                          <a:solidFill>
                            <a:srgbClr val="000000"/>
                          </a:solidFill>
                          <a:miter lim="800000"/>
                          <a:headEnd/>
                          <a:tailEnd/>
                        </a:ln>
                      </wps:spPr>
                      <wps:txbx>
                        <w:txbxContent>
                          <w:p w:rsidR="000E4168" w:rsidRPr="00B60178" w:rsidRDefault="000E4168" w:rsidP="000E4168">
                            <w:pPr>
                              <w:tabs>
                                <w:tab w:val="left" w:pos="567"/>
                                <w:tab w:val="left" w:pos="709"/>
                              </w:tabs>
                              <w:rPr>
                                <w:rFonts w:ascii="Arial" w:hAnsi="Arial"/>
                                <w:b/>
                                <w:sz w:val="24"/>
                              </w:rPr>
                            </w:pPr>
                            <w:r w:rsidRPr="00B60178">
                              <w:rPr>
                                <w:rFonts w:ascii="Arial" w:hAnsi="Arial"/>
                                <w:b/>
                                <w:sz w:val="24"/>
                              </w:rPr>
                              <w:t>Substantial</w:t>
                            </w:r>
                          </w:p>
                          <w:p w:rsidR="00E16670" w:rsidRPr="00E16670" w:rsidRDefault="000E4168" w:rsidP="000E4168">
                            <w:pPr>
                              <w:widowControl/>
                              <w:shd w:val="clear" w:color="auto" w:fill="B8CCE4"/>
                              <w:spacing w:after="120"/>
                              <w:ind w:right="-45"/>
                              <w:jc w:val="both"/>
                              <w:rPr>
                                <w:rFonts w:ascii="Arial" w:hAnsi="Arial" w:cs="Arial"/>
                                <w:sz w:val="24"/>
                              </w:rPr>
                            </w:pPr>
                            <w:r w:rsidRPr="000E4168">
                              <w:rPr>
                                <w:rFonts w:ascii="Arial" w:hAnsi="Arial"/>
                                <w:sz w:val="24"/>
                              </w:rPr>
                              <w:t>There is particularly effective management of key risks contributing to the achievement of business objectives.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30.75pt;margin-top:-.15pt;width:420.75pt;height:6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" fillcolor="#b8cce4" strokeweight="1pt">
                <v:textbox>
                  <w:txbxContent>
                    <w:p w:rsidR="000E4168" w:rsidRPr="00B60178" w:rsidRDefault="000E4168" w:rsidP="000E4168">
                      <w:pPr>
                        <w:tabs>
                          <w:tab w:val="left" w:pos="567"/>
                          <w:tab w:val="left" w:pos="709"/>
                        </w:tabs>
                        <w:rPr>
                          <w:rFonts w:ascii="Arial" w:hAnsi="Arial"/>
                          <w:b/>
                          <w:sz w:val="24"/>
                        </w:rPr>
                      </w:pPr>
                      <w:r w:rsidRPr="00B60178">
                        <w:rPr>
                          <w:rFonts w:ascii="Arial" w:hAnsi="Arial"/>
                          <w:b/>
                          <w:sz w:val="24"/>
                        </w:rPr>
                        <w:t>Substantial</w:t>
                      </w:r>
                    </w:p>
                    <w:p w:rsidR="00E16670" w:rsidRPr="00E16670" w:rsidRDefault="000E4168" w:rsidP="000E4168">
                      <w:pPr>
                        <w:widowControl/>
                        <w:shd w:val="clear" w:color="auto" w:fill="B8CCE4"/>
                        <w:spacing w:after="120"/>
                        <w:ind w:right="-45"/>
                        <w:jc w:val="both"/>
                        <w:rPr>
                          <w:rFonts w:ascii="Arial" w:hAnsi="Arial" w:cs="Arial"/>
                          <w:sz w:val="24"/>
                        </w:rPr>
                      </w:pPr>
                      <w:r w:rsidRPr="000E4168">
                        <w:rPr>
                          <w:rFonts w:ascii="Arial" w:hAnsi="Arial"/>
                          <w:sz w:val="24"/>
                        </w:rPr>
                        <w:t>There is particularly effective management of key risks contributing to the achievement of business objectives.</w:t>
                      </w:r>
                    </w:p>
                  </w:txbxContent>
                </v:textbox>
              </v:shape>
            </w:pict>
          </mc:Fallback>
        </mc:AlternateContent>
      </w:r>
    </w:p>
    <w:p w:rsidR="00A12E31" w:rsidRDefault="00A12E31" w:rsidP="00A12E31">
      <w:pPr>
        <w:tabs>
          <w:tab w:val="left" w:pos="567"/>
          <w:tab w:val="left" w:pos="709"/>
        </w:tabs>
        <w:ind w:left="390"/>
        <w:rPr>
          <w:rFonts w:ascii="Arial" w:hAnsi="Arial"/>
          <w:sz w:val="24"/>
        </w:rPr>
      </w:pPr>
    </w:p>
    <w:p w:rsidR="0057284A" w:rsidRDefault="0057284A" w:rsidP="00A12E31">
      <w:pPr>
        <w:tabs>
          <w:tab w:val="left" w:pos="567"/>
          <w:tab w:val="left" w:pos="709"/>
        </w:tabs>
        <w:ind w:left="390"/>
        <w:rPr>
          <w:rFonts w:ascii="Arial" w:hAnsi="Arial"/>
          <w:sz w:val="24"/>
        </w:rPr>
      </w:pPr>
    </w:p>
    <w:p w:rsidR="0057284A" w:rsidRDefault="0057284A" w:rsidP="00A12E31">
      <w:pPr>
        <w:tabs>
          <w:tab w:val="left" w:pos="567"/>
          <w:tab w:val="left" w:pos="709"/>
        </w:tabs>
        <w:ind w:left="390"/>
        <w:rPr>
          <w:rFonts w:ascii="Arial" w:hAnsi="Arial"/>
          <w:sz w:val="24"/>
        </w:rPr>
      </w:pPr>
    </w:p>
    <w:p w:rsidR="0057284A" w:rsidRDefault="0057284A" w:rsidP="00A12E31">
      <w:pPr>
        <w:tabs>
          <w:tab w:val="left" w:pos="567"/>
          <w:tab w:val="left" w:pos="709"/>
        </w:tabs>
        <w:ind w:left="390"/>
        <w:rPr>
          <w:rFonts w:ascii="Arial" w:hAnsi="Arial"/>
          <w:sz w:val="24"/>
        </w:rPr>
      </w:pPr>
    </w:p>
    <w:p w:rsidR="0057284A" w:rsidRDefault="0057284A" w:rsidP="00A12E31">
      <w:pPr>
        <w:tabs>
          <w:tab w:val="left" w:pos="567"/>
          <w:tab w:val="left" w:pos="709"/>
        </w:tabs>
        <w:ind w:left="390"/>
        <w:rPr>
          <w:rFonts w:ascii="Arial" w:hAnsi="Arial"/>
          <w:sz w:val="24"/>
        </w:rPr>
      </w:pPr>
    </w:p>
    <w:p w:rsidR="00004736" w:rsidRPr="001E1A62" w:rsidRDefault="003E3D07" w:rsidP="004F653F">
      <w:pPr>
        <w:pStyle w:val="Heading5"/>
        <w:keepNext/>
        <w:keepLines/>
        <w:spacing w:before="0" w:after="0"/>
        <w:ind w:right="29"/>
        <w:jc w:val="both"/>
        <w:rPr>
          <w:rFonts w:ascii="Arial Narrow" w:hAnsi="Arial Narrow" w:cs="Arial"/>
          <w:i w:val="0"/>
          <w:color w:val="548DD4"/>
          <w:sz w:val="28"/>
          <w:szCs w:val="28"/>
        </w:rPr>
      </w:pPr>
      <w:r>
        <w:rPr>
          <w:rFonts w:ascii="Arial Narrow" w:hAnsi="Arial Narrow" w:cs="Arial"/>
          <w:i w:val="0"/>
          <w:color w:val="548DD4"/>
          <w:sz w:val="28"/>
          <w:szCs w:val="28"/>
        </w:rPr>
        <w:t>3</w:t>
      </w:r>
      <w:r w:rsidR="00004736" w:rsidRPr="001E1A62">
        <w:rPr>
          <w:rFonts w:ascii="Arial Narrow" w:hAnsi="Arial Narrow" w:cs="Arial"/>
          <w:i w:val="0"/>
          <w:color w:val="548DD4"/>
          <w:sz w:val="28"/>
          <w:szCs w:val="28"/>
        </w:rPr>
        <w:t>.</w:t>
      </w:r>
      <w:r w:rsidR="00004736" w:rsidRPr="001E1A62">
        <w:rPr>
          <w:rFonts w:ascii="Arial Narrow" w:hAnsi="Arial Narrow" w:cs="Arial"/>
          <w:i w:val="0"/>
          <w:color w:val="548DD4"/>
          <w:sz w:val="28"/>
          <w:szCs w:val="28"/>
        </w:rPr>
        <w:tab/>
      </w:r>
      <w:r w:rsidR="00C92A87">
        <w:rPr>
          <w:rFonts w:ascii="Arial Narrow" w:hAnsi="Arial Narrow" w:cs="Arial"/>
          <w:i w:val="0"/>
          <w:color w:val="548DD4"/>
          <w:sz w:val="28"/>
          <w:szCs w:val="28"/>
        </w:rPr>
        <w:t>Key Findings</w:t>
      </w:r>
    </w:p>
    <w:p w:rsidR="00004736" w:rsidRDefault="00004736" w:rsidP="004F653F">
      <w:pPr>
        <w:pStyle w:val="Heading5"/>
        <w:keepNext/>
        <w:keepLines/>
        <w:spacing w:before="0" w:after="0"/>
        <w:ind w:right="29"/>
        <w:jc w:val="both"/>
        <w:rPr>
          <w:rFonts w:ascii="Arial Narrow" w:hAnsi="Arial Narrow" w:cs="Arial"/>
          <w:i w:val="0"/>
          <w:color w:val="A0A0AA"/>
          <w:sz w:val="32"/>
          <w:szCs w:val="32"/>
        </w:rPr>
      </w:pPr>
    </w:p>
    <w:p w:rsidR="0057284A" w:rsidRDefault="0057284A" w:rsidP="0057284A">
      <w:pPr>
        <w:pStyle w:val="BodyText3"/>
        <w:numPr>
          <w:ilvl w:val="1"/>
          <w:numId w:val="49"/>
        </w:numPr>
        <w:ind w:left="709" w:hanging="709"/>
        <w:rPr>
          <w:rFonts w:ascii="Arial" w:eastAsia="Calibri" w:hAnsi="Arial" w:cs="Arial"/>
          <w:szCs w:val="24"/>
          <w:lang w:eastAsia="en-GB"/>
        </w:rPr>
      </w:pPr>
      <w:r w:rsidRPr="00B60178">
        <w:rPr>
          <w:rFonts w:ascii="Arial" w:eastAsia="Calibri" w:hAnsi="Arial" w:cs="Arial"/>
          <w:szCs w:val="24"/>
          <w:lang w:eastAsia="en-GB"/>
        </w:rPr>
        <w:t xml:space="preserve">The overall control framework for </w:t>
      </w:r>
      <w:r w:rsidR="006B43C9" w:rsidRPr="00B60178">
        <w:rPr>
          <w:rFonts w:ascii="Arial" w:hAnsi="Arial" w:cs="Arial"/>
          <w:szCs w:val="24"/>
        </w:rPr>
        <w:t xml:space="preserve">Debtors/Sundry Income Control Framework </w:t>
      </w:r>
      <w:r w:rsidRPr="00B60178">
        <w:rPr>
          <w:rFonts w:ascii="Arial" w:eastAsia="Calibri" w:hAnsi="Arial" w:cs="Arial"/>
          <w:szCs w:val="24"/>
          <w:lang w:eastAsia="en-GB"/>
        </w:rPr>
        <w:t xml:space="preserve">has improved. Since the original review </w:t>
      </w:r>
      <w:r w:rsidR="00B60178" w:rsidRPr="00B60178">
        <w:rPr>
          <w:rFonts w:ascii="Arial" w:eastAsia="Calibri" w:hAnsi="Arial" w:cs="Arial"/>
          <w:szCs w:val="24"/>
          <w:lang w:eastAsia="en-GB"/>
        </w:rPr>
        <w:t xml:space="preserve">all four </w:t>
      </w:r>
      <w:r w:rsidRPr="00B60178">
        <w:rPr>
          <w:rFonts w:ascii="Arial" w:eastAsia="Calibri" w:hAnsi="Arial" w:cs="Arial"/>
          <w:szCs w:val="24"/>
          <w:lang w:eastAsia="en-GB"/>
        </w:rPr>
        <w:t>recommendations have been fully implemented</w:t>
      </w:r>
      <w:r w:rsidR="00B60178" w:rsidRPr="00B60178">
        <w:rPr>
          <w:rFonts w:ascii="Arial" w:eastAsia="Calibri" w:hAnsi="Arial" w:cs="Arial"/>
          <w:szCs w:val="24"/>
          <w:lang w:eastAsia="en-GB"/>
        </w:rPr>
        <w:t xml:space="preserve">. </w:t>
      </w:r>
    </w:p>
    <w:p w:rsidR="00B60178" w:rsidRPr="00B60178" w:rsidRDefault="00B60178" w:rsidP="00B60178">
      <w:pPr>
        <w:pStyle w:val="BodyText3"/>
        <w:ind w:left="709"/>
        <w:rPr>
          <w:rFonts w:ascii="Arial" w:eastAsia="Calibri" w:hAnsi="Arial" w:cs="Arial"/>
          <w:szCs w:val="24"/>
          <w:lang w:eastAsia="en-GB"/>
        </w:rPr>
      </w:pPr>
    </w:p>
    <w:p w:rsidR="00154CE8" w:rsidRPr="006D0B33" w:rsidRDefault="006D0B33" w:rsidP="006D0B33">
      <w:pPr>
        <w:pStyle w:val="BodyText3"/>
        <w:numPr>
          <w:ilvl w:val="1"/>
          <w:numId w:val="49"/>
        </w:numPr>
        <w:ind w:left="709" w:hanging="709"/>
        <w:rPr>
          <w:rFonts w:ascii="Arial" w:eastAsia="Calibri" w:hAnsi="Arial" w:cs="Arial"/>
          <w:szCs w:val="24"/>
          <w:lang w:eastAsia="en-GB"/>
        </w:rPr>
      </w:pPr>
      <w:r>
        <w:rPr>
          <w:rFonts w:ascii="Arial" w:eastAsia="Calibri" w:hAnsi="Arial" w:cs="Arial"/>
          <w:szCs w:val="24"/>
          <w:lang w:eastAsia="en-GB"/>
        </w:rPr>
        <w:tab/>
      </w:r>
      <w:r w:rsidRPr="006D0B33">
        <w:rPr>
          <w:rFonts w:ascii="Arial" w:eastAsia="Calibri" w:hAnsi="Arial" w:cs="Arial"/>
          <w:szCs w:val="24"/>
          <w:lang w:eastAsia="en-GB"/>
        </w:rPr>
        <w:t xml:space="preserve">A reminder that details of charges should be attached to all Sales Invoice Request Forms </w:t>
      </w:r>
      <w:r>
        <w:rPr>
          <w:rFonts w:ascii="Arial" w:eastAsia="Calibri" w:hAnsi="Arial" w:cs="Arial"/>
          <w:szCs w:val="24"/>
          <w:lang w:eastAsia="en-GB"/>
        </w:rPr>
        <w:t xml:space="preserve">and </w:t>
      </w:r>
      <w:r w:rsidRPr="006D0B33">
        <w:rPr>
          <w:rFonts w:ascii="Arial" w:eastAsia="Calibri" w:hAnsi="Arial" w:cs="Arial"/>
          <w:szCs w:val="24"/>
          <w:lang w:eastAsia="en-GB"/>
        </w:rPr>
        <w:t>that requests to raise invoices are to be processed before the event or service is provided has been added to the monthly Aged Debt Report that is sent out to all GLA Business Accountants and Unit Heads.</w:t>
      </w:r>
    </w:p>
    <w:p w:rsidR="006D0B33" w:rsidRPr="006D0B33" w:rsidRDefault="006D0B33" w:rsidP="00D03D11">
      <w:pPr>
        <w:jc w:val="both"/>
        <w:rPr>
          <w:rFonts w:ascii="Arial" w:eastAsia="Calibri" w:hAnsi="Arial" w:cs="Arial"/>
          <w:sz w:val="24"/>
          <w:szCs w:val="24"/>
          <w:lang w:eastAsia="en-GB"/>
        </w:rPr>
      </w:pPr>
    </w:p>
    <w:p w:rsidR="006D0B33" w:rsidRPr="006D0B33" w:rsidRDefault="006D0B33" w:rsidP="006D0B33">
      <w:pPr>
        <w:pStyle w:val="BodyText3"/>
        <w:numPr>
          <w:ilvl w:val="1"/>
          <w:numId w:val="49"/>
        </w:numPr>
        <w:ind w:left="709" w:hanging="709"/>
        <w:rPr>
          <w:rFonts w:ascii="Arial" w:eastAsia="Calibri" w:hAnsi="Arial" w:cs="Arial"/>
          <w:szCs w:val="24"/>
          <w:lang w:eastAsia="en-GB"/>
        </w:rPr>
      </w:pPr>
      <w:r w:rsidRPr="006D0B33">
        <w:rPr>
          <w:rFonts w:ascii="Arial" w:eastAsia="Calibri" w:hAnsi="Arial" w:cs="Arial"/>
          <w:szCs w:val="24"/>
          <w:lang w:eastAsia="en-GB"/>
        </w:rPr>
        <w:t xml:space="preserve">Monitoring of the time taken to process debtors invoices now takes place with the first </w:t>
      </w:r>
      <w:r w:rsidR="002A5B1C">
        <w:rPr>
          <w:rFonts w:ascii="Arial" w:eastAsia="Calibri" w:hAnsi="Arial" w:cs="Arial"/>
          <w:szCs w:val="24"/>
          <w:lang w:eastAsia="en-GB"/>
        </w:rPr>
        <w:t>d</w:t>
      </w:r>
      <w:r w:rsidRPr="006D0B33">
        <w:rPr>
          <w:rFonts w:ascii="Arial" w:eastAsia="Calibri" w:hAnsi="Arial" w:cs="Arial"/>
          <w:szCs w:val="24"/>
          <w:lang w:eastAsia="en-GB"/>
        </w:rPr>
        <w:t>ip sampling exercise taking place in March 2015. A sample of 10 SIRFs was tested by the Senior Finance Officer and all 10 were found to have been processed promptly, within 5 working days. The sampling exercise was reviewed by the Chief Accountant.</w:t>
      </w:r>
    </w:p>
    <w:p w:rsidR="006D0B33" w:rsidRPr="006D0B33" w:rsidRDefault="006D0B33" w:rsidP="00D03D11">
      <w:pPr>
        <w:jc w:val="both"/>
        <w:rPr>
          <w:rFonts w:ascii="Arial" w:eastAsia="Calibri" w:hAnsi="Arial" w:cs="Arial"/>
          <w:sz w:val="24"/>
          <w:szCs w:val="24"/>
          <w:lang w:eastAsia="en-GB"/>
        </w:rPr>
      </w:pPr>
    </w:p>
    <w:p w:rsidR="006D0B33" w:rsidRPr="006D0B33" w:rsidRDefault="006D0B33" w:rsidP="00D03D11">
      <w:pPr>
        <w:pStyle w:val="BodyText3"/>
        <w:numPr>
          <w:ilvl w:val="1"/>
          <w:numId w:val="49"/>
        </w:numPr>
        <w:ind w:left="709" w:hanging="709"/>
        <w:rPr>
          <w:rFonts w:ascii="Arial" w:eastAsia="Calibri" w:hAnsi="Arial" w:cs="Arial"/>
          <w:szCs w:val="24"/>
          <w:lang w:eastAsia="en-GB"/>
        </w:rPr>
        <w:sectPr w:rsidR="006D0B33" w:rsidRPr="006D0B33" w:rsidSect="005653EF">
          <w:headerReference w:type="default" r:id="rId12"/>
          <w:pgSz w:w="11909" w:h="16834" w:code="9"/>
          <w:pgMar w:top="1440" w:right="1440" w:bottom="1440" w:left="1440" w:header="709" w:footer="321" w:gutter="0"/>
          <w:pgNumType w:start="1"/>
          <w:cols w:space="720"/>
        </w:sectPr>
      </w:pPr>
      <w:r w:rsidRPr="006D0B33">
        <w:rPr>
          <w:rFonts w:ascii="Arial" w:eastAsia="Calibri" w:hAnsi="Arial" w:cs="Arial"/>
          <w:szCs w:val="24"/>
          <w:lang w:eastAsia="en-GB"/>
        </w:rPr>
        <w:t xml:space="preserve">Monitoring of the time taken to bank cheques by TfL FSC now takes place with the first </w:t>
      </w:r>
      <w:r>
        <w:rPr>
          <w:rFonts w:ascii="Arial" w:eastAsia="Calibri" w:hAnsi="Arial" w:cs="Arial"/>
          <w:szCs w:val="24"/>
          <w:lang w:eastAsia="en-GB"/>
        </w:rPr>
        <w:t xml:space="preserve">bi-annual </w:t>
      </w:r>
      <w:r w:rsidRPr="006D0B33">
        <w:rPr>
          <w:rFonts w:ascii="Arial" w:eastAsia="Calibri" w:hAnsi="Arial" w:cs="Arial"/>
          <w:szCs w:val="24"/>
          <w:lang w:eastAsia="en-GB"/>
        </w:rPr>
        <w:t>sampling exercise taking place in June 2015. A sample of five cheques was tested by the Senior Finance Officer and all five were found to have been banked promptly, within six working days</w:t>
      </w:r>
      <w:r>
        <w:rPr>
          <w:rFonts w:ascii="Arial" w:eastAsia="Calibri" w:hAnsi="Arial" w:cs="Arial"/>
          <w:szCs w:val="24"/>
          <w:lang w:eastAsia="en-GB"/>
        </w:rPr>
        <w:t>.</w:t>
      </w:r>
    </w:p>
    <w:tbl>
      <w:tblPr>
        <w:tblW w:w="15310"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3969"/>
        <w:gridCol w:w="1134"/>
        <w:gridCol w:w="2835"/>
        <w:gridCol w:w="3260"/>
        <w:gridCol w:w="3261"/>
      </w:tblGrid>
      <w:tr w:rsidR="00AC333D" w:rsidRPr="001E1A62" w:rsidTr="005C5C97">
        <w:trPr>
          <w:trHeight w:val="380"/>
          <w:tblHeader/>
        </w:trPr>
        <w:tc>
          <w:tcPr>
            <w:tcW w:w="851" w:type="dxa"/>
            <w:tcBorders>
              <w:top w:val="single" w:sz="6" w:space="0" w:color="auto"/>
              <w:left w:val="single" w:sz="6" w:space="0" w:color="auto"/>
              <w:bottom w:val="single" w:sz="6" w:space="0" w:color="auto"/>
            </w:tcBorders>
            <w:shd w:val="clear" w:color="auto" w:fill="8DB3E2"/>
            <w:vAlign w:val="center"/>
          </w:tcPr>
          <w:p w:rsidR="00AC333D" w:rsidRPr="001E1A62" w:rsidRDefault="00154CE8" w:rsidP="005C5C97">
            <w:pPr>
              <w:pStyle w:val="BodyText"/>
              <w:jc w:val="center"/>
              <w:rPr>
                <w:rFonts w:ascii="Arial Narrow" w:hAnsi="Arial Narrow" w:cs="Arial"/>
                <w:color w:val="FFFFFF"/>
                <w:sz w:val="22"/>
                <w:szCs w:val="22"/>
              </w:rPr>
            </w:pPr>
            <w:r w:rsidRPr="001E1A62">
              <w:rPr>
                <w:rFonts w:ascii="Arial Narrow" w:hAnsi="Arial Narrow" w:cs="Arial"/>
                <w:b w:val="0"/>
                <w:bCs/>
                <w:color w:val="333399"/>
                <w:sz w:val="22"/>
                <w:szCs w:val="22"/>
              </w:rPr>
              <w:lastRenderedPageBreak/>
              <w:br w:type="page"/>
            </w:r>
            <w:r w:rsidR="00AC333D" w:rsidRPr="001E1A62">
              <w:rPr>
                <w:rFonts w:ascii="Arial Narrow" w:hAnsi="Arial Narrow" w:cs="Arial"/>
                <w:color w:val="FFFFFF"/>
                <w:sz w:val="22"/>
                <w:szCs w:val="22"/>
              </w:rPr>
              <w:t>Ref.</w:t>
            </w:r>
          </w:p>
        </w:tc>
        <w:tc>
          <w:tcPr>
            <w:tcW w:w="3969" w:type="dxa"/>
            <w:tcBorders>
              <w:top w:val="single" w:sz="6" w:space="0" w:color="auto"/>
              <w:bottom w:val="single" w:sz="6" w:space="0" w:color="auto"/>
            </w:tcBorders>
            <w:shd w:val="clear" w:color="auto" w:fill="8DB3E2"/>
            <w:vAlign w:val="center"/>
          </w:tcPr>
          <w:p w:rsidR="00AC333D" w:rsidRPr="005C5C97" w:rsidRDefault="002E0C5E" w:rsidP="005C5C97">
            <w:pPr>
              <w:pStyle w:val="BodyText"/>
              <w:jc w:val="left"/>
              <w:rPr>
                <w:rFonts w:ascii="Arial Narrow" w:hAnsi="Arial Narrow" w:cs="Arial"/>
                <w:bCs/>
                <w:color w:val="FFFFFF" w:themeColor="background1"/>
                <w:sz w:val="22"/>
                <w:szCs w:val="22"/>
              </w:rPr>
            </w:pPr>
            <w:r w:rsidRPr="005C5C97">
              <w:rPr>
                <w:rFonts w:ascii="Arial Narrow" w:hAnsi="Arial Narrow" w:cs="Arial"/>
                <w:bCs/>
                <w:color w:val="FFFFFF" w:themeColor="background1"/>
                <w:sz w:val="22"/>
                <w:szCs w:val="22"/>
              </w:rPr>
              <w:t xml:space="preserve">Original </w:t>
            </w:r>
            <w:r w:rsidR="003D758A" w:rsidRPr="005C5C97">
              <w:rPr>
                <w:rFonts w:ascii="Arial Narrow" w:hAnsi="Arial Narrow" w:cs="Arial"/>
                <w:bCs/>
                <w:color w:val="FFFFFF" w:themeColor="background1"/>
                <w:sz w:val="22"/>
                <w:szCs w:val="22"/>
              </w:rPr>
              <w:t>Finding and Risk</w:t>
            </w:r>
          </w:p>
        </w:tc>
        <w:tc>
          <w:tcPr>
            <w:tcW w:w="1134" w:type="dxa"/>
            <w:tcBorders>
              <w:top w:val="single" w:sz="6" w:space="0" w:color="auto"/>
              <w:bottom w:val="single" w:sz="6" w:space="0" w:color="auto"/>
            </w:tcBorders>
            <w:shd w:val="clear" w:color="auto" w:fill="8DB3E2"/>
            <w:vAlign w:val="center"/>
          </w:tcPr>
          <w:p w:rsidR="00AC333D" w:rsidRPr="005C5C97" w:rsidRDefault="00491272" w:rsidP="005C5C97">
            <w:pPr>
              <w:pStyle w:val="BodyText"/>
              <w:jc w:val="center"/>
              <w:rPr>
                <w:rFonts w:ascii="Arial Narrow" w:hAnsi="Arial Narrow" w:cs="Arial"/>
                <w:bCs/>
                <w:color w:val="FFFFFF" w:themeColor="background1"/>
                <w:sz w:val="22"/>
                <w:szCs w:val="22"/>
              </w:rPr>
            </w:pPr>
            <w:r w:rsidRPr="005C5C97">
              <w:rPr>
                <w:rFonts w:ascii="Arial Narrow" w:hAnsi="Arial Narrow" w:cs="Arial"/>
                <w:bCs/>
                <w:color w:val="FFFFFF" w:themeColor="background1"/>
                <w:sz w:val="22"/>
                <w:szCs w:val="22"/>
              </w:rPr>
              <w:t>Priority</w:t>
            </w:r>
          </w:p>
        </w:tc>
        <w:tc>
          <w:tcPr>
            <w:tcW w:w="2835" w:type="dxa"/>
            <w:tcBorders>
              <w:top w:val="single" w:sz="6" w:space="0" w:color="auto"/>
              <w:bottom w:val="single" w:sz="6" w:space="0" w:color="auto"/>
            </w:tcBorders>
            <w:shd w:val="clear" w:color="auto" w:fill="8DB3E2"/>
            <w:vAlign w:val="center"/>
          </w:tcPr>
          <w:p w:rsidR="00AC333D" w:rsidRPr="005C5C97" w:rsidRDefault="003D758A" w:rsidP="005C5C97">
            <w:pPr>
              <w:pStyle w:val="BodyText"/>
              <w:jc w:val="left"/>
              <w:rPr>
                <w:rFonts w:ascii="Arial Narrow" w:hAnsi="Arial Narrow" w:cs="Arial"/>
                <w:bCs/>
                <w:color w:val="FFFFFF" w:themeColor="background1"/>
                <w:sz w:val="22"/>
                <w:szCs w:val="22"/>
              </w:rPr>
            </w:pPr>
            <w:r w:rsidRPr="005C5C97">
              <w:rPr>
                <w:rFonts w:ascii="Arial Narrow" w:hAnsi="Arial Narrow" w:cs="Arial"/>
                <w:bCs/>
                <w:color w:val="FFFFFF" w:themeColor="background1"/>
                <w:sz w:val="22"/>
                <w:szCs w:val="22"/>
              </w:rPr>
              <w:t>Original Recommendation</w:t>
            </w:r>
          </w:p>
        </w:tc>
        <w:tc>
          <w:tcPr>
            <w:tcW w:w="3260" w:type="dxa"/>
            <w:tcBorders>
              <w:top w:val="single" w:sz="6" w:space="0" w:color="auto"/>
              <w:bottom w:val="single" w:sz="6" w:space="0" w:color="auto"/>
            </w:tcBorders>
            <w:shd w:val="clear" w:color="auto" w:fill="8DB3E2"/>
            <w:vAlign w:val="center"/>
          </w:tcPr>
          <w:p w:rsidR="00AC333D" w:rsidRPr="005C5C97" w:rsidRDefault="00AC333D" w:rsidP="005C5C97">
            <w:pPr>
              <w:pStyle w:val="BodyText"/>
              <w:jc w:val="left"/>
              <w:rPr>
                <w:rFonts w:ascii="Arial Narrow" w:hAnsi="Arial Narrow" w:cs="Arial"/>
                <w:bCs/>
                <w:color w:val="FFFFFF" w:themeColor="background1"/>
                <w:sz w:val="22"/>
                <w:szCs w:val="22"/>
              </w:rPr>
            </w:pPr>
            <w:r w:rsidRPr="005C5C97">
              <w:rPr>
                <w:rFonts w:ascii="Arial Narrow" w:hAnsi="Arial Narrow" w:cs="Arial"/>
                <w:bCs/>
                <w:color w:val="FFFFFF" w:themeColor="background1"/>
                <w:sz w:val="22"/>
                <w:szCs w:val="22"/>
              </w:rPr>
              <w:t>Follow Up Finding</w:t>
            </w:r>
          </w:p>
        </w:tc>
        <w:tc>
          <w:tcPr>
            <w:tcW w:w="3261" w:type="dxa"/>
            <w:tcBorders>
              <w:top w:val="single" w:sz="6" w:space="0" w:color="auto"/>
              <w:bottom w:val="single" w:sz="6" w:space="0" w:color="auto"/>
            </w:tcBorders>
            <w:shd w:val="clear" w:color="auto" w:fill="8DB3E2"/>
            <w:vAlign w:val="center"/>
          </w:tcPr>
          <w:p w:rsidR="00AC333D" w:rsidRPr="005C5C97" w:rsidRDefault="00491272" w:rsidP="005C5C97">
            <w:pPr>
              <w:pStyle w:val="BodyText"/>
              <w:jc w:val="left"/>
              <w:rPr>
                <w:rFonts w:ascii="Arial Narrow" w:hAnsi="Arial Narrow" w:cs="Arial"/>
                <w:bCs/>
                <w:color w:val="FFFFFF" w:themeColor="background1"/>
                <w:sz w:val="22"/>
                <w:szCs w:val="22"/>
              </w:rPr>
            </w:pPr>
            <w:r w:rsidRPr="005C5C97">
              <w:rPr>
                <w:rFonts w:ascii="Arial Narrow" w:hAnsi="Arial Narrow" w:cs="Arial"/>
                <w:bCs/>
                <w:color w:val="FFFFFF" w:themeColor="background1"/>
                <w:sz w:val="22"/>
                <w:szCs w:val="22"/>
              </w:rPr>
              <w:t xml:space="preserve">Further </w:t>
            </w:r>
            <w:r w:rsidR="00AC333D" w:rsidRPr="005C5C97">
              <w:rPr>
                <w:rFonts w:ascii="Arial Narrow" w:hAnsi="Arial Narrow" w:cs="Arial"/>
                <w:bCs/>
                <w:color w:val="FFFFFF" w:themeColor="background1"/>
                <w:sz w:val="22"/>
                <w:szCs w:val="22"/>
              </w:rPr>
              <w:t>Recommendations and Management Response</w:t>
            </w:r>
          </w:p>
        </w:tc>
      </w:tr>
      <w:tr w:rsidR="002317AE" w:rsidRPr="000E4168" w:rsidTr="005942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1" w:type="dxa"/>
          </w:tcPr>
          <w:p w:rsidR="002317AE" w:rsidRPr="00AA0584" w:rsidRDefault="0002352E" w:rsidP="002317AE">
            <w:pPr>
              <w:autoSpaceDE w:val="0"/>
              <w:autoSpaceDN w:val="0"/>
              <w:adjustRightInd w:val="0"/>
              <w:rPr>
                <w:rFonts w:ascii="Arial" w:eastAsia="Calibri" w:hAnsi="Arial" w:cs="Arial"/>
                <w:bCs/>
                <w:color w:val="000000"/>
                <w:lang w:eastAsia="en-GB"/>
              </w:rPr>
            </w:pPr>
            <w:r w:rsidRPr="00AA0584">
              <w:rPr>
                <w:rFonts w:ascii="Arial" w:eastAsia="Calibri" w:hAnsi="Arial" w:cs="Arial"/>
                <w:bCs/>
                <w:color w:val="000000"/>
                <w:lang w:eastAsia="en-GB"/>
              </w:rPr>
              <w:t>7.3</w:t>
            </w:r>
          </w:p>
        </w:tc>
        <w:tc>
          <w:tcPr>
            <w:tcW w:w="3969" w:type="dxa"/>
            <w:tcBorders>
              <w:top w:val="single" w:sz="6" w:space="0" w:color="auto"/>
              <w:bottom w:val="single" w:sz="6" w:space="0" w:color="auto"/>
            </w:tcBorders>
          </w:tcPr>
          <w:p w:rsidR="002317AE" w:rsidRPr="00AA0584" w:rsidRDefault="00AA0584" w:rsidP="004500DE">
            <w:pPr>
              <w:jc w:val="both"/>
              <w:rPr>
                <w:rFonts w:ascii="Arial" w:hAnsi="Arial" w:cs="Arial"/>
                <w:bCs/>
              </w:rPr>
            </w:pPr>
            <w:r w:rsidRPr="00AA0584">
              <w:rPr>
                <w:rFonts w:ascii="Arial" w:hAnsi="Arial" w:cs="Arial"/>
              </w:rPr>
              <w:t>A sample of Sales Invoice Request forms were selected and checked to ensure they had been completed for all income and that the correct level of information was attached to the form, including purchase order numbers; details of the contract and the cost breakdown; and, that they were appropriately authorised. From the sample checked, 28% did not have details of the breakdown of the charges included. It should be noted that the majority of these were in one area of business that the GLA Finance Team are aware of and are preparing guidance to assist. There is a risk that invoices may be raised which do not charge appropriately for the service provided. This risk was raised in the previous Debtors internal audit report in February 2014.</w:t>
            </w:r>
          </w:p>
        </w:tc>
        <w:tc>
          <w:tcPr>
            <w:tcW w:w="1134" w:type="dxa"/>
          </w:tcPr>
          <w:p w:rsidR="002317AE" w:rsidRPr="00AA0584" w:rsidRDefault="00AA0584" w:rsidP="004500DE">
            <w:pPr>
              <w:autoSpaceDE w:val="0"/>
              <w:autoSpaceDN w:val="0"/>
              <w:adjustRightInd w:val="0"/>
              <w:jc w:val="center"/>
              <w:rPr>
                <w:rFonts w:ascii="Arial" w:eastAsia="Calibri" w:hAnsi="Arial" w:cs="Arial"/>
                <w:bCs/>
                <w:color w:val="000000"/>
                <w:lang w:eastAsia="en-GB"/>
              </w:rPr>
            </w:pPr>
            <w:r w:rsidRPr="00AA0584">
              <w:rPr>
                <w:rFonts w:ascii="Arial" w:eastAsia="Calibri" w:hAnsi="Arial" w:cs="Arial"/>
                <w:bCs/>
                <w:color w:val="000000"/>
                <w:lang w:eastAsia="en-GB"/>
              </w:rPr>
              <w:t>3</w:t>
            </w:r>
          </w:p>
        </w:tc>
        <w:tc>
          <w:tcPr>
            <w:tcW w:w="2835" w:type="dxa"/>
          </w:tcPr>
          <w:p w:rsidR="002317AE" w:rsidRPr="00AA0584" w:rsidRDefault="00AA0584" w:rsidP="002317AE">
            <w:pPr>
              <w:jc w:val="both"/>
              <w:rPr>
                <w:rFonts w:ascii="Arial" w:hAnsi="Arial" w:cs="Arial"/>
              </w:rPr>
            </w:pPr>
            <w:r w:rsidRPr="00AA0584">
              <w:rPr>
                <w:rFonts w:ascii="Arial" w:hAnsi="Arial" w:cs="Arial"/>
              </w:rPr>
              <w:t>Details of charges to be attached to all Sales Invoice Request Forms, with those provided without these details returned to the requestor.</w:t>
            </w:r>
          </w:p>
          <w:p w:rsidR="00AA0584" w:rsidRPr="00AA0584" w:rsidRDefault="00AA0584" w:rsidP="002317AE">
            <w:pPr>
              <w:jc w:val="both"/>
              <w:rPr>
                <w:rFonts w:ascii="Arial" w:hAnsi="Arial" w:cs="Arial"/>
              </w:rPr>
            </w:pPr>
          </w:p>
          <w:p w:rsidR="002317AE" w:rsidRPr="00AA0584" w:rsidRDefault="002317AE" w:rsidP="002317AE">
            <w:pPr>
              <w:jc w:val="both"/>
              <w:rPr>
                <w:rFonts w:ascii="Arial" w:hAnsi="Arial" w:cs="Arial"/>
                <w:b/>
              </w:rPr>
            </w:pPr>
            <w:r w:rsidRPr="00AA0584">
              <w:rPr>
                <w:rFonts w:ascii="Arial" w:hAnsi="Arial" w:cs="Arial"/>
                <w:b/>
              </w:rPr>
              <w:t>Management Response</w:t>
            </w:r>
          </w:p>
          <w:p w:rsidR="00AA0584" w:rsidRPr="00AA0584" w:rsidRDefault="00AA0584" w:rsidP="00AA0584">
            <w:pPr>
              <w:autoSpaceDE w:val="0"/>
              <w:autoSpaceDN w:val="0"/>
              <w:adjustRightInd w:val="0"/>
              <w:rPr>
                <w:rFonts w:ascii="Arial" w:eastAsia="Calibri" w:hAnsi="Arial" w:cs="Arial"/>
                <w:bCs/>
                <w:color w:val="000000"/>
                <w:lang w:eastAsia="en-GB"/>
              </w:rPr>
            </w:pPr>
            <w:r w:rsidRPr="00AA0584">
              <w:rPr>
                <w:rFonts w:ascii="Arial" w:eastAsia="Calibri" w:hAnsi="Arial" w:cs="Arial"/>
                <w:bCs/>
                <w:color w:val="000000"/>
                <w:lang w:eastAsia="en-GB"/>
              </w:rPr>
              <w:t>An email will be drafted reminding the departments of the need to attach a breakdown of charges to the SIRF.</w:t>
            </w:r>
          </w:p>
          <w:p w:rsidR="002317AE" w:rsidRPr="00AA0584" w:rsidRDefault="00AA0584" w:rsidP="00AA0584">
            <w:pPr>
              <w:jc w:val="both"/>
              <w:rPr>
                <w:rFonts w:ascii="Arial" w:hAnsi="Arial" w:cs="Arial"/>
              </w:rPr>
            </w:pPr>
            <w:r w:rsidRPr="00AA0584">
              <w:rPr>
                <w:rFonts w:ascii="Arial" w:eastAsia="Calibri" w:hAnsi="Arial" w:cs="Arial"/>
                <w:bCs/>
                <w:color w:val="000000"/>
                <w:lang w:eastAsia="en-GB"/>
              </w:rPr>
              <w:t>Any SIRFs that are provided without a breakdown of costs from any business area will be required to provide one before processing.</w:t>
            </w:r>
          </w:p>
          <w:p w:rsidR="00AA0584" w:rsidRDefault="00AA0584" w:rsidP="002317AE">
            <w:pPr>
              <w:jc w:val="both"/>
              <w:rPr>
                <w:rFonts w:ascii="Arial" w:hAnsi="Arial" w:cs="Arial"/>
                <w:b/>
              </w:rPr>
            </w:pPr>
          </w:p>
          <w:p w:rsidR="002317AE" w:rsidRPr="00AA0584" w:rsidRDefault="002317AE" w:rsidP="002317AE">
            <w:pPr>
              <w:jc w:val="both"/>
              <w:rPr>
                <w:rFonts w:ascii="Arial" w:hAnsi="Arial" w:cs="Arial"/>
                <w:b/>
              </w:rPr>
            </w:pPr>
            <w:r w:rsidRPr="00AA0584">
              <w:rPr>
                <w:rFonts w:ascii="Arial" w:hAnsi="Arial" w:cs="Arial"/>
                <w:b/>
              </w:rPr>
              <w:t>Target Date:</w:t>
            </w:r>
          </w:p>
          <w:p w:rsidR="002317AE" w:rsidRPr="00AA0584" w:rsidRDefault="00AA0584" w:rsidP="006D0B33">
            <w:pPr>
              <w:autoSpaceDE w:val="0"/>
              <w:autoSpaceDN w:val="0"/>
              <w:adjustRightInd w:val="0"/>
              <w:rPr>
                <w:rFonts w:ascii="Arial" w:hAnsi="Arial" w:cs="Arial"/>
              </w:rPr>
            </w:pPr>
            <w:r w:rsidRPr="00AA0584">
              <w:rPr>
                <w:rFonts w:ascii="Arial" w:eastAsia="Calibri" w:hAnsi="Arial" w:cs="Arial"/>
                <w:bCs/>
                <w:color w:val="000000"/>
                <w:lang w:eastAsia="en-GB"/>
              </w:rPr>
              <w:t>December</w:t>
            </w:r>
            <w:r w:rsidR="006D0B33">
              <w:rPr>
                <w:rFonts w:ascii="Arial" w:eastAsia="Calibri" w:hAnsi="Arial" w:cs="Arial"/>
                <w:bCs/>
                <w:color w:val="000000"/>
                <w:lang w:eastAsia="en-GB"/>
              </w:rPr>
              <w:t xml:space="preserve"> </w:t>
            </w:r>
            <w:r w:rsidRPr="00AA0584">
              <w:rPr>
                <w:rFonts w:ascii="Arial" w:eastAsia="Calibri" w:hAnsi="Arial" w:cs="Arial"/>
                <w:bCs/>
                <w:color w:val="000000"/>
                <w:lang w:eastAsia="en-GB"/>
              </w:rPr>
              <w:t>2014</w:t>
            </w:r>
          </w:p>
        </w:tc>
        <w:tc>
          <w:tcPr>
            <w:tcW w:w="3260" w:type="dxa"/>
          </w:tcPr>
          <w:p w:rsidR="002317AE" w:rsidRDefault="002317AE" w:rsidP="000D180F">
            <w:pPr>
              <w:autoSpaceDE w:val="0"/>
              <w:autoSpaceDN w:val="0"/>
              <w:adjustRightInd w:val="0"/>
              <w:jc w:val="both"/>
              <w:rPr>
                <w:rFonts w:ascii="Arial" w:hAnsi="Arial" w:cs="Arial"/>
                <w:b/>
                <w:color w:val="000000"/>
              </w:rPr>
            </w:pPr>
            <w:r w:rsidRPr="00AA0584">
              <w:rPr>
                <w:rFonts w:ascii="Arial" w:hAnsi="Arial" w:cs="Arial"/>
                <w:b/>
                <w:color w:val="000000"/>
              </w:rPr>
              <w:t xml:space="preserve">Implemented </w:t>
            </w:r>
          </w:p>
          <w:p w:rsidR="00AA55D7" w:rsidRDefault="00AA55D7" w:rsidP="00B60178">
            <w:pPr>
              <w:autoSpaceDE w:val="0"/>
              <w:autoSpaceDN w:val="0"/>
              <w:adjustRightInd w:val="0"/>
              <w:rPr>
                <w:rFonts w:ascii="Arial" w:eastAsia="Calibri" w:hAnsi="Arial" w:cs="Arial"/>
                <w:bCs/>
                <w:color w:val="000000"/>
                <w:lang w:eastAsia="en-GB"/>
              </w:rPr>
            </w:pPr>
            <w:r>
              <w:rPr>
                <w:rFonts w:ascii="Arial" w:eastAsia="Calibri" w:hAnsi="Arial" w:cs="Arial"/>
                <w:bCs/>
                <w:color w:val="000000"/>
                <w:lang w:eastAsia="en-GB"/>
              </w:rPr>
              <w:t xml:space="preserve">A reminder that details of charges should be attached to all Sales Invoice Request Forms has been added to the monthly Aged Debt </w:t>
            </w:r>
            <w:r w:rsidR="002157D0">
              <w:rPr>
                <w:rFonts w:ascii="Arial" w:eastAsia="Calibri" w:hAnsi="Arial" w:cs="Arial"/>
                <w:bCs/>
                <w:color w:val="000000"/>
                <w:lang w:eastAsia="en-GB"/>
              </w:rPr>
              <w:t>R</w:t>
            </w:r>
            <w:r>
              <w:rPr>
                <w:rFonts w:ascii="Arial" w:eastAsia="Calibri" w:hAnsi="Arial" w:cs="Arial"/>
                <w:bCs/>
                <w:color w:val="000000"/>
                <w:lang w:eastAsia="en-GB"/>
              </w:rPr>
              <w:t xml:space="preserve">eport that is sent out to all </w:t>
            </w:r>
            <w:r w:rsidR="00B60178">
              <w:rPr>
                <w:rFonts w:ascii="Arial" w:eastAsia="Calibri" w:hAnsi="Arial" w:cs="Arial"/>
                <w:bCs/>
                <w:color w:val="000000"/>
                <w:lang w:eastAsia="en-GB"/>
              </w:rPr>
              <w:t>GLA Business Accountants</w:t>
            </w:r>
            <w:r>
              <w:rPr>
                <w:rFonts w:ascii="Arial" w:eastAsia="Calibri" w:hAnsi="Arial" w:cs="Arial"/>
                <w:bCs/>
                <w:color w:val="000000"/>
                <w:lang w:eastAsia="en-GB"/>
              </w:rPr>
              <w:t xml:space="preserve"> and U</w:t>
            </w:r>
            <w:r w:rsidR="00B60178">
              <w:rPr>
                <w:rFonts w:ascii="Arial" w:eastAsia="Calibri" w:hAnsi="Arial" w:cs="Arial"/>
                <w:bCs/>
                <w:color w:val="000000"/>
                <w:lang w:eastAsia="en-GB"/>
              </w:rPr>
              <w:t>nit Heads</w:t>
            </w:r>
            <w:r>
              <w:rPr>
                <w:rFonts w:ascii="Arial" w:eastAsia="Calibri" w:hAnsi="Arial" w:cs="Arial"/>
                <w:bCs/>
                <w:color w:val="000000"/>
                <w:lang w:eastAsia="en-GB"/>
              </w:rPr>
              <w:t>. The reminder is worded as follows:</w:t>
            </w:r>
          </w:p>
          <w:p w:rsidR="00AA55D7" w:rsidRDefault="00AA55D7" w:rsidP="00B60178">
            <w:pPr>
              <w:autoSpaceDE w:val="0"/>
              <w:autoSpaceDN w:val="0"/>
              <w:adjustRightInd w:val="0"/>
              <w:rPr>
                <w:rFonts w:ascii="Arial" w:eastAsia="Calibri" w:hAnsi="Arial" w:cs="Arial"/>
                <w:bCs/>
                <w:color w:val="000000"/>
                <w:lang w:eastAsia="en-GB"/>
              </w:rPr>
            </w:pPr>
          </w:p>
          <w:p w:rsidR="00AA55D7" w:rsidRPr="00AA55D7" w:rsidRDefault="00AA55D7" w:rsidP="00AA55D7">
            <w:pPr>
              <w:autoSpaceDE w:val="0"/>
              <w:autoSpaceDN w:val="0"/>
              <w:adjustRightInd w:val="0"/>
              <w:rPr>
                <w:rFonts w:ascii="Arial" w:eastAsia="Calibri" w:hAnsi="Arial" w:cs="Arial"/>
                <w:bCs/>
                <w:i/>
                <w:color w:val="000000"/>
                <w:u w:val="single"/>
                <w:lang w:eastAsia="en-GB"/>
              </w:rPr>
            </w:pPr>
            <w:r>
              <w:rPr>
                <w:rFonts w:ascii="Arial" w:eastAsia="Calibri" w:hAnsi="Arial" w:cs="Arial"/>
                <w:bCs/>
                <w:i/>
                <w:color w:val="000000"/>
                <w:u w:val="single"/>
                <w:lang w:eastAsia="en-GB"/>
              </w:rPr>
              <w:t>“</w:t>
            </w:r>
            <w:r w:rsidRPr="00AA55D7">
              <w:rPr>
                <w:rFonts w:ascii="Arial" w:eastAsia="Calibri" w:hAnsi="Arial" w:cs="Arial"/>
                <w:bCs/>
                <w:i/>
                <w:color w:val="000000"/>
                <w:u w:val="single"/>
                <w:lang w:eastAsia="en-GB"/>
              </w:rPr>
              <w:t>Invoicing for Fees &amp; Charges</w:t>
            </w:r>
          </w:p>
          <w:p w:rsidR="00AA55D7" w:rsidRPr="00AA55D7" w:rsidRDefault="00AA55D7" w:rsidP="00AA55D7">
            <w:pPr>
              <w:autoSpaceDE w:val="0"/>
              <w:autoSpaceDN w:val="0"/>
              <w:adjustRightInd w:val="0"/>
              <w:rPr>
                <w:rFonts w:ascii="Arial" w:eastAsia="Calibri" w:hAnsi="Arial" w:cs="Arial"/>
                <w:bCs/>
                <w:i/>
                <w:color w:val="000000"/>
                <w:lang w:eastAsia="en-GB"/>
              </w:rPr>
            </w:pPr>
          </w:p>
          <w:p w:rsidR="00AA55D7" w:rsidRPr="00AA55D7" w:rsidRDefault="00AA55D7" w:rsidP="00AA55D7">
            <w:pPr>
              <w:autoSpaceDE w:val="0"/>
              <w:autoSpaceDN w:val="0"/>
              <w:adjustRightInd w:val="0"/>
              <w:rPr>
                <w:rFonts w:ascii="Arial" w:eastAsia="Calibri" w:hAnsi="Arial" w:cs="Arial"/>
                <w:bCs/>
                <w:i/>
                <w:color w:val="000000"/>
                <w:lang w:eastAsia="en-GB"/>
              </w:rPr>
            </w:pPr>
            <w:r w:rsidRPr="00AA55D7">
              <w:rPr>
                <w:rFonts w:ascii="Arial" w:eastAsia="Calibri" w:hAnsi="Arial" w:cs="Arial"/>
                <w:bCs/>
                <w:i/>
                <w:color w:val="000000"/>
                <w:lang w:eastAsia="en-GB"/>
              </w:rPr>
              <w:t>When raising Sales Invoice Request Form (SIRF) requests for Filming, Room hire etc., please state how the cost was calculated with reference to the Fees and Charges Schedule</w:t>
            </w:r>
            <w:r>
              <w:rPr>
                <w:rFonts w:ascii="Arial" w:eastAsia="Calibri" w:hAnsi="Arial" w:cs="Arial"/>
                <w:bCs/>
                <w:i/>
                <w:color w:val="000000"/>
                <w:lang w:eastAsia="en-GB"/>
              </w:rPr>
              <w:t>”</w:t>
            </w:r>
          </w:p>
          <w:p w:rsidR="002317AE" w:rsidRPr="00AA0584" w:rsidRDefault="002317AE" w:rsidP="000D180F">
            <w:pPr>
              <w:autoSpaceDE w:val="0"/>
              <w:autoSpaceDN w:val="0"/>
              <w:adjustRightInd w:val="0"/>
              <w:jc w:val="both"/>
              <w:rPr>
                <w:rFonts w:ascii="Arial" w:hAnsi="Arial" w:cs="Arial"/>
                <w:color w:val="000000"/>
              </w:rPr>
            </w:pPr>
          </w:p>
        </w:tc>
        <w:tc>
          <w:tcPr>
            <w:tcW w:w="3261" w:type="dxa"/>
          </w:tcPr>
          <w:p w:rsidR="002317AE" w:rsidRPr="00AA0584" w:rsidRDefault="002317AE" w:rsidP="002317AE">
            <w:pPr>
              <w:autoSpaceDE w:val="0"/>
              <w:autoSpaceDN w:val="0"/>
              <w:adjustRightInd w:val="0"/>
              <w:jc w:val="both"/>
              <w:rPr>
                <w:rFonts w:ascii="Arial" w:hAnsi="Arial" w:cs="Arial"/>
                <w:b/>
                <w:color w:val="000000"/>
              </w:rPr>
            </w:pPr>
            <w:r w:rsidRPr="00AA0584">
              <w:rPr>
                <w:rFonts w:ascii="Arial" w:hAnsi="Arial" w:cs="Arial"/>
                <w:b/>
                <w:color w:val="000000"/>
              </w:rPr>
              <w:t>None</w:t>
            </w:r>
          </w:p>
          <w:p w:rsidR="002317AE" w:rsidRPr="00AA0584" w:rsidRDefault="002317AE" w:rsidP="002317AE">
            <w:pPr>
              <w:autoSpaceDE w:val="0"/>
              <w:autoSpaceDN w:val="0"/>
              <w:adjustRightInd w:val="0"/>
              <w:jc w:val="both"/>
              <w:rPr>
                <w:rFonts w:ascii="Arial" w:hAnsi="Arial" w:cs="Arial"/>
                <w:b/>
                <w:color w:val="000000"/>
              </w:rPr>
            </w:pPr>
          </w:p>
        </w:tc>
      </w:tr>
      <w:tr w:rsidR="002317AE" w:rsidRPr="000E4168" w:rsidTr="006B7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1" w:type="dxa"/>
          </w:tcPr>
          <w:p w:rsidR="002317AE" w:rsidRPr="00AA0584" w:rsidRDefault="0002352E" w:rsidP="002317AE">
            <w:pPr>
              <w:autoSpaceDE w:val="0"/>
              <w:autoSpaceDN w:val="0"/>
              <w:adjustRightInd w:val="0"/>
              <w:rPr>
                <w:rFonts w:ascii="Arial" w:eastAsia="Calibri" w:hAnsi="Arial" w:cs="Arial"/>
                <w:bCs/>
                <w:color w:val="000000"/>
                <w:lang w:eastAsia="en-GB"/>
              </w:rPr>
            </w:pPr>
            <w:r w:rsidRPr="00AA0584">
              <w:rPr>
                <w:rFonts w:ascii="Arial" w:eastAsia="Calibri" w:hAnsi="Arial" w:cs="Arial"/>
                <w:bCs/>
                <w:color w:val="000000"/>
                <w:lang w:eastAsia="en-GB"/>
              </w:rPr>
              <w:t>7.4</w:t>
            </w:r>
          </w:p>
        </w:tc>
        <w:tc>
          <w:tcPr>
            <w:tcW w:w="3969" w:type="dxa"/>
            <w:tcBorders>
              <w:top w:val="single" w:sz="6" w:space="0" w:color="auto"/>
              <w:bottom w:val="single" w:sz="6" w:space="0" w:color="auto"/>
            </w:tcBorders>
          </w:tcPr>
          <w:p w:rsidR="002317AE" w:rsidRPr="00AA0584" w:rsidRDefault="00AA0584" w:rsidP="006B43C9">
            <w:pPr>
              <w:jc w:val="both"/>
              <w:rPr>
                <w:rFonts w:ascii="Arial" w:hAnsi="Arial" w:cs="Arial"/>
                <w:bCs/>
              </w:rPr>
            </w:pPr>
            <w:r w:rsidRPr="00AA0584">
              <w:rPr>
                <w:rFonts w:ascii="Arial" w:hAnsi="Arial" w:cs="Arial"/>
              </w:rPr>
              <w:t xml:space="preserve">Financial Regulations state that Sales Invoice Requests must be raised prior to the event or service provided, and this was also checked as part of the sample in 7.3 above. Of the sample selected, 60% were not raised before the event took place. However, it should be noted that the majority of the instances in which invoices were raised after the event or service were located in two business areas. The GLA Finance Team are aware of these areas and are preparing guidance to assist in the management of this. This delay in raising invoices increases the risk of debts not being paid. This risk was raised in the previous Debtors internal audit report in February </w:t>
            </w:r>
            <w:r w:rsidRPr="00AA0584">
              <w:rPr>
                <w:rFonts w:ascii="Arial" w:hAnsi="Arial" w:cs="Arial"/>
              </w:rPr>
              <w:lastRenderedPageBreak/>
              <w:t>2014.</w:t>
            </w:r>
          </w:p>
        </w:tc>
        <w:tc>
          <w:tcPr>
            <w:tcW w:w="1134" w:type="dxa"/>
          </w:tcPr>
          <w:p w:rsidR="002317AE" w:rsidRPr="00AA0584" w:rsidRDefault="00AA0584" w:rsidP="004500DE">
            <w:pPr>
              <w:autoSpaceDE w:val="0"/>
              <w:autoSpaceDN w:val="0"/>
              <w:adjustRightInd w:val="0"/>
              <w:jc w:val="center"/>
              <w:rPr>
                <w:rFonts w:ascii="Arial" w:eastAsia="Calibri" w:hAnsi="Arial" w:cs="Arial"/>
                <w:bCs/>
                <w:color w:val="000000"/>
                <w:lang w:eastAsia="en-GB"/>
              </w:rPr>
            </w:pPr>
            <w:r w:rsidRPr="00AA0584">
              <w:rPr>
                <w:rFonts w:ascii="Arial" w:eastAsia="Calibri" w:hAnsi="Arial" w:cs="Arial"/>
                <w:bCs/>
                <w:color w:val="000000"/>
                <w:lang w:eastAsia="en-GB"/>
              </w:rPr>
              <w:lastRenderedPageBreak/>
              <w:t>3</w:t>
            </w:r>
          </w:p>
        </w:tc>
        <w:tc>
          <w:tcPr>
            <w:tcW w:w="2835" w:type="dxa"/>
          </w:tcPr>
          <w:p w:rsidR="002317AE" w:rsidRPr="00AA0584" w:rsidRDefault="00AA0584" w:rsidP="000E4168">
            <w:pPr>
              <w:autoSpaceDE w:val="0"/>
              <w:autoSpaceDN w:val="0"/>
              <w:adjustRightInd w:val="0"/>
              <w:jc w:val="both"/>
              <w:rPr>
                <w:rFonts w:ascii="Arial" w:hAnsi="Arial" w:cs="Arial"/>
                <w:b/>
                <w:color w:val="000000"/>
              </w:rPr>
            </w:pPr>
            <w:r w:rsidRPr="00AA0584">
              <w:rPr>
                <w:rFonts w:ascii="Arial" w:hAnsi="Arial" w:cs="Arial"/>
              </w:rPr>
              <w:t>Requests to raise an invoice to be processed before the event or service is provided and where this has not occurred, individuals to be reminded of their requirement to do this. Details to be recorded of those individuals or departments who repeatedly do not raise invoices in an appropriate timeframe and escalated appropriately to the relevant management team.</w:t>
            </w:r>
          </w:p>
          <w:p w:rsidR="00AA0584" w:rsidRPr="00AA0584" w:rsidRDefault="00AA0584" w:rsidP="000E4168">
            <w:pPr>
              <w:autoSpaceDE w:val="0"/>
              <w:autoSpaceDN w:val="0"/>
              <w:adjustRightInd w:val="0"/>
              <w:jc w:val="both"/>
              <w:rPr>
                <w:rFonts w:ascii="Arial" w:hAnsi="Arial" w:cs="Arial"/>
                <w:b/>
                <w:color w:val="000000"/>
              </w:rPr>
            </w:pPr>
          </w:p>
          <w:p w:rsidR="002317AE" w:rsidRPr="00AA0584" w:rsidRDefault="002317AE" w:rsidP="000E4168">
            <w:pPr>
              <w:autoSpaceDE w:val="0"/>
              <w:autoSpaceDN w:val="0"/>
              <w:adjustRightInd w:val="0"/>
              <w:jc w:val="both"/>
              <w:rPr>
                <w:rFonts w:ascii="Arial" w:hAnsi="Arial" w:cs="Arial"/>
                <w:b/>
                <w:color w:val="000000"/>
              </w:rPr>
            </w:pPr>
            <w:r w:rsidRPr="00AA0584">
              <w:rPr>
                <w:rFonts w:ascii="Arial" w:hAnsi="Arial" w:cs="Arial"/>
                <w:b/>
                <w:color w:val="000000"/>
              </w:rPr>
              <w:t>Management Response</w:t>
            </w:r>
          </w:p>
          <w:p w:rsidR="00AA0584" w:rsidRPr="00AA0584" w:rsidRDefault="00AA0584" w:rsidP="00AA0584">
            <w:pPr>
              <w:autoSpaceDE w:val="0"/>
              <w:autoSpaceDN w:val="0"/>
              <w:adjustRightInd w:val="0"/>
              <w:rPr>
                <w:rFonts w:ascii="Arial" w:eastAsia="Calibri" w:hAnsi="Arial" w:cs="Arial"/>
                <w:bCs/>
                <w:color w:val="000000"/>
                <w:lang w:eastAsia="en-GB"/>
              </w:rPr>
            </w:pPr>
            <w:r w:rsidRPr="00AA0584">
              <w:rPr>
                <w:rFonts w:ascii="Arial" w:eastAsia="Calibri" w:hAnsi="Arial" w:cs="Arial"/>
                <w:bCs/>
                <w:color w:val="000000"/>
                <w:lang w:eastAsia="en-GB"/>
              </w:rPr>
              <w:lastRenderedPageBreak/>
              <w:t>Budget Holders will be reminded of the need to issue invoices in advance of the service being provided. They will be asked to cascade this information to their respective teams.</w:t>
            </w:r>
          </w:p>
          <w:p w:rsidR="006B43C9" w:rsidRPr="00AA0584" w:rsidRDefault="006B43C9" w:rsidP="000E4168">
            <w:pPr>
              <w:autoSpaceDE w:val="0"/>
              <w:autoSpaceDN w:val="0"/>
              <w:adjustRightInd w:val="0"/>
              <w:jc w:val="both"/>
              <w:rPr>
                <w:rFonts w:ascii="Arial" w:hAnsi="Arial" w:cs="Arial"/>
                <w:b/>
                <w:color w:val="000000"/>
              </w:rPr>
            </w:pPr>
          </w:p>
          <w:p w:rsidR="002317AE" w:rsidRPr="00AA0584" w:rsidRDefault="002317AE" w:rsidP="000E4168">
            <w:pPr>
              <w:ind w:left="-18"/>
              <w:jc w:val="both"/>
              <w:rPr>
                <w:rFonts w:ascii="Arial" w:hAnsi="Arial" w:cs="Arial"/>
                <w:b/>
                <w:color w:val="000000"/>
              </w:rPr>
            </w:pPr>
            <w:r w:rsidRPr="00AA0584">
              <w:rPr>
                <w:rFonts w:ascii="Arial" w:hAnsi="Arial" w:cs="Arial"/>
                <w:b/>
                <w:color w:val="000000"/>
              </w:rPr>
              <w:t>Target Date:</w:t>
            </w:r>
          </w:p>
          <w:p w:rsidR="002317AE" w:rsidRDefault="00AA0584" w:rsidP="00AA0584">
            <w:pPr>
              <w:ind w:left="-18"/>
              <w:jc w:val="both"/>
              <w:rPr>
                <w:rFonts w:ascii="Arial" w:eastAsia="Calibri" w:hAnsi="Arial" w:cs="Arial"/>
                <w:bCs/>
                <w:color w:val="000000"/>
                <w:lang w:eastAsia="en-GB"/>
              </w:rPr>
            </w:pPr>
            <w:r w:rsidRPr="00AA0584">
              <w:rPr>
                <w:rFonts w:ascii="Arial" w:eastAsia="Calibri" w:hAnsi="Arial" w:cs="Arial"/>
                <w:bCs/>
                <w:color w:val="000000"/>
                <w:lang w:eastAsia="en-GB"/>
              </w:rPr>
              <w:t>December  2014</w:t>
            </w:r>
          </w:p>
          <w:p w:rsidR="00AA0584" w:rsidRPr="00AA0584" w:rsidRDefault="00AA0584" w:rsidP="00AA0584">
            <w:pPr>
              <w:ind w:left="-18"/>
              <w:jc w:val="both"/>
              <w:rPr>
                <w:rFonts w:ascii="Arial" w:hAnsi="Arial" w:cs="Arial"/>
                <w:lang w:eastAsia="en-GB"/>
              </w:rPr>
            </w:pPr>
          </w:p>
        </w:tc>
        <w:tc>
          <w:tcPr>
            <w:tcW w:w="3260" w:type="dxa"/>
          </w:tcPr>
          <w:p w:rsidR="002317AE" w:rsidRDefault="002317AE" w:rsidP="004500DE">
            <w:pPr>
              <w:autoSpaceDE w:val="0"/>
              <w:autoSpaceDN w:val="0"/>
              <w:adjustRightInd w:val="0"/>
              <w:jc w:val="both"/>
              <w:rPr>
                <w:rFonts w:ascii="Arial" w:hAnsi="Arial" w:cs="Arial"/>
                <w:b/>
                <w:color w:val="000000"/>
              </w:rPr>
            </w:pPr>
            <w:r w:rsidRPr="00AA0584">
              <w:rPr>
                <w:rFonts w:ascii="Arial" w:hAnsi="Arial" w:cs="Arial"/>
                <w:b/>
                <w:color w:val="000000"/>
              </w:rPr>
              <w:lastRenderedPageBreak/>
              <w:t xml:space="preserve">Implemented </w:t>
            </w:r>
          </w:p>
          <w:p w:rsidR="00AA55D7" w:rsidRDefault="00AA55D7" w:rsidP="00AA55D7">
            <w:pPr>
              <w:autoSpaceDE w:val="0"/>
              <w:autoSpaceDN w:val="0"/>
              <w:adjustRightInd w:val="0"/>
              <w:rPr>
                <w:rFonts w:ascii="Arial" w:eastAsia="Calibri" w:hAnsi="Arial" w:cs="Arial"/>
                <w:bCs/>
                <w:color w:val="000000"/>
                <w:lang w:eastAsia="en-GB"/>
              </w:rPr>
            </w:pPr>
            <w:r>
              <w:rPr>
                <w:rFonts w:ascii="Arial" w:eastAsia="Calibri" w:hAnsi="Arial" w:cs="Arial"/>
                <w:bCs/>
                <w:color w:val="000000"/>
                <w:lang w:eastAsia="en-GB"/>
              </w:rPr>
              <w:t xml:space="preserve">A reminder that </w:t>
            </w:r>
            <w:r w:rsidR="002157D0">
              <w:rPr>
                <w:rFonts w:ascii="Arial" w:eastAsia="Calibri" w:hAnsi="Arial" w:cs="Arial"/>
                <w:bCs/>
                <w:color w:val="000000"/>
                <w:lang w:eastAsia="en-GB"/>
              </w:rPr>
              <w:t>r</w:t>
            </w:r>
            <w:r w:rsidR="002157D0" w:rsidRPr="00AA0584">
              <w:rPr>
                <w:rFonts w:ascii="Arial" w:hAnsi="Arial" w:cs="Arial"/>
              </w:rPr>
              <w:t>equests to raise invoice</w:t>
            </w:r>
            <w:r w:rsidR="002157D0">
              <w:rPr>
                <w:rFonts w:ascii="Arial" w:hAnsi="Arial" w:cs="Arial"/>
              </w:rPr>
              <w:t>s</w:t>
            </w:r>
            <w:r w:rsidR="002157D0" w:rsidRPr="00AA0584">
              <w:rPr>
                <w:rFonts w:ascii="Arial" w:hAnsi="Arial" w:cs="Arial"/>
              </w:rPr>
              <w:t xml:space="preserve"> </w:t>
            </w:r>
            <w:r w:rsidR="002157D0">
              <w:rPr>
                <w:rFonts w:ascii="Arial" w:hAnsi="Arial" w:cs="Arial"/>
              </w:rPr>
              <w:t xml:space="preserve">are </w:t>
            </w:r>
            <w:r w:rsidR="002157D0" w:rsidRPr="00AA0584">
              <w:rPr>
                <w:rFonts w:ascii="Arial" w:hAnsi="Arial" w:cs="Arial"/>
              </w:rPr>
              <w:t>to be processed before the event or service is provided</w:t>
            </w:r>
            <w:r w:rsidR="002157D0">
              <w:rPr>
                <w:rFonts w:ascii="Arial" w:eastAsia="Calibri" w:hAnsi="Arial" w:cs="Arial"/>
                <w:bCs/>
                <w:color w:val="000000"/>
                <w:lang w:eastAsia="en-GB"/>
              </w:rPr>
              <w:t xml:space="preserve"> </w:t>
            </w:r>
            <w:r>
              <w:rPr>
                <w:rFonts w:ascii="Arial" w:eastAsia="Calibri" w:hAnsi="Arial" w:cs="Arial"/>
                <w:bCs/>
                <w:color w:val="000000"/>
                <w:lang w:eastAsia="en-GB"/>
              </w:rPr>
              <w:t xml:space="preserve">has been added to the monthly Aged Debt </w:t>
            </w:r>
            <w:r w:rsidR="002157D0">
              <w:rPr>
                <w:rFonts w:ascii="Arial" w:eastAsia="Calibri" w:hAnsi="Arial" w:cs="Arial"/>
                <w:bCs/>
                <w:color w:val="000000"/>
                <w:lang w:eastAsia="en-GB"/>
              </w:rPr>
              <w:t>R</w:t>
            </w:r>
            <w:r>
              <w:rPr>
                <w:rFonts w:ascii="Arial" w:eastAsia="Calibri" w:hAnsi="Arial" w:cs="Arial"/>
                <w:bCs/>
                <w:color w:val="000000"/>
                <w:lang w:eastAsia="en-GB"/>
              </w:rPr>
              <w:t>eport that is sent out to all GLA Business Accountants and Unit Heads. The reminder is worded as follows:</w:t>
            </w:r>
          </w:p>
          <w:p w:rsidR="002157D0" w:rsidRDefault="002157D0" w:rsidP="00AA55D7">
            <w:pPr>
              <w:autoSpaceDE w:val="0"/>
              <w:autoSpaceDN w:val="0"/>
              <w:adjustRightInd w:val="0"/>
              <w:rPr>
                <w:rFonts w:ascii="Arial" w:eastAsia="Calibri" w:hAnsi="Arial" w:cs="Arial"/>
                <w:bCs/>
                <w:color w:val="000000"/>
                <w:lang w:eastAsia="en-GB"/>
              </w:rPr>
            </w:pPr>
          </w:p>
          <w:p w:rsidR="002157D0" w:rsidRDefault="002157D0" w:rsidP="002157D0">
            <w:pPr>
              <w:autoSpaceDE w:val="0"/>
              <w:autoSpaceDN w:val="0"/>
              <w:adjustRightInd w:val="0"/>
              <w:rPr>
                <w:rFonts w:ascii="Arial" w:eastAsia="Calibri" w:hAnsi="Arial" w:cs="Arial"/>
                <w:bCs/>
                <w:i/>
                <w:color w:val="000000"/>
                <w:u w:val="single"/>
                <w:lang w:eastAsia="en-GB"/>
              </w:rPr>
            </w:pPr>
            <w:r>
              <w:rPr>
                <w:rFonts w:ascii="Arial" w:eastAsia="Calibri" w:hAnsi="Arial" w:cs="Arial"/>
                <w:bCs/>
                <w:i/>
                <w:color w:val="000000"/>
                <w:u w:val="single"/>
                <w:lang w:eastAsia="en-GB"/>
              </w:rPr>
              <w:t>“</w:t>
            </w:r>
            <w:r w:rsidRPr="002157D0">
              <w:rPr>
                <w:rFonts w:ascii="Arial" w:eastAsia="Calibri" w:hAnsi="Arial" w:cs="Arial"/>
                <w:bCs/>
                <w:i/>
                <w:color w:val="000000"/>
                <w:u w:val="single"/>
                <w:lang w:eastAsia="en-GB"/>
              </w:rPr>
              <w:t>Reminder - Financial Regulations</w:t>
            </w:r>
          </w:p>
          <w:p w:rsidR="002157D0" w:rsidRPr="002157D0" w:rsidRDefault="002157D0" w:rsidP="002157D0">
            <w:pPr>
              <w:autoSpaceDE w:val="0"/>
              <w:autoSpaceDN w:val="0"/>
              <w:adjustRightInd w:val="0"/>
              <w:rPr>
                <w:rFonts w:ascii="Arial" w:eastAsia="Calibri" w:hAnsi="Arial" w:cs="Arial"/>
                <w:bCs/>
                <w:i/>
                <w:color w:val="000000"/>
                <w:u w:val="single"/>
                <w:lang w:eastAsia="en-GB"/>
              </w:rPr>
            </w:pPr>
          </w:p>
          <w:p w:rsidR="002157D0" w:rsidRPr="002157D0" w:rsidRDefault="002157D0" w:rsidP="002157D0">
            <w:pPr>
              <w:autoSpaceDE w:val="0"/>
              <w:autoSpaceDN w:val="0"/>
              <w:adjustRightInd w:val="0"/>
              <w:rPr>
                <w:rFonts w:ascii="Arial" w:eastAsia="Calibri" w:hAnsi="Arial" w:cs="Arial"/>
                <w:bCs/>
                <w:i/>
                <w:color w:val="000000"/>
                <w:lang w:eastAsia="en-GB"/>
              </w:rPr>
            </w:pPr>
            <w:r w:rsidRPr="002157D0">
              <w:rPr>
                <w:rFonts w:ascii="Arial" w:eastAsia="Calibri" w:hAnsi="Arial" w:cs="Arial"/>
                <w:bCs/>
                <w:i/>
                <w:color w:val="000000"/>
                <w:lang w:eastAsia="en-GB"/>
              </w:rPr>
              <w:t>A recent internal audit concluded that a significant number of Sales Invoices are being raised after the service has been provided.</w:t>
            </w:r>
          </w:p>
          <w:p w:rsidR="002157D0" w:rsidRPr="002157D0" w:rsidRDefault="002157D0" w:rsidP="002157D0">
            <w:pPr>
              <w:autoSpaceDE w:val="0"/>
              <w:autoSpaceDN w:val="0"/>
              <w:adjustRightInd w:val="0"/>
              <w:rPr>
                <w:rFonts w:ascii="Arial" w:eastAsia="Calibri" w:hAnsi="Arial" w:cs="Arial"/>
                <w:bCs/>
                <w:i/>
                <w:color w:val="000000"/>
                <w:lang w:eastAsia="en-GB"/>
              </w:rPr>
            </w:pPr>
          </w:p>
          <w:p w:rsidR="002157D0" w:rsidRPr="002157D0" w:rsidRDefault="002157D0" w:rsidP="002157D0">
            <w:pPr>
              <w:autoSpaceDE w:val="0"/>
              <w:autoSpaceDN w:val="0"/>
              <w:adjustRightInd w:val="0"/>
              <w:rPr>
                <w:rFonts w:ascii="Arial" w:eastAsia="Calibri" w:hAnsi="Arial" w:cs="Arial"/>
                <w:bCs/>
                <w:i/>
                <w:color w:val="000000"/>
                <w:lang w:eastAsia="en-GB"/>
              </w:rPr>
            </w:pPr>
            <w:r w:rsidRPr="002157D0">
              <w:rPr>
                <w:rFonts w:ascii="Arial" w:eastAsia="Calibri" w:hAnsi="Arial" w:cs="Arial"/>
                <w:bCs/>
                <w:i/>
                <w:color w:val="000000"/>
                <w:lang w:eastAsia="en-GB"/>
              </w:rPr>
              <w:lastRenderedPageBreak/>
              <w:t>I have included an extract from the Financial Regulations with regard to invoicing:</w:t>
            </w:r>
          </w:p>
          <w:p w:rsidR="002157D0" w:rsidRPr="002157D0" w:rsidRDefault="002157D0" w:rsidP="002157D0">
            <w:pPr>
              <w:autoSpaceDE w:val="0"/>
              <w:autoSpaceDN w:val="0"/>
              <w:adjustRightInd w:val="0"/>
              <w:rPr>
                <w:rFonts w:ascii="Arial" w:eastAsia="Calibri" w:hAnsi="Arial" w:cs="Arial"/>
                <w:bCs/>
                <w:i/>
                <w:color w:val="000000"/>
                <w:lang w:eastAsia="en-GB"/>
              </w:rPr>
            </w:pPr>
          </w:p>
          <w:p w:rsidR="002157D0" w:rsidRPr="002157D0" w:rsidRDefault="002157D0" w:rsidP="002157D0">
            <w:pPr>
              <w:autoSpaceDE w:val="0"/>
              <w:autoSpaceDN w:val="0"/>
              <w:adjustRightInd w:val="0"/>
              <w:rPr>
                <w:rFonts w:ascii="Arial" w:eastAsia="Calibri" w:hAnsi="Arial" w:cs="Arial"/>
                <w:bCs/>
                <w:i/>
                <w:color w:val="000000"/>
                <w:lang w:eastAsia="en-GB"/>
              </w:rPr>
            </w:pPr>
            <w:r w:rsidRPr="002157D0">
              <w:rPr>
                <w:rFonts w:ascii="Arial" w:eastAsia="Calibri" w:hAnsi="Arial" w:cs="Arial"/>
                <w:bCs/>
                <w:i/>
                <w:color w:val="000000"/>
                <w:lang w:eastAsia="en-GB"/>
              </w:rPr>
              <w:t>16.1</w:t>
            </w:r>
            <w:r w:rsidRPr="002157D0">
              <w:rPr>
                <w:rFonts w:ascii="Arial" w:eastAsia="Calibri" w:hAnsi="Arial" w:cs="Arial"/>
                <w:bCs/>
                <w:i/>
                <w:color w:val="000000"/>
                <w:lang w:eastAsia="en-GB"/>
              </w:rPr>
              <w:tab/>
              <w:t>Income in relation to the provision of goods and services must generally be invoiced for and paid prior to the delivery of goods or the provision of the service.</w:t>
            </w:r>
          </w:p>
          <w:p w:rsidR="002157D0" w:rsidRPr="002157D0" w:rsidRDefault="002157D0" w:rsidP="002157D0">
            <w:pPr>
              <w:autoSpaceDE w:val="0"/>
              <w:autoSpaceDN w:val="0"/>
              <w:adjustRightInd w:val="0"/>
              <w:rPr>
                <w:rFonts w:ascii="Arial" w:eastAsia="Calibri" w:hAnsi="Arial" w:cs="Arial"/>
                <w:bCs/>
                <w:i/>
                <w:color w:val="000000"/>
                <w:lang w:eastAsia="en-GB"/>
              </w:rPr>
            </w:pPr>
          </w:p>
          <w:p w:rsidR="002317AE" w:rsidRPr="00AA0584" w:rsidRDefault="002157D0" w:rsidP="006D0B33">
            <w:pPr>
              <w:autoSpaceDE w:val="0"/>
              <w:autoSpaceDN w:val="0"/>
              <w:adjustRightInd w:val="0"/>
              <w:rPr>
                <w:rFonts w:ascii="Arial" w:hAnsi="Arial" w:cs="Arial"/>
                <w:color w:val="000000"/>
              </w:rPr>
            </w:pPr>
            <w:r w:rsidRPr="002157D0">
              <w:rPr>
                <w:rFonts w:ascii="Arial" w:eastAsia="Calibri" w:hAnsi="Arial" w:cs="Arial"/>
                <w:bCs/>
                <w:i/>
                <w:color w:val="000000"/>
                <w:lang w:eastAsia="en-GB"/>
              </w:rPr>
              <w:t>Please ensure that you adhere to the financial regulations at all times</w:t>
            </w:r>
            <w:r>
              <w:rPr>
                <w:rFonts w:ascii="Arial" w:eastAsia="Calibri" w:hAnsi="Arial" w:cs="Arial"/>
                <w:bCs/>
                <w:i/>
                <w:color w:val="000000"/>
                <w:lang w:eastAsia="en-GB"/>
              </w:rPr>
              <w:t>”</w:t>
            </w:r>
          </w:p>
        </w:tc>
        <w:tc>
          <w:tcPr>
            <w:tcW w:w="3261" w:type="dxa"/>
          </w:tcPr>
          <w:p w:rsidR="002317AE" w:rsidRPr="00AA0584" w:rsidRDefault="002317AE" w:rsidP="004500DE">
            <w:pPr>
              <w:autoSpaceDE w:val="0"/>
              <w:autoSpaceDN w:val="0"/>
              <w:adjustRightInd w:val="0"/>
              <w:jc w:val="both"/>
              <w:rPr>
                <w:rFonts w:ascii="Arial" w:hAnsi="Arial" w:cs="Arial"/>
                <w:b/>
                <w:color w:val="000000"/>
              </w:rPr>
            </w:pPr>
            <w:r w:rsidRPr="00AA0584">
              <w:rPr>
                <w:rFonts w:ascii="Arial" w:hAnsi="Arial" w:cs="Arial"/>
                <w:b/>
                <w:color w:val="000000"/>
              </w:rPr>
              <w:lastRenderedPageBreak/>
              <w:t>None</w:t>
            </w:r>
          </w:p>
        </w:tc>
      </w:tr>
      <w:tr w:rsidR="002317AE" w:rsidRPr="000E4168" w:rsidTr="006B7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1" w:type="dxa"/>
          </w:tcPr>
          <w:p w:rsidR="002317AE" w:rsidRPr="00AA0584" w:rsidRDefault="0002352E" w:rsidP="004500DE">
            <w:pPr>
              <w:autoSpaceDE w:val="0"/>
              <w:autoSpaceDN w:val="0"/>
              <w:adjustRightInd w:val="0"/>
              <w:rPr>
                <w:rFonts w:ascii="Arial" w:eastAsia="Calibri" w:hAnsi="Arial" w:cs="Arial"/>
                <w:bCs/>
                <w:color w:val="000000"/>
                <w:lang w:eastAsia="en-GB"/>
              </w:rPr>
            </w:pPr>
            <w:r w:rsidRPr="00AA0584">
              <w:rPr>
                <w:rFonts w:ascii="Arial" w:eastAsia="Calibri" w:hAnsi="Arial" w:cs="Arial"/>
                <w:bCs/>
                <w:color w:val="000000"/>
                <w:lang w:eastAsia="en-GB"/>
              </w:rPr>
              <w:lastRenderedPageBreak/>
              <w:t>7.5</w:t>
            </w:r>
          </w:p>
        </w:tc>
        <w:tc>
          <w:tcPr>
            <w:tcW w:w="3969" w:type="dxa"/>
            <w:tcBorders>
              <w:top w:val="single" w:sz="6" w:space="0" w:color="auto"/>
              <w:bottom w:val="single" w:sz="6" w:space="0" w:color="auto"/>
            </w:tcBorders>
          </w:tcPr>
          <w:p w:rsidR="002317AE" w:rsidRPr="00AA0584" w:rsidRDefault="00AA0584" w:rsidP="004500DE">
            <w:pPr>
              <w:jc w:val="both"/>
              <w:rPr>
                <w:rFonts w:ascii="Arial" w:hAnsi="Arial" w:cs="Arial"/>
                <w:bCs/>
              </w:rPr>
            </w:pPr>
            <w:r w:rsidRPr="00AA0584">
              <w:rPr>
                <w:rFonts w:ascii="Arial" w:hAnsi="Arial" w:cs="Arial"/>
              </w:rPr>
              <w:t>Monitoring of the time taken to process debtor invoices by the GLA Finance Team should be regularly undertaken to ensure they are being raised in an appropriate timeframe.</w:t>
            </w:r>
          </w:p>
        </w:tc>
        <w:tc>
          <w:tcPr>
            <w:tcW w:w="1134" w:type="dxa"/>
          </w:tcPr>
          <w:p w:rsidR="002317AE" w:rsidRPr="00AA0584" w:rsidRDefault="00AA0584" w:rsidP="004500DE">
            <w:pPr>
              <w:autoSpaceDE w:val="0"/>
              <w:autoSpaceDN w:val="0"/>
              <w:adjustRightInd w:val="0"/>
              <w:jc w:val="center"/>
              <w:rPr>
                <w:rFonts w:ascii="Arial" w:eastAsia="Calibri" w:hAnsi="Arial" w:cs="Arial"/>
                <w:bCs/>
                <w:color w:val="000000"/>
                <w:lang w:eastAsia="en-GB"/>
              </w:rPr>
            </w:pPr>
            <w:r w:rsidRPr="00AA0584">
              <w:rPr>
                <w:rFonts w:ascii="Arial" w:eastAsia="Calibri" w:hAnsi="Arial" w:cs="Arial"/>
                <w:bCs/>
                <w:color w:val="000000"/>
                <w:lang w:eastAsia="en-GB"/>
              </w:rPr>
              <w:t>3</w:t>
            </w:r>
          </w:p>
        </w:tc>
        <w:tc>
          <w:tcPr>
            <w:tcW w:w="2835" w:type="dxa"/>
          </w:tcPr>
          <w:p w:rsidR="00AA0584" w:rsidRPr="00AA0584" w:rsidRDefault="00AA0584" w:rsidP="0073728B">
            <w:pPr>
              <w:autoSpaceDE w:val="0"/>
              <w:autoSpaceDN w:val="0"/>
              <w:adjustRightInd w:val="0"/>
              <w:jc w:val="both"/>
              <w:rPr>
                <w:rFonts w:ascii="Arial" w:hAnsi="Arial" w:cs="Arial"/>
                <w:b/>
                <w:color w:val="000000"/>
              </w:rPr>
            </w:pPr>
            <w:r w:rsidRPr="00AA0584">
              <w:rPr>
                <w:rFonts w:ascii="Arial" w:hAnsi="Arial" w:cs="Arial"/>
              </w:rPr>
              <w:t>Monitoring of the time taken to process debtor invoices by the GLA Finance Team to be regularly undertaken to ensure they are being raised in an appropriate timeframe.</w:t>
            </w:r>
          </w:p>
          <w:p w:rsidR="002317AE" w:rsidRPr="00AA0584" w:rsidRDefault="002317AE" w:rsidP="0073728B">
            <w:pPr>
              <w:autoSpaceDE w:val="0"/>
              <w:autoSpaceDN w:val="0"/>
              <w:adjustRightInd w:val="0"/>
              <w:jc w:val="both"/>
              <w:rPr>
                <w:rFonts w:ascii="Arial" w:hAnsi="Arial" w:cs="Arial"/>
                <w:b/>
                <w:color w:val="000000"/>
              </w:rPr>
            </w:pPr>
            <w:r w:rsidRPr="00AA0584">
              <w:rPr>
                <w:rFonts w:ascii="Arial" w:hAnsi="Arial" w:cs="Arial"/>
                <w:b/>
                <w:color w:val="000000"/>
              </w:rPr>
              <w:t>Management Response</w:t>
            </w:r>
          </w:p>
          <w:p w:rsidR="002317AE" w:rsidRPr="00AA0584" w:rsidRDefault="00AA0584" w:rsidP="0073728B">
            <w:pPr>
              <w:ind w:left="-18"/>
              <w:jc w:val="both"/>
              <w:rPr>
                <w:rFonts w:ascii="Arial" w:hAnsi="Arial" w:cs="Arial"/>
                <w:b/>
                <w:color w:val="000000"/>
              </w:rPr>
            </w:pPr>
            <w:r w:rsidRPr="00AA0584">
              <w:rPr>
                <w:rFonts w:ascii="Arial" w:eastAsia="Calibri" w:hAnsi="Arial" w:cs="Arial"/>
                <w:bCs/>
                <w:color w:val="000000"/>
                <w:lang w:eastAsia="en-GB"/>
              </w:rPr>
              <w:t>Dip sampling will be undertaken on a monthly basis to ensure compliance with performance targets.</w:t>
            </w:r>
          </w:p>
          <w:p w:rsidR="00AA0584" w:rsidRDefault="00AA0584" w:rsidP="0073728B">
            <w:pPr>
              <w:ind w:left="-18"/>
              <w:jc w:val="both"/>
              <w:rPr>
                <w:rFonts w:ascii="Arial" w:hAnsi="Arial" w:cs="Arial"/>
                <w:b/>
                <w:color w:val="000000"/>
              </w:rPr>
            </w:pPr>
          </w:p>
          <w:p w:rsidR="002317AE" w:rsidRPr="00AA0584" w:rsidRDefault="002317AE" w:rsidP="0073728B">
            <w:pPr>
              <w:ind w:left="-18"/>
              <w:jc w:val="both"/>
              <w:rPr>
                <w:rFonts w:ascii="Arial" w:hAnsi="Arial" w:cs="Arial"/>
                <w:b/>
                <w:color w:val="000000"/>
              </w:rPr>
            </w:pPr>
            <w:r w:rsidRPr="00AA0584">
              <w:rPr>
                <w:rFonts w:ascii="Arial" w:hAnsi="Arial" w:cs="Arial"/>
                <w:b/>
                <w:color w:val="000000"/>
              </w:rPr>
              <w:t>Target Date:</w:t>
            </w:r>
          </w:p>
          <w:p w:rsidR="002317AE" w:rsidRDefault="00AA0584" w:rsidP="00AA0584">
            <w:pPr>
              <w:ind w:left="-18"/>
              <w:jc w:val="both"/>
              <w:rPr>
                <w:rFonts w:ascii="Arial" w:hAnsi="Arial" w:cs="Arial"/>
                <w:color w:val="000000"/>
              </w:rPr>
            </w:pPr>
            <w:r w:rsidRPr="00AA0584">
              <w:rPr>
                <w:rFonts w:ascii="Arial" w:hAnsi="Arial" w:cs="Arial"/>
                <w:color w:val="000000"/>
              </w:rPr>
              <w:t>December 2014</w:t>
            </w:r>
          </w:p>
          <w:p w:rsidR="00AA0584" w:rsidRPr="00AA0584" w:rsidRDefault="00AA0584" w:rsidP="00AA0584">
            <w:pPr>
              <w:ind w:left="-18"/>
              <w:jc w:val="both"/>
              <w:rPr>
                <w:rFonts w:ascii="Arial" w:hAnsi="Arial" w:cs="Arial"/>
                <w:lang w:eastAsia="en-GB"/>
              </w:rPr>
            </w:pPr>
          </w:p>
        </w:tc>
        <w:tc>
          <w:tcPr>
            <w:tcW w:w="3260" w:type="dxa"/>
          </w:tcPr>
          <w:p w:rsidR="002317AE" w:rsidRPr="00AA0584" w:rsidRDefault="002317AE" w:rsidP="000D180F">
            <w:pPr>
              <w:autoSpaceDE w:val="0"/>
              <w:autoSpaceDN w:val="0"/>
              <w:adjustRightInd w:val="0"/>
              <w:jc w:val="both"/>
              <w:rPr>
                <w:rFonts w:ascii="Arial" w:hAnsi="Arial" w:cs="Arial"/>
                <w:b/>
                <w:color w:val="000000"/>
              </w:rPr>
            </w:pPr>
            <w:r w:rsidRPr="00AA0584">
              <w:rPr>
                <w:rFonts w:ascii="Arial" w:hAnsi="Arial" w:cs="Arial"/>
                <w:b/>
                <w:color w:val="000000"/>
              </w:rPr>
              <w:t xml:space="preserve">Implemented </w:t>
            </w:r>
          </w:p>
          <w:p w:rsidR="002317AE" w:rsidRDefault="006A0703" w:rsidP="006D0B33">
            <w:pPr>
              <w:ind w:left="-18"/>
              <w:jc w:val="both"/>
              <w:rPr>
                <w:rFonts w:ascii="Arial" w:eastAsia="Calibri" w:hAnsi="Arial" w:cs="Arial"/>
                <w:bCs/>
                <w:color w:val="000000"/>
                <w:lang w:eastAsia="en-GB"/>
              </w:rPr>
            </w:pPr>
            <w:r>
              <w:rPr>
                <w:rFonts w:ascii="Arial" w:eastAsia="Calibri" w:hAnsi="Arial" w:cs="Arial"/>
                <w:bCs/>
                <w:color w:val="000000"/>
                <w:lang w:eastAsia="en-GB"/>
              </w:rPr>
              <w:t xml:space="preserve">Monitoring of the time taken to process debtors invoices </w:t>
            </w:r>
            <w:r w:rsidR="002157D0">
              <w:rPr>
                <w:rFonts w:ascii="Arial" w:eastAsia="Calibri" w:hAnsi="Arial" w:cs="Arial"/>
                <w:bCs/>
                <w:color w:val="000000"/>
                <w:lang w:eastAsia="en-GB"/>
              </w:rPr>
              <w:t xml:space="preserve">now takes place with the first </w:t>
            </w:r>
            <w:r w:rsidR="002A5B1C">
              <w:rPr>
                <w:rFonts w:ascii="Arial" w:eastAsia="Calibri" w:hAnsi="Arial" w:cs="Arial"/>
                <w:bCs/>
                <w:color w:val="000000"/>
                <w:lang w:eastAsia="en-GB"/>
              </w:rPr>
              <w:t>d</w:t>
            </w:r>
            <w:r>
              <w:rPr>
                <w:rFonts w:ascii="Arial" w:eastAsia="Calibri" w:hAnsi="Arial" w:cs="Arial"/>
                <w:bCs/>
                <w:color w:val="000000"/>
                <w:lang w:eastAsia="en-GB"/>
              </w:rPr>
              <w:t xml:space="preserve">ip sampling </w:t>
            </w:r>
            <w:r w:rsidR="002157D0">
              <w:rPr>
                <w:rFonts w:ascii="Arial" w:eastAsia="Calibri" w:hAnsi="Arial" w:cs="Arial"/>
                <w:bCs/>
                <w:color w:val="000000"/>
                <w:lang w:eastAsia="en-GB"/>
              </w:rPr>
              <w:t xml:space="preserve">exercise taking place in </w:t>
            </w:r>
            <w:r w:rsidR="006D0B33">
              <w:rPr>
                <w:rFonts w:ascii="Arial" w:eastAsia="Calibri" w:hAnsi="Arial" w:cs="Arial"/>
                <w:bCs/>
                <w:color w:val="000000"/>
                <w:lang w:eastAsia="en-GB"/>
              </w:rPr>
              <w:t>M</w:t>
            </w:r>
            <w:r w:rsidR="002157D0">
              <w:rPr>
                <w:rFonts w:ascii="Arial" w:eastAsia="Calibri" w:hAnsi="Arial" w:cs="Arial"/>
                <w:bCs/>
                <w:color w:val="000000"/>
                <w:lang w:eastAsia="en-GB"/>
              </w:rPr>
              <w:t>arch 2015. A sample of 10 SIRFs was test</w:t>
            </w:r>
            <w:r>
              <w:rPr>
                <w:rFonts w:ascii="Arial" w:eastAsia="Calibri" w:hAnsi="Arial" w:cs="Arial"/>
                <w:bCs/>
                <w:color w:val="000000"/>
                <w:lang w:eastAsia="en-GB"/>
              </w:rPr>
              <w:t>ed b</w:t>
            </w:r>
            <w:r w:rsidR="002157D0">
              <w:rPr>
                <w:rFonts w:ascii="Arial" w:eastAsia="Calibri" w:hAnsi="Arial" w:cs="Arial"/>
                <w:bCs/>
                <w:color w:val="000000"/>
                <w:lang w:eastAsia="en-GB"/>
              </w:rPr>
              <w:t xml:space="preserve">y the </w:t>
            </w:r>
            <w:r>
              <w:rPr>
                <w:rFonts w:ascii="Arial" w:eastAsia="Calibri" w:hAnsi="Arial" w:cs="Arial"/>
                <w:bCs/>
                <w:color w:val="000000"/>
                <w:lang w:eastAsia="en-GB"/>
              </w:rPr>
              <w:t>Senior Finance Officer and all 10 were found to have been processed promptly, within 5 working days. The sampling exercise was reviewed by the Chief Accountant</w:t>
            </w:r>
            <w:r w:rsidR="00210965">
              <w:rPr>
                <w:rFonts w:ascii="Arial" w:eastAsia="Calibri" w:hAnsi="Arial" w:cs="Arial"/>
                <w:bCs/>
                <w:color w:val="000000"/>
                <w:lang w:eastAsia="en-GB"/>
              </w:rPr>
              <w:t>.</w:t>
            </w:r>
          </w:p>
          <w:p w:rsidR="006D0B33" w:rsidRDefault="006D0B33" w:rsidP="006D0B33">
            <w:pPr>
              <w:ind w:left="-18"/>
              <w:jc w:val="both"/>
              <w:rPr>
                <w:rFonts w:ascii="Arial" w:eastAsia="Calibri" w:hAnsi="Arial" w:cs="Arial"/>
                <w:bCs/>
                <w:color w:val="000000"/>
                <w:lang w:eastAsia="en-GB"/>
              </w:rPr>
            </w:pPr>
          </w:p>
          <w:p w:rsidR="006D0B33" w:rsidRDefault="006D0B33" w:rsidP="006D0B33">
            <w:pPr>
              <w:ind w:left="-18"/>
              <w:jc w:val="both"/>
              <w:rPr>
                <w:rFonts w:ascii="Arial" w:eastAsia="Calibri" w:hAnsi="Arial" w:cs="Arial"/>
                <w:bCs/>
                <w:color w:val="000000"/>
                <w:lang w:eastAsia="en-GB"/>
              </w:rPr>
            </w:pPr>
          </w:p>
          <w:p w:rsidR="006D0B33" w:rsidRDefault="006D0B33" w:rsidP="006D0B33">
            <w:pPr>
              <w:ind w:left="-18"/>
              <w:jc w:val="both"/>
              <w:rPr>
                <w:rFonts w:ascii="Arial" w:eastAsia="Calibri" w:hAnsi="Arial" w:cs="Arial"/>
                <w:bCs/>
                <w:color w:val="000000"/>
                <w:lang w:eastAsia="en-GB"/>
              </w:rPr>
            </w:pPr>
          </w:p>
          <w:p w:rsidR="006D0B33" w:rsidRDefault="006D0B33" w:rsidP="006D0B33">
            <w:pPr>
              <w:ind w:left="-18"/>
              <w:jc w:val="both"/>
              <w:rPr>
                <w:rFonts w:ascii="Arial" w:eastAsia="Calibri" w:hAnsi="Arial" w:cs="Arial"/>
                <w:bCs/>
                <w:color w:val="000000"/>
                <w:lang w:eastAsia="en-GB"/>
              </w:rPr>
            </w:pPr>
          </w:p>
          <w:p w:rsidR="006D0B33" w:rsidRDefault="006D0B33" w:rsidP="006D0B33">
            <w:pPr>
              <w:ind w:left="-18"/>
              <w:jc w:val="both"/>
              <w:rPr>
                <w:rFonts w:ascii="Arial" w:eastAsia="Calibri" w:hAnsi="Arial" w:cs="Arial"/>
                <w:bCs/>
                <w:color w:val="000000"/>
                <w:lang w:eastAsia="en-GB"/>
              </w:rPr>
            </w:pPr>
          </w:p>
          <w:p w:rsidR="006D0B33" w:rsidRDefault="006D0B33" w:rsidP="006D0B33">
            <w:pPr>
              <w:ind w:left="-18"/>
              <w:jc w:val="both"/>
              <w:rPr>
                <w:rFonts w:ascii="Arial" w:eastAsia="Calibri" w:hAnsi="Arial" w:cs="Arial"/>
                <w:bCs/>
                <w:color w:val="000000"/>
                <w:lang w:eastAsia="en-GB"/>
              </w:rPr>
            </w:pPr>
          </w:p>
          <w:p w:rsidR="006D0B33" w:rsidRDefault="006D0B33" w:rsidP="006D0B33">
            <w:pPr>
              <w:ind w:left="-18"/>
              <w:jc w:val="both"/>
              <w:rPr>
                <w:rFonts w:ascii="Arial" w:eastAsia="Calibri" w:hAnsi="Arial" w:cs="Arial"/>
                <w:bCs/>
                <w:color w:val="000000"/>
                <w:lang w:eastAsia="en-GB"/>
              </w:rPr>
            </w:pPr>
          </w:p>
          <w:p w:rsidR="006D0B33" w:rsidRPr="00AA0584" w:rsidRDefault="006D0B33" w:rsidP="006D0B33">
            <w:pPr>
              <w:ind w:left="-18"/>
              <w:jc w:val="both"/>
              <w:rPr>
                <w:rFonts w:ascii="Arial" w:hAnsi="Arial" w:cs="Arial"/>
                <w:b/>
              </w:rPr>
            </w:pPr>
          </w:p>
        </w:tc>
        <w:tc>
          <w:tcPr>
            <w:tcW w:w="3261" w:type="dxa"/>
          </w:tcPr>
          <w:p w:rsidR="002317AE" w:rsidRPr="00AA0584" w:rsidRDefault="00B60178" w:rsidP="00B60178">
            <w:pPr>
              <w:autoSpaceDE w:val="0"/>
              <w:autoSpaceDN w:val="0"/>
              <w:adjustRightInd w:val="0"/>
              <w:jc w:val="both"/>
              <w:rPr>
                <w:rFonts w:ascii="Arial" w:hAnsi="Arial" w:cs="Arial"/>
                <w:b/>
                <w:color w:val="000000"/>
              </w:rPr>
            </w:pPr>
            <w:r>
              <w:rPr>
                <w:rFonts w:ascii="Arial" w:hAnsi="Arial" w:cs="Arial"/>
                <w:b/>
                <w:color w:val="000000"/>
              </w:rPr>
              <w:t>None</w:t>
            </w:r>
          </w:p>
        </w:tc>
      </w:tr>
      <w:tr w:rsidR="0002352E" w:rsidRPr="000E4168" w:rsidTr="000235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trPr>
        <w:tc>
          <w:tcPr>
            <w:tcW w:w="851" w:type="dxa"/>
          </w:tcPr>
          <w:p w:rsidR="0002352E" w:rsidRPr="00AA0584" w:rsidRDefault="0002352E" w:rsidP="004500DE">
            <w:pPr>
              <w:autoSpaceDE w:val="0"/>
              <w:autoSpaceDN w:val="0"/>
              <w:adjustRightInd w:val="0"/>
              <w:rPr>
                <w:rFonts w:ascii="Arial" w:eastAsia="Calibri" w:hAnsi="Arial" w:cs="Arial"/>
                <w:bCs/>
                <w:color w:val="000000"/>
                <w:lang w:eastAsia="en-GB"/>
              </w:rPr>
            </w:pPr>
            <w:r w:rsidRPr="00AA0584">
              <w:rPr>
                <w:rFonts w:ascii="Arial" w:eastAsia="Calibri" w:hAnsi="Arial" w:cs="Arial"/>
                <w:bCs/>
                <w:color w:val="000000"/>
                <w:lang w:eastAsia="en-GB"/>
              </w:rPr>
              <w:t>8.4</w:t>
            </w:r>
          </w:p>
        </w:tc>
        <w:tc>
          <w:tcPr>
            <w:tcW w:w="3969" w:type="dxa"/>
            <w:tcBorders>
              <w:top w:val="single" w:sz="6" w:space="0" w:color="auto"/>
              <w:bottom w:val="single" w:sz="6" w:space="0" w:color="auto"/>
            </w:tcBorders>
          </w:tcPr>
          <w:p w:rsidR="0002352E" w:rsidRPr="00AA0584" w:rsidRDefault="00AA0584" w:rsidP="004500DE">
            <w:pPr>
              <w:jc w:val="both"/>
              <w:rPr>
                <w:rFonts w:ascii="Arial" w:hAnsi="Arial" w:cs="Arial"/>
                <w:bCs/>
              </w:rPr>
            </w:pPr>
            <w:r w:rsidRPr="00AA0584">
              <w:rPr>
                <w:rFonts w:ascii="Arial" w:hAnsi="Arial" w:cs="Arial"/>
              </w:rPr>
              <w:t xml:space="preserve">The GLA Finance Team undertook a review of the time it took for the FSC to bank cheques in 2013, which indicated there were often significant delays in </w:t>
            </w:r>
            <w:r w:rsidRPr="00AA0584">
              <w:rPr>
                <w:rFonts w:ascii="Arial" w:hAnsi="Arial" w:cs="Arial"/>
              </w:rPr>
              <w:lastRenderedPageBreak/>
              <w:t>banking cheques. Following this the FSC committed to reduce the time taken to bank cheques, but a further review has not been undertaken to establish if this has happened. There is a risk that debtors are unnecessarily chased for accounts they have settled.</w:t>
            </w:r>
          </w:p>
        </w:tc>
        <w:tc>
          <w:tcPr>
            <w:tcW w:w="1134" w:type="dxa"/>
          </w:tcPr>
          <w:p w:rsidR="0002352E" w:rsidRPr="00AA0584" w:rsidRDefault="00AA0584" w:rsidP="004500DE">
            <w:pPr>
              <w:autoSpaceDE w:val="0"/>
              <w:autoSpaceDN w:val="0"/>
              <w:adjustRightInd w:val="0"/>
              <w:jc w:val="center"/>
              <w:rPr>
                <w:rFonts w:ascii="Arial" w:eastAsia="Calibri" w:hAnsi="Arial" w:cs="Arial"/>
                <w:bCs/>
                <w:color w:val="000000"/>
                <w:lang w:eastAsia="en-GB"/>
              </w:rPr>
            </w:pPr>
            <w:r w:rsidRPr="00AA0584">
              <w:rPr>
                <w:rFonts w:ascii="Arial" w:eastAsia="Calibri" w:hAnsi="Arial" w:cs="Arial"/>
                <w:bCs/>
                <w:color w:val="000000"/>
                <w:lang w:eastAsia="en-GB"/>
              </w:rPr>
              <w:lastRenderedPageBreak/>
              <w:t>3</w:t>
            </w:r>
          </w:p>
        </w:tc>
        <w:tc>
          <w:tcPr>
            <w:tcW w:w="2835" w:type="dxa"/>
          </w:tcPr>
          <w:p w:rsidR="00AA0584" w:rsidRPr="00AA0584" w:rsidRDefault="00AA0584" w:rsidP="0002352E">
            <w:pPr>
              <w:autoSpaceDE w:val="0"/>
              <w:autoSpaceDN w:val="0"/>
              <w:adjustRightInd w:val="0"/>
              <w:jc w:val="both"/>
              <w:rPr>
                <w:rFonts w:ascii="Arial" w:hAnsi="Arial" w:cs="Arial"/>
                <w:b/>
                <w:color w:val="000000"/>
              </w:rPr>
            </w:pPr>
            <w:r w:rsidRPr="00AA0584">
              <w:rPr>
                <w:rFonts w:ascii="Arial" w:hAnsi="Arial" w:cs="Arial"/>
              </w:rPr>
              <w:t xml:space="preserve">Cheques to be banked promptly by the FSC and this process to be regularly reviewed by the GLA </w:t>
            </w:r>
            <w:r w:rsidRPr="00AA0584">
              <w:rPr>
                <w:rFonts w:ascii="Arial" w:hAnsi="Arial" w:cs="Arial"/>
              </w:rPr>
              <w:lastRenderedPageBreak/>
              <w:t>Finance Team.</w:t>
            </w:r>
          </w:p>
          <w:p w:rsidR="0002352E" w:rsidRPr="00AA0584" w:rsidRDefault="0002352E" w:rsidP="0002352E">
            <w:pPr>
              <w:autoSpaceDE w:val="0"/>
              <w:autoSpaceDN w:val="0"/>
              <w:adjustRightInd w:val="0"/>
              <w:jc w:val="both"/>
              <w:rPr>
                <w:rFonts w:ascii="Arial" w:hAnsi="Arial" w:cs="Arial"/>
                <w:b/>
                <w:color w:val="000000"/>
              </w:rPr>
            </w:pPr>
            <w:r w:rsidRPr="00AA0584">
              <w:rPr>
                <w:rFonts w:ascii="Arial" w:hAnsi="Arial" w:cs="Arial"/>
                <w:b/>
                <w:color w:val="000000"/>
              </w:rPr>
              <w:t>Management Response</w:t>
            </w:r>
          </w:p>
          <w:p w:rsidR="00AA0584" w:rsidRPr="00AA0584" w:rsidRDefault="00AA0584" w:rsidP="0002352E">
            <w:pPr>
              <w:autoSpaceDE w:val="0"/>
              <w:autoSpaceDN w:val="0"/>
              <w:adjustRightInd w:val="0"/>
              <w:jc w:val="both"/>
              <w:rPr>
                <w:rFonts w:ascii="Arial" w:hAnsi="Arial" w:cs="Arial"/>
                <w:b/>
                <w:color w:val="000000"/>
              </w:rPr>
            </w:pPr>
            <w:r w:rsidRPr="00AA0584">
              <w:rPr>
                <w:rFonts w:ascii="Arial" w:eastAsia="Calibri" w:hAnsi="Arial" w:cs="Arial"/>
                <w:bCs/>
                <w:color w:val="000000"/>
                <w:lang w:eastAsia="en-GB"/>
              </w:rPr>
              <w:t>A sample of cheque payments received by the GLA will be selected on a bi annual basis and performance data sought from TfL FSC for the time taken to bank these.</w:t>
            </w:r>
          </w:p>
          <w:p w:rsidR="0002352E" w:rsidRPr="00AA0584" w:rsidRDefault="0002352E" w:rsidP="0002352E">
            <w:pPr>
              <w:ind w:left="-18"/>
              <w:jc w:val="both"/>
              <w:rPr>
                <w:rFonts w:ascii="Arial" w:hAnsi="Arial" w:cs="Arial"/>
                <w:b/>
                <w:color w:val="000000"/>
              </w:rPr>
            </w:pPr>
          </w:p>
          <w:p w:rsidR="0002352E" w:rsidRPr="00AA0584" w:rsidRDefault="0002352E" w:rsidP="0002352E">
            <w:pPr>
              <w:ind w:left="-18"/>
              <w:jc w:val="both"/>
              <w:rPr>
                <w:rFonts w:ascii="Arial" w:hAnsi="Arial" w:cs="Arial"/>
                <w:b/>
                <w:color w:val="000000"/>
              </w:rPr>
            </w:pPr>
            <w:r w:rsidRPr="00AA0584">
              <w:rPr>
                <w:rFonts w:ascii="Arial" w:hAnsi="Arial" w:cs="Arial"/>
                <w:b/>
                <w:color w:val="000000"/>
              </w:rPr>
              <w:t>Target Date:</w:t>
            </w:r>
          </w:p>
          <w:p w:rsidR="0002352E" w:rsidRPr="00AA0584" w:rsidRDefault="00AA0584" w:rsidP="006D0B33">
            <w:pPr>
              <w:ind w:left="-18"/>
              <w:jc w:val="both"/>
              <w:rPr>
                <w:rFonts w:ascii="Arial" w:hAnsi="Arial" w:cs="Arial"/>
                <w:b/>
                <w:color w:val="000000"/>
              </w:rPr>
            </w:pPr>
            <w:r w:rsidRPr="00AA0584">
              <w:rPr>
                <w:rFonts w:ascii="Arial" w:eastAsia="Calibri" w:hAnsi="Arial" w:cs="Arial"/>
                <w:bCs/>
                <w:color w:val="000000"/>
                <w:lang w:eastAsia="en-GB"/>
              </w:rPr>
              <w:t>March 2015</w:t>
            </w:r>
          </w:p>
        </w:tc>
        <w:tc>
          <w:tcPr>
            <w:tcW w:w="3260" w:type="dxa"/>
          </w:tcPr>
          <w:p w:rsidR="0002352E" w:rsidRPr="00AA0584" w:rsidRDefault="0002352E" w:rsidP="0002352E">
            <w:pPr>
              <w:autoSpaceDE w:val="0"/>
              <w:autoSpaceDN w:val="0"/>
              <w:adjustRightInd w:val="0"/>
              <w:jc w:val="both"/>
              <w:rPr>
                <w:rFonts w:ascii="Arial" w:hAnsi="Arial" w:cs="Arial"/>
                <w:b/>
                <w:color w:val="000000"/>
              </w:rPr>
            </w:pPr>
            <w:r w:rsidRPr="00AA0584">
              <w:rPr>
                <w:rFonts w:ascii="Arial" w:hAnsi="Arial" w:cs="Arial"/>
                <w:b/>
                <w:color w:val="000000"/>
              </w:rPr>
              <w:lastRenderedPageBreak/>
              <w:t xml:space="preserve">Implemented </w:t>
            </w:r>
          </w:p>
          <w:p w:rsidR="0002352E" w:rsidRPr="00AA0584" w:rsidRDefault="00210965" w:rsidP="006D0B33">
            <w:pPr>
              <w:autoSpaceDE w:val="0"/>
              <w:autoSpaceDN w:val="0"/>
              <w:adjustRightInd w:val="0"/>
              <w:jc w:val="both"/>
              <w:rPr>
                <w:rFonts w:ascii="Arial" w:hAnsi="Arial" w:cs="Arial"/>
                <w:b/>
                <w:color w:val="000000"/>
              </w:rPr>
            </w:pPr>
            <w:r>
              <w:rPr>
                <w:rFonts w:ascii="Arial" w:eastAsia="Calibri" w:hAnsi="Arial" w:cs="Arial"/>
                <w:bCs/>
                <w:color w:val="000000"/>
                <w:lang w:eastAsia="en-GB"/>
              </w:rPr>
              <w:t xml:space="preserve">Monitoring of the time taken to </w:t>
            </w:r>
            <w:r w:rsidR="006D0B33">
              <w:rPr>
                <w:rFonts w:ascii="Arial" w:eastAsia="Calibri" w:hAnsi="Arial" w:cs="Arial"/>
                <w:bCs/>
                <w:color w:val="000000"/>
                <w:lang w:eastAsia="en-GB"/>
              </w:rPr>
              <w:t xml:space="preserve">bank cheques by TfL FSC </w:t>
            </w:r>
            <w:r>
              <w:rPr>
                <w:rFonts w:ascii="Arial" w:eastAsia="Calibri" w:hAnsi="Arial" w:cs="Arial"/>
                <w:bCs/>
                <w:color w:val="000000"/>
                <w:lang w:eastAsia="en-GB"/>
              </w:rPr>
              <w:t xml:space="preserve">now takes place with the </w:t>
            </w:r>
            <w:r w:rsidR="006D0B33">
              <w:rPr>
                <w:rFonts w:ascii="Arial" w:eastAsia="Calibri" w:hAnsi="Arial" w:cs="Arial"/>
                <w:bCs/>
                <w:color w:val="000000"/>
                <w:lang w:eastAsia="en-GB"/>
              </w:rPr>
              <w:t>first sampling</w:t>
            </w:r>
            <w:r>
              <w:rPr>
                <w:rFonts w:ascii="Arial" w:eastAsia="Calibri" w:hAnsi="Arial" w:cs="Arial"/>
                <w:bCs/>
                <w:color w:val="000000"/>
                <w:lang w:eastAsia="en-GB"/>
              </w:rPr>
              <w:t xml:space="preserve"> </w:t>
            </w:r>
            <w:r>
              <w:rPr>
                <w:rFonts w:ascii="Arial" w:eastAsia="Calibri" w:hAnsi="Arial" w:cs="Arial"/>
                <w:bCs/>
                <w:color w:val="000000"/>
                <w:lang w:eastAsia="en-GB"/>
              </w:rPr>
              <w:lastRenderedPageBreak/>
              <w:t xml:space="preserve">exercise taking place in </w:t>
            </w:r>
            <w:r w:rsidR="006D0B33">
              <w:rPr>
                <w:rFonts w:ascii="Arial" w:eastAsia="Calibri" w:hAnsi="Arial" w:cs="Arial"/>
                <w:bCs/>
                <w:color w:val="000000"/>
                <w:lang w:eastAsia="en-GB"/>
              </w:rPr>
              <w:t xml:space="preserve">June </w:t>
            </w:r>
            <w:r>
              <w:rPr>
                <w:rFonts w:ascii="Arial" w:eastAsia="Calibri" w:hAnsi="Arial" w:cs="Arial"/>
                <w:bCs/>
                <w:color w:val="000000"/>
                <w:lang w:eastAsia="en-GB"/>
              </w:rPr>
              <w:t xml:space="preserve">2015. A sample of </w:t>
            </w:r>
            <w:r w:rsidR="006D0B33">
              <w:rPr>
                <w:rFonts w:ascii="Arial" w:eastAsia="Calibri" w:hAnsi="Arial" w:cs="Arial"/>
                <w:bCs/>
                <w:color w:val="000000"/>
                <w:lang w:eastAsia="en-GB"/>
              </w:rPr>
              <w:t xml:space="preserve">five </w:t>
            </w:r>
            <w:r>
              <w:rPr>
                <w:rFonts w:ascii="Arial" w:eastAsia="Calibri" w:hAnsi="Arial" w:cs="Arial"/>
                <w:bCs/>
                <w:color w:val="000000"/>
                <w:lang w:eastAsia="en-GB"/>
              </w:rPr>
              <w:t xml:space="preserve">cheques was tested by the Senior Finance Officer and all </w:t>
            </w:r>
            <w:r w:rsidR="006D0B33">
              <w:rPr>
                <w:rFonts w:ascii="Arial" w:eastAsia="Calibri" w:hAnsi="Arial" w:cs="Arial"/>
                <w:bCs/>
                <w:color w:val="000000"/>
                <w:lang w:eastAsia="en-GB"/>
              </w:rPr>
              <w:t xml:space="preserve">five </w:t>
            </w:r>
            <w:r>
              <w:rPr>
                <w:rFonts w:ascii="Arial" w:eastAsia="Calibri" w:hAnsi="Arial" w:cs="Arial"/>
                <w:bCs/>
                <w:color w:val="000000"/>
                <w:lang w:eastAsia="en-GB"/>
              </w:rPr>
              <w:t xml:space="preserve">were found to have been </w:t>
            </w:r>
            <w:r w:rsidR="006D0B33">
              <w:rPr>
                <w:rFonts w:ascii="Arial" w:eastAsia="Calibri" w:hAnsi="Arial" w:cs="Arial"/>
                <w:bCs/>
                <w:color w:val="000000"/>
                <w:lang w:eastAsia="en-GB"/>
              </w:rPr>
              <w:t>banked promptly</w:t>
            </w:r>
            <w:r>
              <w:rPr>
                <w:rFonts w:ascii="Arial" w:eastAsia="Calibri" w:hAnsi="Arial" w:cs="Arial"/>
                <w:bCs/>
                <w:color w:val="000000"/>
                <w:lang w:eastAsia="en-GB"/>
              </w:rPr>
              <w:t xml:space="preserve">, within </w:t>
            </w:r>
            <w:r w:rsidR="006D0B33">
              <w:rPr>
                <w:rFonts w:ascii="Arial" w:eastAsia="Calibri" w:hAnsi="Arial" w:cs="Arial"/>
                <w:bCs/>
                <w:color w:val="000000"/>
                <w:lang w:eastAsia="en-GB"/>
              </w:rPr>
              <w:t xml:space="preserve">six </w:t>
            </w:r>
            <w:r>
              <w:rPr>
                <w:rFonts w:ascii="Arial" w:eastAsia="Calibri" w:hAnsi="Arial" w:cs="Arial"/>
                <w:bCs/>
                <w:color w:val="000000"/>
                <w:lang w:eastAsia="en-GB"/>
              </w:rPr>
              <w:t>working days</w:t>
            </w:r>
            <w:r w:rsidR="006D0B33">
              <w:rPr>
                <w:rFonts w:ascii="Arial" w:eastAsia="Calibri" w:hAnsi="Arial" w:cs="Arial"/>
                <w:bCs/>
                <w:color w:val="000000"/>
                <w:lang w:eastAsia="en-GB"/>
              </w:rPr>
              <w:t>.</w:t>
            </w:r>
          </w:p>
        </w:tc>
        <w:tc>
          <w:tcPr>
            <w:tcW w:w="3261" w:type="dxa"/>
          </w:tcPr>
          <w:p w:rsidR="0002352E" w:rsidRPr="00B60178" w:rsidRDefault="00B60178" w:rsidP="00D9100C">
            <w:pPr>
              <w:autoSpaceDE w:val="0"/>
              <w:autoSpaceDN w:val="0"/>
              <w:adjustRightInd w:val="0"/>
              <w:jc w:val="both"/>
              <w:rPr>
                <w:rFonts w:ascii="Arial" w:hAnsi="Arial" w:cs="Arial"/>
                <w:b/>
                <w:color w:val="000000"/>
              </w:rPr>
            </w:pPr>
            <w:r w:rsidRPr="00B60178">
              <w:rPr>
                <w:rFonts w:ascii="Arial" w:hAnsi="Arial" w:cs="Arial"/>
                <w:b/>
                <w:color w:val="000000"/>
              </w:rPr>
              <w:lastRenderedPageBreak/>
              <w:t>None</w:t>
            </w:r>
          </w:p>
          <w:p w:rsidR="0002352E" w:rsidRPr="00AA0584" w:rsidRDefault="0002352E" w:rsidP="00D9100C">
            <w:pPr>
              <w:autoSpaceDE w:val="0"/>
              <w:autoSpaceDN w:val="0"/>
              <w:adjustRightInd w:val="0"/>
              <w:jc w:val="both"/>
              <w:rPr>
                <w:rFonts w:ascii="Arial" w:hAnsi="Arial" w:cs="Arial"/>
                <w:b/>
                <w:color w:val="000000"/>
              </w:rPr>
            </w:pPr>
          </w:p>
        </w:tc>
      </w:tr>
    </w:tbl>
    <w:p w:rsidR="001E1A62" w:rsidRPr="001E1A62" w:rsidRDefault="001E1A62" w:rsidP="00CF0AB1">
      <w:pPr>
        <w:rPr>
          <w:rFonts w:ascii="Arial" w:hAnsi="Arial" w:cs="Arial"/>
          <w:iCs/>
          <w:color w:val="000000"/>
          <w:sz w:val="22"/>
          <w:szCs w:val="22"/>
        </w:rPr>
      </w:pPr>
    </w:p>
    <w:sectPr w:rsidR="001E1A62" w:rsidRPr="001E1A62" w:rsidSect="00BF411C">
      <w:headerReference w:type="default" r:id="rId13"/>
      <w:footerReference w:type="default" r:id="rId14"/>
      <w:pgSz w:w="16840" w:h="11907" w:orient="landscape" w:code="9"/>
      <w:pgMar w:top="1138" w:right="822" w:bottom="1152" w:left="8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8DC" w:rsidRDefault="00EA78DC" w:rsidP="00524159">
      <w:r>
        <w:separator/>
      </w:r>
    </w:p>
  </w:endnote>
  <w:endnote w:type="continuationSeparator" w:id="0">
    <w:p w:rsidR="00EA78DC" w:rsidRDefault="00EA78DC" w:rsidP="0052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Foundry Form Sans">
    <w:panose1 w:val="02000503050000020004"/>
    <w:charset w:val="00"/>
    <w:family w:val="auto"/>
    <w:pitch w:val="variable"/>
    <w:sig w:usb0="800000A7" w:usb1="0000004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07" w:rsidRPr="006B43C9" w:rsidRDefault="005241AB" w:rsidP="006B43C9">
    <w:pPr>
      <w:pBdr>
        <w:top w:val="single" w:sz="8" w:space="2" w:color="548DD4"/>
      </w:pBdr>
      <w:tabs>
        <w:tab w:val="left" w:pos="3349"/>
        <w:tab w:val="center" w:pos="4678"/>
        <w:tab w:val="right" w:pos="9072"/>
      </w:tabs>
      <w:rPr>
        <w:rFonts w:ascii="Arial Narrow" w:hAnsi="Arial Narrow"/>
        <w:color w:val="548DD4"/>
      </w:rPr>
    </w:pPr>
    <w:r w:rsidRPr="006B43C9">
      <w:rPr>
        <w:rFonts w:ascii="Arial Narrow" w:hAnsi="Arial Narrow" w:cs="Arial"/>
        <w:iCs/>
        <w:color w:val="548DD4"/>
      </w:rPr>
      <w:t>June</w:t>
    </w:r>
    <w:r w:rsidR="000E4168" w:rsidRPr="006B43C9">
      <w:rPr>
        <w:rFonts w:ascii="Arial Narrow" w:hAnsi="Arial Narrow" w:cs="Arial"/>
        <w:iCs/>
        <w:color w:val="548DD4"/>
      </w:rPr>
      <w:t xml:space="preserve"> 2015</w:t>
    </w:r>
    <w:r w:rsidR="003E3D07" w:rsidRPr="006B43C9">
      <w:rPr>
        <w:rFonts w:ascii="Arial Narrow" w:hAnsi="Arial Narrow" w:cs="Arial"/>
        <w:iCs/>
        <w:color w:val="548DD4"/>
      </w:rPr>
      <w:t xml:space="preserve"> </w:t>
    </w:r>
    <w:r w:rsidR="007D47C0" w:rsidRPr="006B43C9">
      <w:rPr>
        <w:rFonts w:ascii="Arial Narrow" w:hAnsi="Arial Narrow" w:cs="Arial"/>
        <w:iCs/>
        <w:color w:val="548DD4"/>
      </w:rPr>
      <w:tab/>
    </w:r>
    <w:r w:rsidR="006B43C9" w:rsidRPr="006B43C9">
      <w:rPr>
        <w:rFonts w:ascii="Arial Narrow" w:hAnsi="Arial Narrow" w:cs="Arial"/>
        <w:iCs/>
        <w:color w:val="548DD4"/>
      </w:rPr>
      <w:tab/>
      <w:t>Debtors/Sundry In</w:t>
    </w:r>
    <w:r w:rsidR="006B43C9">
      <w:rPr>
        <w:rFonts w:ascii="Arial Narrow" w:hAnsi="Arial Narrow" w:cs="Arial"/>
        <w:iCs/>
        <w:color w:val="548DD4"/>
      </w:rPr>
      <w:t xml:space="preserve">come Control Framework </w:t>
    </w:r>
    <w:r w:rsidR="003E3D07" w:rsidRPr="006B43C9">
      <w:rPr>
        <w:rFonts w:ascii="Arial Narrow" w:hAnsi="Arial Narrow" w:cs="Arial"/>
        <w:color w:val="548DD4"/>
      </w:rPr>
      <w:t xml:space="preserve">Follow Up </w:t>
    </w:r>
    <w:r w:rsidR="007D47C0" w:rsidRPr="006B43C9">
      <w:rPr>
        <w:rFonts w:ascii="Arial Narrow" w:hAnsi="Arial Narrow" w:cs="Arial"/>
        <w:color w:val="548DD4"/>
      </w:rPr>
      <w:tab/>
    </w:r>
    <w:r w:rsidR="003E3D07" w:rsidRPr="006B43C9">
      <w:rPr>
        <w:rFonts w:ascii="Arial Narrow" w:hAnsi="Arial Narrow"/>
        <w:color w:val="548DD4"/>
      </w:rPr>
      <w:fldChar w:fldCharType="begin"/>
    </w:r>
    <w:r w:rsidR="003E3D07" w:rsidRPr="006B43C9">
      <w:rPr>
        <w:rFonts w:ascii="Arial Narrow" w:hAnsi="Arial Narrow"/>
        <w:color w:val="548DD4"/>
      </w:rPr>
      <w:instrText xml:space="preserve"> PAGE   \* MERGEFORMAT </w:instrText>
    </w:r>
    <w:r w:rsidR="003E3D07" w:rsidRPr="006B43C9">
      <w:rPr>
        <w:rFonts w:ascii="Arial Narrow" w:hAnsi="Arial Narrow"/>
        <w:color w:val="548DD4"/>
      </w:rPr>
      <w:fldChar w:fldCharType="separate"/>
    </w:r>
    <w:r w:rsidR="00D30E46">
      <w:rPr>
        <w:rFonts w:ascii="Arial Narrow" w:hAnsi="Arial Narrow"/>
        <w:noProof/>
        <w:color w:val="548DD4"/>
      </w:rPr>
      <w:t>1</w:t>
    </w:r>
    <w:r w:rsidR="003E3D07" w:rsidRPr="006B43C9">
      <w:rPr>
        <w:rFonts w:ascii="Arial Narrow" w:hAnsi="Arial Narrow"/>
        <w:noProof/>
        <w:color w:val="548DD4"/>
      </w:rPr>
      <w:fldChar w:fldCharType="end"/>
    </w:r>
    <w:r w:rsidR="003E3D07" w:rsidRPr="006B43C9">
      <w:rPr>
        <w:rFonts w:ascii="Arial Narrow" w:hAnsi="Arial Narrow"/>
        <w:color w:val="548DD4"/>
      </w:rPr>
      <w:t xml:space="preserve"> </w:t>
    </w:r>
  </w:p>
  <w:p w:rsidR="003E3D07" w:rsidRPr="006B43C9" w:rsidRDefault="003E3D07" w:rsidP="003E3D07">
    <w:pPr>
      <w:pStyle w:val="Footer"/>
      <w:ind w:left="-56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21C" w:rsidRDefault="0047621C" w:rsidP="00FC2D8A">
    <w:pPr>
      <w:pStyle w:val="Footer"/>
      <w:ind w:left="14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21C" w:rsidRDefault="0047621C" w:rsidP="00333DA2">
    <w:pPr>
      <w:pStyle w:val="Footer"/>
      <w:ind w:left="-142" w:right="360"/>
      <w:rPr>
        <w:rFonts w:ascii="Arial" w:hAnsi="Arial" w:cs="Arial"/>
        <w:iCs/>
      </w:rPr>
    </w:pPr>
  </w:p>
  <w:p w:rsidR="0047621C" w:rsidRPr="00590051" w:rsidRDefault="005241AB" w:rsidP="00FB1210">
    <w:pPr>
      <w:pStyle w:val="Footer"/>
      <w:pBdr>
        <w:top w:val="single" w:sz="8" w:space="1" w:color="548DD4"/>
      </w:pBdr>
      <w:tabs>
        <w:tab w:val="clear" w:pos="4153"/>
        <w:tab w:val="clear" w:pos="8306"/>
        <w:tab w:val="center" w:pos="7797"/>
        <w:tab w:val="left" w:pos="14730"/>
        <w:tab w:val="right" w:pos="15168"/>
      </w:tabs>
      <w:ind w:left="-142"/>
      <w:rPr>
        <w:rStyle w:val="PageNumber"/>
        <w:rFonts w:ascii="Arial Narrow" w:hAnsi="Arial Narrow"/>
        <w:color w:val="548DD4"/>
        <w:sz w:val="16"/>
      </w:rPr>
    </w:pPr>
    <w:r>
      <w:rPr>
        <w:rFonts w:ascii="Arial Narrow" w:hAnsi="Arial Narrow" w:cs="Arial"/>
        <w:iCs/>
        <w:color w:val="548DD4"/>
      </w:rPr>
      <w:t xml:space="preserve">June </w:t>
    </w:r>
    <w:r w:rsidR="000E4168" w:rsidRPr="000E4168">
      <w:rPr>
        <w:rFonts w:ascii="Arial Narrow" w:hAnsi="Arial Narrow" w:cs="Arial"/>
        <w:iCs/>
        <w:color w:val="548DD4"/>
      </w:rPr>
      <w:t>2015</w:t>
    </w:r>
    <w:r w:rsidR="0047621C" w:rsidRPr="00590051">
      <w:rPr>
        <w:rFonts w:ascii="Arial Narrow" w:hAnsi="Arial Narrow" w:cs="Arial"/>
        <w:iCs/>
        <w:color w:val="548DD4"/>
        <w:sz w:val="16"/>
      </w:rPr>
      <w:tab/>
    </w:r>
    <w:r w:rsidR="006B43C9" w:rsidRPr="006B43C9">
      <w:rPr>
        <w:rFonts w:ascii="Arial Narrow" w:hAnsi="Arial Narrow" w:cs="Arial"/>
        <w:iCs/>
        <w:color w:val="548DD4"/>
      </w:rPr>
      <w:t>Debtors/Sundry In</w:t>
    </w:r>
    <w:r w:rsidR="006B43C9">
      <w:rPr>
        <w:rFonts w:ascii="Arial Narrow" w:hAnsi="Arial Narrow" w:cs="Arial"/>
        <w:iCs/>
        <w:color w:val="548DD4"/>
      </w:rPr>
      <w:t xml:space="preserve">come Control Framework </w:t>
    </w:r>
    <w:r w:rsidR="006B43C9" w:rsidRPr="006B43C9">
      <w:rPr>
        <w:rFonts w:ascii="Arial Narrow" w:hAnsi="Arial Narrow" w:cs="Arial"/>
        <w:color w:val="548DD4"/>
      </w:rPr>
      <w:t xml:space="preserve">Follow Up </w:t>
    </w:r>
    <w:r w:rsidR="0047621C">
      <w:rPr>
        <w:rFonts w:ascii="Arial Narrow" w:hAnsi="Arial Narrow" w:cs="Arial"/>
        <w:iCs/>
        <w:color w:val="548DD4"/>
      </w:rPr>
      <w:tab/>
    </w:r>
    <w:r w:rsidR="0047621C" w:rsidRPr="00590051">
      <w:rPr>
        <w:rFonts w:ascii="Arial Narrow" w:hAnsi="Arial Narrow" w:cs="Arial"/>
        <w:iCs/>
        <w:color w:val="548DD4"/>
        <w:sz w:val="16"/>
      </w:rPr>
      <w:t xml:space="preserve"> </w:t>
    </w:r>
    <w:r w:rsidR="0047621C" w:rsidRPr="00590051">
      <w:rPr>
        <w:rStyle w:val="PageNumber"/>
        <w:rFonts w:ascii="Arial Narrow" w:hAnsi="Arial Narrow"/>
        <w:color w:val="548DD4"/>
      </w:rPr>
      <w:fldChar w:fldCharType="begin"/>
    </w:r>
    <w:r w:rsidR="0047621C" w:rsidRPr="00590051">
      <w:rPr>
        <w:rStyle w:val="PageNumber"/>
        <w:rFonts w:ascii="Arial Narrow" w:hAnsi="Arial Narrow"/>
        <w:color w:val="548DD4"/>
      </w:rPr>
      <w:instrText xml:space="preserve"> PAGE   \* MERGEFORMAT </w:instrText>
    </w:r>
    <w:r w:rsidR="0047621C" w:rsidRPr="00590051">
      <w:rPr>
        <w:rStyle w:val="PageNumber"/>
        <w:rFonts w:ascii="Arial Narrow" w:hAnsi="Arial Narrow"/>
        <w:color w:val="548DD4"/>
      </w:rPr>
      <w:fldChar w:fldCharType="separate"/>
    </w:r>
    <w:r w:rsidR="00D30E46">
      <w:rPr>
        <w:rStyle w:val="PageNumber"/>
        <w:rFonts w:ascii="Arial Narrow" w:hAnsi="Arial Narrow"/>
        <w:noProof/>
        <w:color w:val="548DD4"/>
      </w:rPr>
      <w:t>4</w:t>
    </w:r>
    <w:r w:rsidR="0047621C" w:rsidRPr="00590051">
      <w:rPr>
        <w:rStyle w:val="PageNumber"/>
        <w:rFonts w:ascii="Arial Narrow" w:hAnsi="Arial Narrow"/>
        <w:noProof/>
        <w:color w:val="548DD4"/>
      </w:rPr>
      <w:fldChar w:fldCharType="end"/>
    </w:r>
    <w:r w:rsidR="0047621C" w:rsidRPr="00590051">
      <w:rPr>
        <w:rStyle w:val="PageNumber"/>
        <w:rFonts w:ascii="Arial Narrow" w:hAnsi="Arial Narrow"/>
        <w:color w:val="548DD4"/>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8DC" w:rsidRDefault="00EA78DC" w:rsidP="00524159">
      <w:r>
        <w:separator/>
      </w:r>
    </w:p>
  </w:footnote>
  <w:footnote w:type="continuationSeparator" w:id="0">
    <w:p w:rsidR="00EA78DC" w:rsidRDefault="00EA78DC" w:rsidP="00524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21C" w:rsidRPr="00504DB3" w:rsidRDefault="0047621C" w:rsidP="00FB1210">
    <w:pPr>
      <w:pStyle w:val="Header"/>
      <w:pBdr>
        <w:bottom w:val="single" w:sz="8" w:space="1" w:color="548DD4"/>
      </w:pBdr>
      <w:jc w:val="both"/>
      <w:rPr>
        <w:rFonts w:ascii="Arial Narrow" w:hAnsi="Arial Narrow" w:cs="Arial"/>
        <w:color w:val="548DD4"/>
        <w:sz w:val="28"/>
        <w:szCs w:val="28"/>
      </w:rPr>
    </w:pPr>
    <w:r w:rsidRPr="00504DB3">
      <w:rPr>
        <w:rFonts w:ascii="Arial Narrow" w:hAnsi="Arial Narrow" w:cs="Arial"/>
        <w:color w:val="548DD4"/>
        <w:sz w:val="28"/>
        <w:szCs w:val="28"/>
      </w:rPr>
      <w:t xml:space="preserve">DISTRIBUTION LIST </w:t>
    </w:r>
  </w:p>
  <w:p w:rsidR="0047621C" w:rsidRPr="00802C27" w:rsidRDefault="0047621C" w:rsidP="00802C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E46" w:rsidRPr="00D30E46" w:rsidRDefault="00D30E46" w:rsidP="00D30E46">
    <w:pPr>
      <w:pStyle w:val="Header"/>
      <w:ind w:left="-426"/>
      <w:jc w:val="right"/>
      <w:rPr>
        <w:rFonts w:ascii="Arial" w:hAnsi="Arial" w:cs="Arial"/>
        <w:sz w:val="28"/>
        <w:szCs w:val="28"/>
      </w:rPr>
    </w:pPr>
    <w:r w:rsidRPr="00D30E46">
      <w:rPr>
        <w:rFonts w:ascii="Arial" w:hAnsi="Arial" w:cs="Arial"/>
        <w:sz w:val="28"/>
        <w:szCs w:val="28"/>
      </w:rPr>
      <w:t>Appendix 3b</w:t>
    </w:r>
  </w:p>
  <w:p w:rsidR="0047621C" w:rsidRPr="002C5C5B" w:rsidRDefault="00525E73" w:rsidP="007743B9">
    <w:pPr>
      <w:pStyle w:val="Header"/>
      <w:ind w:left="-426"/>
      <w:jc w:val="center"/>
    </w:pPr>
    <w:r>
      <w:rPr>
        <w:b/>
        <w:noProof/>
        <w:lang w:eastAsia="en-GB"/>
      </w:rPr>
      <w:drawing>
        <wp:inline distT="0" distB="0" distL="0" distR="0" wp14:anchorId="344D5D8D" wp14:editId="170AACE9">
          <wp:extent cx="4922520" cy="59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2520" cy="59436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21C" w:rsidRPr="00BF411C" w:rsidRDefault="00460E41" w:rsidP="00FB1210">
    <w:pPr>
      <w:pStyle w:val="Header"/>
      <w:pBdr>
        <w:bottom w:val="single" w:sz="8" w:space="1" w:color="548DD4"/>
      </w:pBdr>
      <w:tabs>
        <w:tab w:val="clear" w:pos="8306"/>
        <w:tab w:val="right" w:pos="9072"/>
      </w:tabs>
      <w:rPr>
        <w:rFonts w:ascii="Arial Narrow" w:hAnsi="Arial Narrow"/>
        <w:caps/>
        <w:color w:val="548DD4"/>
        <w:sz w:val="28"/>
        <w:szCs w:val="28"/>
      </w:rPr>
    </w:pPr>
    <w:r>
      <w:rPr>
        <w:rFonts w:ascii="Arial Narrow" w:hAnsi="Arial Narrow"/>
        <w:bCs/>
        <w:color w:val="548DD4"/>
        <w:sz w:val="28"/>
        <w:szCs w:val="28"/>
      </w:rPr>
      <w:t>EXECUTIVE SUMMARY</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21C" w:rsidRPr="00FB1210" w:rsidRDefault="0047621C" w:rsidP="00FB1210">
    <w:pPr>
      <w:pStyle w:val="Header"/>
      <w:pBdr>
        <w:bottom w:val="single" w:sz="8" w:space="1" w:color="548DD4"/>
      </w:pBdr>
      <w:tabs>
        <w:tab w:val="clear" w:pos="8306"/>
        <w:tab w:val="right" w:pos="9072"/>
      </w:tabs>
      <w:rPr>
        <w:rFonts w:ascii="Arial Narrow" w:hAnsi="Arial Narrow" w:cs="Arial"/>
        <w:color w:val="548DD4"/>
        <w:sz w:val="28"/>
        <w:szCs w:val="28"/>
      </w:rPr>
    </w:pPr>
    <w:r w:rsidRPr="00FB1210">
      <w:rPr>
        <w:rFonts w:ascii="Arial Narrow" w:hAnsi="Arial Narrow"/>
        <w:bCs/>
        <w:caps/>
        <w:color w:val="548DD4"/>
        <w:sz w:val="28"/>
        <w:szCs w:val="28"/>
      </w:rPr>
      <w:t>action plan</w:t>
    </w:r>
  </w:p>
  <w:p w:rsidR="0047621C" w:rsidRPr="007743B9" w:rsidRDefault="0047621C" w:rsidP="006A5048">
    <w:pPr>
      <w:pStyle w:val="Header"/>
      <w:rPr>
        <w:rFonts w:ascii="Arial" w:hAnsi="Arial" w:cs="Arial"/>
        <w:b/>
        <w:color w:val="808080"/>
      </w:rPr>
    </w:pPr>
    <w:r w:rsidRPr="007743B9">
      <w:rPr>
        <w:rFonts w:ascii="Arial" w:hAnsi="Arial" w:cs="Arial"/>
        <w:color w:val="808080"/>
      </w:rPr>
      <w:tab/>
    </w:r>
    <w:r w:rsidRPr="007743B9">
      <w:rPr>
        <w:rFonts w:ascii="Arial" w:hAnsi="Arial" w:cs="Arial"/>
        <w:color w:val="808080"/>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8D0"/>
    <w:multiLevelType w:val="multilevel"/>
    <w:tmpl w:val="DD5E00E4"/>
    <w:lvl w:ilvl="0">
      <w:start w:val="3"/>
      <w:numFmt w:val="decimal"/>
      <w:lvlText w:val="%1.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3A0400C"/>
    <w:multiLevelType w:val="hybridMultilevel"/>
    <w:tmpl w:val="9BA8E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A44868"/>
    <w:multiLevelType w:val="hybridMultilevel"/>
    <w:tmpl w:val="F51CD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D00353"/>
    <w:multiLevelType w:val="hybridMultilevel"/>
    <w:tmpl w:val="9124AD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5FF3769"/>
    <w:multiLevelType w:val="multilevel"/>
    <w:tmpl w:val="DD5E00E4"/>
    <w:lvl w:ilvl="0">
      <w:start w:val="3"/>
      <w:numFmt w:val="decimal"/>
      <w:lvlText w:val="%1.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740526C"/>
    <w:multiLevelType w:val="multilevel"/>
    <w:tmpl w:val="7B20116E"/>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934315B"/>
    <w:multiLevelType w:val="hybridMultilevel"/>
    <w:tmpl w:val="59D48A3C"/>
    <w:lvl w:ilvl="0" w:tplc="BB0C4D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74"/>
        </w:tabs>
        <w:ind w:left="374" w:hanging="360"/>
      </w:pPr>
      <w:rPr>
        <w:rFonts w:ascii="Courier New" w:hAnsi="Courier New" w:hint="default"/>
      </w:rPr>
    </w:lvl>
    <w:lvl w:ilvl="2" w:tplc="04090005" w:tentative="1">
      <w:start w:val="1"/>
      <w:numFmt w:val="bullet"/>
      <w:lvlText w:val=""/>
      <w:lvlJc w:val="left"/>
      <w:pPr>
        <w:tabs>
          <w:tab w:val="num" w:pos="1094"/>
        </w:tabs>
        <w:ind w:left="1094" w:hanging="360"/>
      </w:pPr>
      <w:rPr>
        <w:rFonts w:ascii="Wingdings" w:hAnsi="Wingdings" w:hint="default"/>
      </w:rPr>
    </w:lvl>
    <w:lvl w:ilvl="3" w:tplc="04090001" w:tentative="1">
      <w:start w:val="1"/>
      <w:numFmt w:val="bullet"/>
      <w:lvlText w:val=""/>
      <w:lvlJc w:val="left"/>
      <w:pPr>
        <w:tabs>
          <w:tab w:val="num" w:pos="1814"/>
        </w:tabs>
        <w:ind w:left="1814" w:hanging="360"/>
      </w:pPr>
      <w:rPr>
        <w:rFonts w:ascii="Symbol" w:hAnsi="Symbol" w:hint="default"/>
      </w:rPr>
    </w:lvl>
    <w:lvl w:ilvl="4" w:tplc="04090003" w:tentative="1">
      <w:start w:val="1"/>
      <w:numFmt w:val="bullet"/>
      <w:lvlText w:val="o"/>
      <w:lvlJc w:val="left"/>
      <w:pPr>
        <w:tabs>
          <w:tab w:val="num" w:pos="2534"/>
        </w:tabs>
        <w:ind w:left="2534" w:hanging="360"/>
      </w:pPr>
      <w:rPr>
        <w:rFonts w:ascii="Courier New" w:hAnsi="Courier New" w:hint="default"/>
      </w:rPr>
    </w:lvl>
    <w:lvl w:ilvl="5" w:tplc="04090005" w:tentative="1">
      <w:start w:val="1"/>
      <w:numFmt w:val="bullet"/>
      <w:lvlText w:val=""/>
      <w:lvlJc w:val="left"/>
      <w:pPr>
        <w:tabs>
          <w:tab w:val="num" w:pos="3254"/>
        </w:tabs>
        <w:ind w:left="3254" w:hanging="360"/>
      </w:pPr>
      <w:rPr>
        <w:rFonts w:ascii="Wingdings" w:hAnsi="Wingdings" w:hint="default"/>
      </w:rPr>
    </w:lvl>
    <w:lvl w:ilvl="6" w:tplc="04090001" w:tentative="1">
      <w:start w:val="1"/>
      <w:numFmt w:val="bullet"/>
      <w:lvlText w:val=""/>
      <w:lvlJc w:val="left"/>
      <w:pPr>
        <w:tabs>
          <w:tab w:val="num" w:pos="3974"/>
        </w:tabs>
        <w:ind w:left="3974" w:hanging="360"/>
      </w:pPr>
      <w:rPr>
        <w:rFonts w:ascii="Symbol" w:hAnsi="Symbol" w:hint="default"/>
      </w:rPr>
    </w:lvl>
    <w:lvl w:ilvl="7" w:tplc="04090003" w:tentative="1">
      <w:start w:val="1"/>
      <w:numFmt w:val="bullet"/>
      <w:lvlText w:val="o"/>
      <w:lvlJc w:val="left"/>
      <w:pPr>
        <w:tabs>
          <w:tab w:val="num" w:pos="4694"/>
        </w:tabs>
        <w:ind w:left="4694" w:hanging="360"/>
      </w:pPr>
      <w:rPr>
        <w:rFonts w:ascii="Courier New" w:hAnsi="Courier New" w:hint="default"/>
      </w:rPr>
    </w:lvl>
    <w:lvl w:ilvl="8" w:tplc="04090005" w:tentative="1">
      <w:start w:val="1"/>
      <w:numFmt w:val="bullet"/>
      <w:lvlText w:val=""/>
      <w:lvlJc w:val="left"/>
      <w:pPr>
        <w:tabs>
          <w:tab w:val="num" w:pos="5414"/>
        </w:tabs>
        <w:ind w:left="5414" w:hanging="360"/>
      </w:pPr>
      <w:rPr>
        <w:rFonts w:ascii="Wingdings" w:hAnsi="Wingdings" w:hint="default"/>
      </w:rPr>
    </w:lvl>
  </w:abstractNum>
  <w:abstractNum w:abstractNumId="7">
    <w:nsid w:val="11EC30BC"/>
    <w:multiLevelType w:val="hybridMultilevel"/>
    <w:tmpl w:val="E2E633A4"/>
    <w:lvl w:ilvl="0" w:tplc="A40CE582">
      <w:start w:val="1"/>
      <w:numFmt w:val="decimal"/>
      <w:lvlText w:val="%1."/>
      <w:lvlJc w:val="left"/>
      <w:pPr>
        <w:tabs>
          <w:tab w:val="num" w:pos="360"/>
        </w:tabs>
        <w:ind w:left="360" w:hanging="360"/>
      </w:pPr>
      <w:rPr>
        <w:b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33B771A"/>
    <w:multiLevelType w:val="hybridMultilevel"/>
    <w:tmpl w:val="C4A223A0"/>
    <w:lvl w:ilvl="0" w:tplc="8C0AE9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F91C86"/>
    <w:multiLevelType w:val="multilevel"/>
    <w:tmpl w:val="DD5E00E4"/>
    <w:lvl w:ilvl="0">
      <w:start w:val="3"/>
      <w:numFmt w:val="decimal"/>
      <w:lvlText w:val="%1.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EB66641"/>
    <w:multiLevelType w:val="hybridMultilevel"/>
    <w:tmpl w:val="1C3EBF2E"/>
    <w:lvl w:ilvl="0" w:tplc="FFFFFFFF">
      <w:start w:val="1"/>
      <w:numFmt w:val="bullet"/>
      <w:lvlText w:val=""/>
      <w:lvlJc w:val="left"/>
      <w:pPr>
        <w:tabs>
          <w:tab w:val="num" w:pos="780"/>
        </w:tabs>
        <w:ind w:left="780" w:hanging="360"/>
      </w:pPr>
      <w:rPr>
        <w:rFonts w:ascii="Symbol" w:hAnsi="Symbol"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1">
    <w:nsid w:val="203005FB"/>
    <w:multiLevelType w:val="hybridMultilevel"/>
    <w:tmpl w:val="33F6F1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630061"/>
    <w:multiLevelType w:val="hybridMultilevel"/>
    <w:tmpl w:val="E68ADE80"/>
    <w:lvl w:ilvl="0" w:tplc="08090001">
      <w:start w:val="1"/>
      <w:numFmt w:val="bullet"/>
      <w:lvlText w:val=""/>
      <w:lvlJc w:val="left"/>
      <w:pPr>
        <w:tabs>
          <w:tab w:val="num" w:pos="2574"/>
        </w:tabs>
        <w:ind w:left="2574" w:hanging="360"/>
      </w:pPr>
      <w:rPr>
        <w:rFonts w:ascii="Symbol" w:hAnsi="Symbol" w:hint="default"/>
      </w:rPr>
    </w:lvl>
    <w:lvl w:ilvl="1" w:tplc="08090003" w:tentative="1">
      <w:start w:val="1"/>
      <w:numFmt w:val="bullet"/>
      <w:lvlText w:val="o"/>
      <w:lvlJc w:val="left"/>
      <w:pPr>
        <w:ind w:left="3294" w:hanging="360"/>
      </w:pPr>
      <w:rPr>
        <w:rFonts w:ascii="Courier New" w:hAnsi="Courier New" w:cs="Courier New" w:hint="default"/>
      </w:rPr>
    </w:lvl>
    <w:lvl w:ilvl="2" w:tplc="08090005" w:tentative="1">
      <w:start w:val="1"/>
      <w:numFmt w:val="bullet"/>
      <w:lvlText w:val=""/>
      <w:lvlJc w:val="left"/>
      <w:pPr>
        <w:ind w:left="4014" w:hanging="360"/>
      </w:pPr>
      <w:rPr>
        <w:rFonts w:ascii="Wingdings" w:hAnsi="Wingdings" w:hint="default"/>
      </w:rPr>
    </w:lvl>
    <w:lvl w:ilvl="3" w:tplc="08090001" w:tentative="1">
      <w:start w:val="1"/>
      <w:numFmt w:val="bullet"/>
      <w:lvlText w:val=""/>
      <w:lvlJc w:val="left"/>
      <w:pPr>
        <w:ind w:left="4734" w:hanging="360"/>
      </w:pPr>
      <w:rPr>
        <w:rFonts w:ascii="Symbol" w:hAnsi="Symbol" w:hint="default"/>
      </w:rPr>
    </w:lvl>
    <w:lvl w:ilvl="4" w:tplc="08090003" w:tentative="1">
      <w:start w:val="1"/>
      <w:numFmt w:val="bullet"/>
      <w:lvlText w:val="o"/>
      <w:lvlJc w:val="left"/>
      <w:pPr>
        <w:ind w:left="5454" w:hanging="360"/>
      </w:pPr>
      <w:rPr>
        <w:rFonts w:ascii="Courier New" w:hAnsi="Courier New" w:cs="Courier New" w:hint="default"/>
      </w:rPr>
    </w:lvl>
    <w:lvl w:ilvl="5" w:tplc="08090005" w:tentative="1">
      <w:start w:val="1"/>
      <w:numFmt w:val="bullet"/>
      <w:lvlText w:val=""/>
      <w:lvlJc w:val="left"/>
      <w:pPr>
        <w:ind w:left="6174" w:hanging="360"/>
      </w:pPr>
      <w:rPr>
        <w:rFonts w:ascii="Wingdings" w:hAnsi="Wingdings" w:hint="default"/>
      </w:rPr>
    </w:lvl>
    <w:lvl w:ilvl="6" w:tplc="08090001" w:tentative="1">
      <w:start w:val="1"/>
      <w:numFmt w:val="bullet"/>
      <w:lvlText w:val=""/>
      <w:lvlJc w:val="left"/>
      <w:pPr>
        <w:ind w:left="6894" w:hanging="360"/>
      </w:pPr>
      <w:rPr>
        <w:rFonts w:ascii="Symbol" w:hAnsi="Symbol" w:hint="default"/>
      </w:rPr>
    </w:lvl>
    <w:lvl w:ilvl="7" w:tplc="08090003" w:tentative="1">
      <w:start w:val="1"/>
      <w:numFmt w:val="bullet"/>
      <w:lvlText w:val="o"/>
      <w:lvlJc w:val="left"/>
      <w:pPr>
        <w:ind w:left="7614" w:hanging="360"/>
      </w:pPr>
      <w:rPr>
        <w:rFonts w:ascii="Courier New" w:hAnsi="Courier New" w:cs="Courier New" w:hint="default"/>
      </w:rPr>
    </w:lvl>
    <w:lvl w:ilvl="8" w:tplc="08090005" w:tentative="1">
      <w:start w:val="1"/>
      <w:numFmt w:val="bullet"/>
      <w:lvlText w:val=""/>
      <w:lvlJc w:val="left"/>
      <w:pPr>
        <w:ind w:left="8334" w:hanging="360"/>
      </w:pPr>
      <w:rPr>
        <w:rFonts w:ascii="Wingdings" w:hAnsi="Wingdings" w:hint="default"/>
      </w:rPr>
    </w:lvl>
  </w:abstractNum>
  <w:abstractNum w:abstractNumId="13">
    <w:nsid w:val="28045BB3"/>
    <w:multiLevelType w:val="hybridMultilevel"/>
    <w:tmpl w:val="AAFAD344"/>
    <w:lvl w:ilvl="0" w:tplc="255EF1A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93F1B4B"/>
    <w:multiLevelType w:val="hybridMultilevel"/>
    <w:tmpl w:val="2C9CC8A2"/>
    <w:lvl w:ilvl="0" w:tplc="87F43190">
      <w:start w:val="1"/>
      <w:numFmt w:val="bullet"/>
      <w:lvlText w:val=""/>
      <w:lvlJc w:val="left"/>
      <w:pPr>
        <w:tabs>
          <w:tab w:val="num" w:pos="1211"/>
        </w:tabs>
        <w:ind w:left="1211" w:hanging="360"/>
      </w:pPr>
      <w:rPr>
        <w:rFonts w:ascii="Symbol" w:hAnsi="Symbol" w:hint="default"/>
        <w:color w:val="548DD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E34E33"/>
    <w:multiLevelType w:val="hybridMultilevel"/>
    <w:tmpl w:val="5F50EA2E"/>
    <w:lvl w:ilvl="0" w:tplc="2C0E58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6B62127"/>
    <w:multiLevelType w:val="multilevel"/>
    <w:tmpl w:val="2DDC974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D854942"/>
    <w:multiLevelType w:val="hybridMultilevel"/>
    <w:tmpl w:val="75BE6E7A"/>
    <w:lvl w:ilvl="0" w:tplc="0809000F">
      <w:start w:val="1"/>
      <w:numFmt w:val="decimal"/>
      <w:lvlText w:val="%1."/>
      <w:lvlJc w:val="left"/>
      <w:pPr>
        <w:ind w:left="758" w:hanging="360"/>
      </w:pPr>
    </w:lvl>
    <w:lvl w:ilvl="1" w:tplc="08090019" w:tentative="1">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8">
    <w:nsid w:val="3DBF1204"/>
    <w:multiLevelType w:val="multilevel"/>
    <w:tmpl w:val="F67462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4E65D87"/>
    <w:multiLevelType w:val="hybridMultilevel"/>
    <w:tmpl w:val="7C5EB492"/>
    <w:lvl w:ilvl="0" w:tplc="46D257C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6DF21DE"/>
    <w:multiLevelType w:val="hybridMultilevel"/>
    <w:tmpl w:val="0F349390"/>
    <w:lvl w:ilvl="0" w:tplc="8BE41E3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79B472E"/>
    <w:multiLevelType w:val="hybridMultilevel"/>
    <w:tmpl w:val="F586C9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8714C90"/>
    <w:multiLevelType w:val="hybridMultilevel"/>
    <w:tmpl w:val="4E34A78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9062D10"/>
    <w:multiLevelType w:val="hybridMultilevel"/>
    <w:tmpl w:val="07E8A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CD41651"/>
    <w:multiLevelType w:val="hybridMultilevel"/>
    <w:tmpl w:val="C8FC1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EF730C6"/>
    <w:multiLevelType w:val="hybridMultilevel"/>
    <w:tmpl w:val="B6BE27BA"/>
    <w:lvl w:ilvl="0" w:tplc="7B6C5B2E">
      <w:start w:val="1"/>
      <w:numFmt w:val="decimal"/>
      <w:lvlText w:val="%1."/>
      <w:lvlJc w:val="left"/>
      <w:pPr>
        <w:tabs>
          <w:tab w:val="num" w:pos="360"/>
        </w:tabs>
        <w:ind w:left="360" w:hanging="360"/>
      </w:pPr>
      <w:rPr>
        <w:b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22C2801"/>
    <w:multiLevelType w:val="hybridMultilevel"/>
    <w:tmpl w:val="C46CF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2D872C4"/>
    <w:multiLevelType w:val="hybridMultilevel"/>
    <w:tmpl w:val="8D987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BED6DFE"/>
    <w:multiLevelType w:val="hybridMultilevel"/>
    <w:tmpl w:val="074069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C155AC3"/>
    <w:multiLevelType w:val="multilevel"/>
    <w:tmpl w:val="62D64AD2"/>
    <w:lvl w:ilvl="0">
      <w:start w:val="3"/>
      <w:numFmt w:val="decimal"/>
      <w:lvlText w:val="%1."/>
      <w:lvlJc w:val="left"/>
      <w:pPr>
        <w:ind w:left="390" w:hanging="390"/>
      </w:pPr>
      <w:rPr>
        <w:rFonts w:hint="default"/>
      </w:rPr>
    </w:lvl>
    <w:lvl w:ilvl="1">
      <w:start w:val="1"/>
      <w:numFmt w:val="decimal"/>
      <w:isLgl/>
      <w:lvlText w:val="%1.%2"/>
      <w:lvlJc w:val="left"/>
      <w:pPr>
        <w:ind w:left="502"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nsid w:val="5CC06A66"/>
    <w:multiLevelType w:val="hybridMultilevel"/>
    <w:tmpl w:val="85884F3A"/>
    <w:lvl w:ilvl="0" w:tplc="BB0C4D1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CE46A70"/>
    <w:multiLevelType w:val="hybridMultilevel"/>
    <w:tmpl w:val="33AEE8F2"/>
    <w:lvl w:ilvl="0" w:tplc="6884FB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77112C"/>
    <w:multiLevelType w:val="multilevel"/>
    <w:tmpl w:val="F67462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3DD699C"/>
    <w:multiLevelType w:val="hybridMultilevel"/>
    <w:tmpl w:val="F3BC37D4"/>
    <w:lvl w:ilvl="0" w:tplc="5BA673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66B340B6"/>
    <w:multiLevelType w:val="multilevel"/>
    <w:tmpl w:val="F67462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74624CF"/>
    <w:multiLevelType w:val="multilevel"/>
    <w:tmpl w:val="002E247A"/>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84B4509"/>
    <w:multiLevelType w:val="hybridMultilevel"/>
    <w:tmpl w:val="3BAA77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692A3256"/>
    <w:multiLevelType w:val="hybridMultilevel"/>
    <w:tmpl w:val="951CC4E4"/>
    <w:lvl w:ilvl="0" w:tplc="E58E2FBA">
      <w:numFmt w:val="bullet"/>
      <w:lvlText w:val="-"/>
      <w:lvlJc w:val="left"/>
      <w:pPr>
        <w:tabs>
          <w:tab w:val="num" w:pos="1211"/>
        </w:tabs>
        <w:ind w:left="1211"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C0C64FD"/>
    <w:multiLevelType w:val="hybridMultilevel"/>
    <w:tmpl w:val="F3325BFA"/>
    <w:lvl w:ilvl="0" w:tplc="BB0C4D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ECA0504"/>
    <w:multiLevelType w:val="hybridMultilevel"/>
    <w:tmpl w:val="1EA4ED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13310BD"/>
    <w:multiLevelType w:val="hybridMultilevel"/>
    <w:tmpl w:val="C548CF58"/>
    <w:lvl w:ilvl="0" w:tplc="0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4151851"/>
    <w:multiLevelType w:val="hybridMultilevel"/>
    <w:tmpl w:val="36606932"/>
    <w:lvl w:ilvl="0" w:tplc="AE06CC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5093063"/>
    <w:multiLevelType w:val="multilevel"/>
    <w:tmpl w:val="F67462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774F5A54"/>
    <w:multiLevelType w:val="hybridMultilevel"/>
    <w:tmpl w:val="3934F9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777D4D5B"/>
    <w:multiLevelType w:val="hybridMultilevel"/>
    <w:tmpl w:val="C97C4328"/>
    <w:lvl w:ilvl="0" w:tplc="42BCBA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A962EAD"/>
    <w:multiLevelType w:val="hybridMultilevel"/>
    <w:tmpl w:val="BA9C71B4"/>
    <w:lvl w:ilvl="0" w:tplc="BB0C4D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041458"/>
    <w:multiLevelType w:val="hybridMultilevel"/>
    <w:tmpl w:val="45647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C7C6730"/>
    <w:multiLevelType w:val="hybridMultilevel"/>
    <w:tmpl w:val="3B56B386"/>
    <w:lvl w:ilvl="0" w:tplc="899CBF7A">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6"/>
  </w:num>
  <w:num w:numId="3">
    <w:abstractNumId w:val="35"/>
  </w:num>
  <w:num w:numId="4">
    <w:abstractNumId w:val="5"/>
  </w:num>
  <w:num w:numId="5">
    <w:abstractNumId w:val="37"/>
  </w:num>
  <w:num w:numId="6">
    <w:abstractNumId w:val="44"/>
  </w:num>
  <w:num w:numId="7">
    <w:abstractNumId w:val="41"/>
  </w:num>
  <w:num w:numId="8">
    <w:abstractNumId w:val="15"/>
  </w:num>
  <w:num w:numId="9">
    <w:abstractNumId w:val="20"/>
  </w:num>
  <w:num w:numId="10">
    <w:abstractNumId w:val="39"/>
  </w:num>
  <w:num w:numId="11">
    <w:abstractNumId w:val="7"/>
  </w:num>
  <w:num w:numId="12">
    <w:abstractNumId w:val="40"/>
  </w:num>
  <w:num w:numId="13">
    <w:abstractNumId w:val="25"/>
  </w:num>
  <w:num w:numId="14">
    <w:abstractNumId w:val="3"/>
  </w:num>
  <w:num w:numId="15">
    <w:abstractNumId w:val="21"/>
  </w:num>
  <w:num w:numId="16">
    <w:abstractNumId w:val="47"/>
  </w:num>
  <w:num w:numId="17">
    <w:abstractNumId w:val="9"/>
  </w:num>
  <w:num w:numId="18">
    <w:abstractNumId w:val="23"/>
  </w:num>
  <w:num w:numId="19">
    <w:abstractNumId w:val="1"/>
  </w:num>
  <w:num w:numId="20">
    <w:abstractNumId w:val="17"/>
  </w:num>
  <w:num w:numId="21">
    <w:abstractNumId w:val="11"/>
  </w:num>
  <w:num w:numId="22">
    <w:abstractNumId w:val="2"/>
  </w:num>
  <w:num w:numId="23">
    <w:abstractNumId w:val="8"/>
  </w:num>
  <w:num w:numId="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33"/>
  </w:num>
  <w:num w:numId="28">
    <w:abstractNumId w:val="6"/>
  </w:num>
  <w:num w:numId="29">
    <w:abstractNumId w:val="10"/>
  </w:num>
  <w:num w:numId="30">
    <w:abstractNumId w:val="30"/>
  </w:num>
  <w:num w:numId="31">
    <w:abstractNumId w:val="38"/>
  </w:num>
  <w:num w:numId="32">
    <w:abstractNumId w:val="36"/>
  </w:num>
  <w:num w:numId="33">
    <w:abstractNumId w:val="45"/>
  </w:num>
  <w:num w:numId="34">
    <w:abstractNumId w:val="22"/>
  </w:num>
  <w:num w:numId="35">
    <w:abstractNumId w:val="19"/>
  </w:num>
  <w:num w:numId="36">
    <w:abstractNumId w:val="13"/>
  </w:num>
  <w:num w:numId="37">
    <w:abstractNumId w:val="26"/>
  </w:num>
  <w:num w:numId="38">
    <w:abstractNumId w:val="46"/>
  </w:num>
  <w:num w:numId="39">
    <w:abstractNumId w:val="24"/>
  </w:num>
  <w:num w:numId="40">
    <w:abstractNumId w:val="14"/>
  </w:num>
  <w:num w:numId="41">
    <w:abstractNumId w:val="0"/>
  </w:num>
  <w:num w:numId="42">
    <w:abstractNumId w:val="42"/>
  </w:num>
  <w:num w:numId="43">
    <w:abstractNumId w:val="34"/>
  </w:num>
  <w:num w:numId="44">
    <w:abstractNumId w:val="18"/>
  </w:num>
  <w:num w:numId="45">
    <w:abstractNumId w:val="32"/>
  </w:num>
  <w:num w:numId="46">
    <w:abstractNumId w:val="12"/>
  </w:num>
  <w:num w:numId="47">
    <w:abstractNumId w:val="12"/>
  </w:num>
  <w:num w:numId="48">
    <w:abstractNumId w:val="43"/>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2A"/>
    <w:rsid w:val="00002FB1"/>
    <w:rsid w:val="00004736"/>
    <w:rsid w:val="00005C76"/>
    <w:rsid w:val="00005F42"/>
    <w:rsid w:val="000108E0"/>
    <w:rsid w:val="00011FA0"/>
    <w:rsid w:val="0001274B"/>
    <w:rsid w:val="00014C9E"/>
    <w:rsid w:val="00014EDA"/>
    <w:rsid w:val="000168C4"/>
    <w:rsid w:val="00017640"/>
    <w:rsid w:val="00017CF9"/>
    <w:rsid w:val="00017EBC"/>
    <w:rsid w:val="00022786"/>
    <w:rsid w:val="0002352E"/>
    <w:rsid w:val="0002447E"/>
    <w:rsid w:val="0002729B"/>
    <w:rsid w:val="00030507"/>
    <w:rsid w:val="00030B6F"/>
    <w:rsid w:val="00031189"/>
    <w:rsid w:val="000323AD"/>
    <w:rsid w:val="00032A10"/>
    <w:rsid w:val="00032B74"/>
    <w:rsid w:val="000332A2"/>
    <w:rsid w:val="00036371"/>
    <w:rsid w:val="000373B4"/>
    <w:rsid w:val="0004161E"/>
    <w:rsid w:val="0004191D"/>
    <w:rsid w:val="000419D6"/>
    <w:rsid w:val="00041DC1"/>
    <w:rsid w:val="000451C7"/>
    <w:rsid w:val="000524CC"/>
    <w:rsid w:val="0005268B"/>
    <w:rsid w:val="00054F8F"/>
    <w:rsid w:val="00055A54"/>
    <w:rsid w:val="00060923"/>
    <w:rsid w:val="00060D86"/>
    <w:rsid w:val="000624C2"/>
    <w:rsid w:val="00062B0C"/>
    <w:rsid w:val="0006339D"/>
    <w:rsid w:val="000641FC"/>
    <w:rsid w:val="00065402"/>
    <w:rsid w:val="000658B2"/>
    <w:rsid w:val="0006727C"/>
    <w:rsid w:val="000720B7"/>
    <w:rsid w:val="000754F2"/>
    <w:rsid w:val="00077B3D"/>
    <w:rsid w:val="00084556"/>
    <w:rsid w:val="000925E1"/>
    <w:rsid w:val="0009296F"/>
    <w:rsid w:val="00093379"/>
    <w:rsid w:val="0009561C"/>
    <w:rsid w:val="000A1E79"/>
    <w:rsid w:val="000A5934"/>
    <w:rsid w:val="000B3701"/>
    <w:rsid w:val="000C02D9"/>
    <w:rsid w:val="000C393B"/>
    <w:rsid w:val="000C47DA"/>
    <w:rsid w:val="000C5663"/>
    <w:rsid w:val="000D085C"/>
    <w:rsid w:val="000D222F"/>
    <w:rsid w:val="000D24E9"/>
    <w:rsid w:val="000D4397"/>
    <w:rsid w:val="000D69E8"/>
    <w:rsid w:val="000D7692"/>
    <w:rsid w:val="000D7DD0"/>
    <w:rsid w:val="000E0FBD"/>
    <w:rsid w:val="000E116B"/>
    <w:rsid w:val="000E237F"/>
    <w:rsid w:val="000E27E2"/>
    <w:rsid w:val="000E2EC6"/>
    <w:rsid w:val="000E4168"/>
    <w:rsid w:val="000F13E5"/>
    <w:rsid w:val="000F15C7"/>
    <w:rsid w:val="000F2493"/>
    <w:rsid w:val="000F2C30"/>
    <w:rsid w:val="00104840"/>
    <w:rsid w:val="00107038"/>
    <w:rsid w:val="001072E9"/>
    <w:rsid w:val="00107348"/>
    <w:rsid w:val="00107509"/>
    <w:rsid w:val="0011630A"/>
    <w:rsid w:val="00121C03"/>
    <w:rsid w:val="001234BC"/>
    <w:rsid w:val="00123B9B"/>
    <w:rsid w:val="00127383"/>
    <w:rsid w:val="0013010B"/>
    <w:rsid w:val="00130C57"/>
    <w:rsid w:val="00136657"/>
    <w:rsid w:val="001369A5"/>
    <w:rsid w:val="00136A1A"/>
    <w:rsid w:val="00141099"/>
    <w:rsid w:val="0014205E"/>
    <w:rsid w:val="00146C7F"/>
    <w:rsid w:val="00146CC3"/>
    <w:rsid w:val="00150096"/>
    <w:rsid w:val="00150371"/>
    <w:rsid w:val="00154966"/>
    <w:rsid w:val="00154CE8"/>
    <w:rsid w:val="00155115"/>
    <w:rsid w:val="00155CDB"/>
    <w:rsid w:val="00156A9D"/>
    <w:rsid w:val="00164C1C"/>
    <w:rsid w:val="00164C8B"/>
    <w:rsid w:val="00166B8A"/>
    <w:rsid w:val="00170168"/>
    <w:rsid w:val="00170275"/>
    <w:rsid w:val="001706A4"/>
    <w:rsid w:val="00171EB3"/>
    <w:rsid w:val="00172003"/>
    <w:rsid w:val="00172376"/>
    <w:rsid w:val="00172702"/>
    <w:rsid w:val="00173E79"/>
    <w:rsid w:val="00176928"/>
    <w:rsid w:val="001807D7"/>
    <w:rsid w:val="0018312B"/>
    <w:rsid w:val="00183DAF"/>
    <w:rsid w:val="001857C4"/>
    <w:rsid w:val="00190012"/>
    <w:rsid w:val="00191563"/>
    <w:rsid w:val="00191A27"/>
    <w:rsid w:val="0019235C"/>
    <w:rsid w:val="00192807"/>
    <w:rsid w:val="00194E82"/>
    <w:rsid w:val="00196721"/>
    <w:rsid w:val="00197523"/>
    <w:rsid w:val="001A1AAC"/>
    <w:rsid w:val="001A2073"/>
    <w:rsid w:val="001A295C"/>
    <w:rsid w:val="001A2F73"/>
    <w:rsid w:val="001A4A17"/>
    <w:rsid w:val="001A59D6"/>
    <w:rsid w:val="001B006D"/>
    <w:rsid w:val="001B134E"/>
    <w:rsid w:val="001B2918"/>
    <w:rsid w:val="001B658B"/>
    <w:rsid w:val="001C083E"/>
    <w:rsid w:val="001C3286"/>
    <w:rsid w:val="001C3E32"/>
    <w:rsid w:val="001C5F44"/>
    <w:rsid w:val="001C6968"/>
    <w:rsid w:val="001D2BFF"/>
    <w:rsid w:val="001D31EF"/>
    <w:rsid w:val="001D39E4"/>
    <w:rsid w:val="001D5B9D"/>
    <w:rsid w:val="001D72D6"/>
    <w:rsid w:val="001E1A62"/>
    <w:rsid w:val="001E1ED9"/>
    <w:rsid w:val="001E2467"/>
    <w:rsid w:val="001E60DD"/>
    <w:rsid w:val="001F2259"/>
    <w:rsid w:val="001F349E"/>
    <w:rsid w:val="001F4E2F"/>
    <w:rsid w:val="0020045E"/>
    <w:rsid w:val="00203CE4"/>
    <w:rsid w:val="00206DC2"/>
    <w:rsid w:val="00210965"/>
    <w:rsid w:val="00211412"/>
    <w:rsid w:val="00212263"/>
    <w:rsid w:val="002130CC"/>
    <w:rsid w:val="00213696"/>
    <w:rsid w:val="00214E26"/>
    <w:rsid w:val="002157D0"/>
    <w:rsid w:val="00217738"/>
    <w:rsid w:val="00220816"/>
    <w:rsid w:val="0022228F"/>
    <w:rsid w:val="002229C5"/>
    <w:rsid w:val="0022353C"/>
    <w:rsid w:val="00223972"/>
    <w:rsid w:val="00224206"/>
    <w:rsid w:val="002244C6"/>
    <w:rsid w:val="002250C5"/>
    <w:rsid w:val="00231423"/>
    <w:rsid w:val="002317AE"/>
    <w:rsid w:val="00231FD6"/>
    <w:rsid w:val="00233868"/>
    <w:rsid w:val="00233EBF"/>
    <w:rsid w:val="00237B6F"/>
    <w:rsid w:val="00240298"/>
    <w:rsid w:val="002412C3"/>
    <w:rsid w:val="00242B0A"/>
    <w:rsid w:val="00243706"/>
    <w:rsid w:val="00244E9C"/>
    <w:rsid w:val="002475B9"/>
    <w:rsid w:val="00250BFE"/>
    <w:rsid w:val="002523B6"/>
    <w:rsid w:val="00253593"/>
    <w:rsid w:val="002558DA"/>
    <w:rsid w:val="002566CA"/>
    <w:rsid w:val="002601CD"/>
    <w:rsid w:val="00261F1A"/>
    <w:rsid w:val="002644B4"/>
    <w:rsid w:val="002661BE"/>
    <w:rsid w:val="002673F7"/>
    <w:rsid w:val="002678E7"/>
    <w:rsid w:val="00267A47"/>
    <w:rsid w:val="0027084F"/>
    <w:rsid w:val="00272B56"/>
    <w:rsid w:val="00274542"/>
    <w:rsid w:val="002764E5"/>
    <w:rsid w:val="002820AC"/>
    <w:rsid w:val="00283CB3"/>
    <w:rsid w:val="002847C9"/>
    <w:rsid w:val="00284D57"/>
    <w:rsid w:val="00286E61"/>
    <w:rsid w:val="00287489"/>
    <w:rsid w:val="002917D5"/>
    <w:rsid w:val="00291A22"/>
    <w:rsid w:val="00295BA4"/>
    <w:rsid w:val="00296E66"/>
    <w:rsid w:val="002A0938"/>
    <w:rsid w:val="002A1994"/>
    <w:rsid w:val="002A287A"/>
    <w:rsid w:val="002A3036"/>
    <w:rsid w:val="002A3067"/>
    <w:rsid w:val="002A42FA"/>
    <w:rsid w:val="002A5B1C"/>
    <w:rsid w:val="002A64DE"/>
    <w:rsid w:val="002B0281"/>
    <w:rsid w:val="002B28EC"/>
    <w:rsid w:val="002B44A5"/>
    <w:rsid w:val="002B6994"/>
    <w:rsid w:val="002C5C5B"/>
    <w:rsid w:val="002C72CB"/>
    <w:rsid w:val="002D570F"/>
    <w:rsid w:val="002D6973"/>
    <w:rsid w:val="002D7B14"/>
    <w:rsid w:val="002E0C5E"/>
    <w:rsid w:val="002E40C5"/>
    <w:rsid w:val="002E63E5"/>
    <w:rsid w:val="002F27CB"/>
    <w:rsid w:val="002F2899"/>
    <w:rsid w:val="002F3604"/>
    <w:rsid w:val="002F5A5F"/>
    <w:rsid w:val="003007C4"/>
    <w:rsid w:val="00301086"/>
    <w:rsid w:val="003010CD"/>
    <w:rsid w:val="00303AEF"/>
    <w:rsid w:val="00304508"/>
    <w:rsid w:val="0030605C"/>
    <w:rsid w:val="003107E2"/>
    <w:rsid w:val="00312465"/>
    <w:rsid w:val="003138F3"/>
    <w:rsid w:val="00316EBF"/>
    <w:rsid w:val="0031728F"/>
    <w:rsid w:val="003247D8"/>
    <w:rsid w:val="003250F7"/>
    <w:rsid w:val="00325E81"/>
    <w:rsid w:val="00330229"/>
    <w:rsid w:val="00330EF4"/>
    <w:rsid w:val="0033212A"/>
    <w:rsid w:val="00333DA2"/>
    <w:rsid w:val="00334039"/>
    <w:rsid w:val="00337907"/>
    <w:rsid w:val="00337910"/>
    <w:rsid w:val="00341867"/>
    <w:rsid w:val="003438D2"/>
    <w:rsid w:val="00345C8B"/>
    <w:rsid w:val="00351D2A"/>
    <w:rsid w:val="00356107"/>
    <w:rsid w:val="003603EA"/>
    <w:rsid w:val="00365377"/>
    <w:rsid w:val="00365719"/>
    <w:rsid w:val="003660DF"/>
    <w:rsid w:val="003717B2"/>
    <w:rsid w:val="003737C4"/>
    <w:rsid w:val="00374DD7"/>
    <w:rsid w:val="00374DF5"/>
    <w:rsid w:val="00375CD9"/>
    <w:rsid w:val="00375E53"/>
    <w:rsid w:val="00382762"/>
    <w:rsid w:val="00385590"/>
    <w:rsid w:val="00387E73"/>
    <w:rsid w:val="00390BAA"/>
    <w:rsid w:val="00391279"/>
    <w:rsid w:val="00391E5A"/>
    <w:rsid w:val="003932AC"/>
    <w:rsid w:val="003955F5"/>
    <w:rsid w:val="003A2521"/>
    <w:rsid w:val="003A2AE0"/>
    <w:rsid w:val="003A2BB0"/>
    <w:rsid w:val="003A35D5"/>
    <w:rsid w:val="003A3765"/>
    <w:rsid w:val="003A4AFA"/>
    <w:rsid w:val="003A641B"/>
    <w:rsid w:val="003B2336"/>
    <w:rsid w:val="003B25B1"/>
    <w:rsid w:val="003B4A62"/>
    <w:rsid w:val="003B52FF"/>
    <w:rsid w:val="003B64BF"/>
    <w:rsid w:val="003C1B65"/>
    <w:rsid w:val="003C2E25"/>
    <w:rsid w:val="003C325E"/>
    <w:rsid w:val="003C3CF5"/>
    <w:rsid w:val="003C463F"/>
    <w:rsid w:val="003D0D15"/>
    <w:rsid w:val="003D1C9B"/>
    <w:rsid w:val="003D2902"/>
    <w:rsid w:val="003D2E6B"/>
    <w:rsid w:val="003D2F05"/>
    <w:rsid w:val="003D3A23"/>
    <w:rsid w:val="003D636F"/>
    <w:rsid w:val="003D758A"/>
    <w:rsid w:val="003E16E8"/>
    <w:rsid w:val="003E1B0B"/>
    <w:rsid w:val="003E3B58"/>
    <w:rsid w:val="003E3D07"/>
    <w:rsid w:val="003F1765"/>
    <w:rsid w:val="003F1A5E"/>
    <w:rsid w:val="003F1DAA"/>
    <w:rsid w:val="004009F3"/>
    <w:rsid w:val="00401488"/>
    <w:rsid w:val="00402234"/>
    <w:rsid w:val="004078D3"/>
    <w:rsid w:val="00411969"/>
    <w:rsid w:val="00416066"/>
    <w:rsid w:val="0042095B"/>
    <w:rsid w:val="0042272A"/>
    <w:rsid w:val="00430CB9"/>
    <w:rsid w:val="00433768"/>
    <w:rsid w:val="00434BD0"/>
    <w:rsid w:val="00437F52"/>
    <w:rsid w:val="0044099F"/>
    <w:rsid w:val="00441327"/>
    <w:rsid w:val="0044504D"/>
    <w:rsid w:val="00446AAB"/>
    <w:rsid w:val="00450E70"/>
    <w:rsid w:val="004512AC"/>
    <w:rsid w:val="00452ABF"/>
    <w:rsid w:val="00455843"/>
    <w:rsid w:val="00460E41"/>
    <w:rsid w:val="00461372"/>
    <w:rsid w:val="0046387C"/>
    <w:rsid w:val="00463D48"/>
    <w:rsid w:val="00471484"/>
    <w:rsid w:val="00471745"/>
    <w:rsid w:val="004727B2"/>
    <w:rsid w:val="0047470D"/>
    <w:rsid w:val="0047621C"/>
    <w:rsid w:val="00476A61"/>
    <w:rsid w:val="00476D4D"/>
    <w:rsid w:val="0048030A"/>
    <w:rsid w:val="0048342F"/>
    <w:rsid w:val="00484C52"/>
    <w:rsid w:val="00484FC2"/>
    <w:rsid w:val="00491272"/>
    <w:rsid w:val="0049596A"/>
    <w:rsid w:val="00496599"/>
    <w:rsid w:val="00496AA9"/>
    <w:rsid w:val="00496CED"/>
    <w:rsid w:val="004A0999"/>
    <w:rsid w:val="004A2135"/>
    <w:rsid w:val="004A5B8D"/>
    <w:rsid w:val="004A5C45"/>
    <w:rsid w:val="004A7CAF"/>
    <w:rsid w:val="004B0122"/>
    <w:rsid w:val="004B3F28"/>
    <w:rsid w:val="004B6D6F"/>
    <w:rsid w:val="004B7091"/>
    <w:rsid w:val="004C1007"/>
    <w:rsid w:val="004C3991"/>
    <w:rsid w:val="004C3C1E"/>
    <w:rsid w:val="004C5254"/>
    <w:rsid w:val="004C56C4"/>
    <w:rsid w:val="004C594B"/>
    <w:rsid w:val="004C640C"/>
    <w:rsid w:val="004C78BB"/>
    <w:rsid w:val="004D372E"/>
    <w:rsid w:val="004D3D6C"/>
    <w:rsid w:val="004D54BB"/>
    <w:rsid w:val="004D5B22"/>
    <w:rsid w:val="004D7239"/>
    <w:rsid w:val="004D7526"/>
    <w:rsid w:val="004E37C0"/>
    <w:rsid w:val="004F009C"/>
    <w:rsid w:val="004F169D"/>
    <w:rsid w:val="004F22B7"/>
    <w:rsid w:val="004F4EE0"/>
    <w:rsid w:val="004F5E7B"/>
    <w:rsid w:val="004F653F"/>
    <w:rsid w:val="00500E8F"/>
    <w:rsid w:val="005028F9"/>
    <w:rsid w:val="00502FF7"/>
    <w:rsid w:val="005032A4"/>
    <w:rsid w:val="00504DB3"/>
    <w:rsid w:val="00506631"/>
    <w:rsid w:val="0050754C"/>
    <w:rsid w:val="00510EF6"/>
    <w:rsid w:val="0051127D"/>
    <w:rsid w:val="005119D4"/>
    <w:rsid w:val="00512832"/>
    <w:rsid w:val="00516688"/>
    <w:rsid w:val="0051695D"/>
    <w:rsid w:val="0051799F"/>
    <w:rsid w:val="005229E9"/>
    <w:rsid w:val="00522BD9"/>
    <w:rsid w:val="00522BE2"/>
    <w:rsid w:val="00524159"/>
    <w:rsid w:val="005241AB"/>
    <w:rsid w:val="00524A81"/>
    <w:rsid w:val="00525E73"/>
    <w:rsid w:val="00527856"/>
    <w:rsid w:val="00536577"/>
    <w:rsid w:val="00537239"/>
    <w:rsid w:val="005407BB"/>
    <w:rsid w:val="00541CB8"/>
    <w:rsid w:val="00543FE2"/>
    <w:rsid w:val="00547E83"/>
    <w:rsid w:val="00552196"/>
    <w:rsid w:val="005525AA"/>
    <w:rsid w:val="00553586"/>
    <w:rsid w:val="00553F8F"/>
    <w:rsid w:val="00554ED9"/>
    <w:rsid w:val="005574EC"/>
    <w:rsid w:val="00560F0B"/>
    <w:rsid w:val="00561B0F"/>
    <w:rsid w:val="00562150"/>
    <w:rsid w:val="005653EF"/>
    <w:rsid w:val="00565DAC"/>
    <w:rsid w:val="0057284A"/>
    <w:rsid w:val="005827D5"/>
    <w:rsid w:val="005834AB"/>
    <w:rsid w:val="00590051"/>
    <w:rsid w:val="00590E3A"/>
    <w:rsid w:val="005942F8"/>
    <w:rsid w:val="0059780B"/>
    <w:rsid w:val="00597F38"/>
    <w:rsid w:val="005A4BCF"/>
    <w:rsid w:val="005A6D4E"/>
    <w:rsid w:val="005B42D5"/>
    <w:rsid w:val="005B4F30"/>
    <w:rsid w:val="005B7DD2"/>
    <w:rsid w:val="005C08EF"/>
    <w:rsid w:val="005C32ED"/>
    <w:rsid w:val="005C333A"/>
    <w:rsid w:val="005C5C97"/>
    <w:rsid w:val="005C731C"/>
    <w:rsid w:val="005D07E0"/>
    <w:rsid w:val="005D2962"/>
    <w:rsid w:val="005D3F3E"/>
    <w:rsid w:val="005D4141"/>
    <w:rsid w:val="005D5D54"/>
    <w:rsid w:val="005D6864"/>
    <w:rsid w:val="005D7CD9"/>
    <w:rsid w:val="005E4C76"/>
    <w:rsid w:val="005E7AC1"/>
    <w:rsid w:val="005F4A3C"/>
    <w:rsid w:val="005F4C4C"/>
    <w:rsid w:val="005F60A8"/>
    <w:rsid w:val="00602E87"/>
    <w:rsid w:val="00603A91"/>
    <w:rsid w:val="006042E3"/>
    <w:rsid w:val="0060473F"/>
    <w:rsid w:val="00606703"/>
    <w:rsid w:val="00610B40"/>
    <w:rsid w:val="006121DA"/>
    <w:rsid w:val="00615906"/>
    <w:rsid w:val="00617DEE"/>
    <w:rsid w:val="0062065B"/>
    <w:rsid w:val="006208CC"/>
    <w:rsid w:val="00622E1D"/>
    <w:rsid w:val="006232E3"/>
    <w:rsid w:val="0062330B"/>
    <w:rsid w:val="006235AF"/>
    <w:rsid w:val="006257E9"/>
    <w:rsid w:val="00626B53"/>
    <w:rsid w:val="0063044D"/>
    <w:rsid w:val="00630E54"/>
    <w:rsid w:val="0063325A"/>
    <w:rsid w:val="00634107"/>
    <w:rsid w:val="006400C2"/>
    <w:rsid w:val="00644A31"/>
    <w:rsid w:val="00644CA0"/>
    <w:rsid w:val="00645824"/>
    <w:rsid w:val="00645B8B"/>
    <w:rsid w:val="00646E5D"/>
    <w:rsid w:val="006509C9"/>
    <w:rsid w:val="00651B4F"/>
    <w:rsid w:val="00654198"/>
    <w:rsid w:val="00655B31"/>
    <w:rsid w:val="00656CA4"/>
    <w:rsid w:val="00656CB6"/>
    <w:rsid w:val="00657603"/>
    <w:rsid w:val="00664319"/>
    <w:rsid w:val="0066622C"/>
    <w:rsid w:val="00667C9B"/>
    <w:rsid w:val="00670A52"/>
    <w:rsid w:val="0067312A"/>
    <w:rsid w:val="00677A98"/>
    <w:rsid w:val="00680622"/>
    <w:rsid w:val="00680661"/>
    <w:rsid w:val="00682DCC"/>
    <w:rsid w:val="00692639"/>
    <w:rsid w:val="00692BC2"/>
    <w:rsid w:val="00693A68"/>
    <w:rsid w:val="006A012B"/>
    <w:rsid w:val="006A06BB"/>
    <w:rsid w:val="006A0703"/>
    <w:rsid w:val="006A087F"/>
    <w:rsid w:val="006A3479"/>
    <w:rsid w:val="006A4B94"/>
    <w:rsid w:val="006A5048"/>
    <w:rsid w:val="006A5980"/>
    <w:rsid w:val="006B01C7"/>
    <w:rsid w:val="006B0B8B"/>
    <w:rsid w:val="006B2FD6"/>
    <w:rsid w:val="006B43C9"/>
    <w:rsid w:val="006B7DD9"/>
    <w:rsid w:val="006C1D68"/>
    <w:rsid w:val="006C40D6"/>
    <w:rsid w:val="006C452F"/>
    <w:rsid w:val="006D0B33"/>
    <w:rsid w:val="006D2732"/>
    <w:rsid w:val="006D3F06"/>
    <w:rsid w:val="006E12F0"/>
    <w:rsid w:val="006E18DA"/>
    <w:rsid w:val="006E2C16"/>
    <w:rsid w:val="006E2F22"/>
    <w:rsid w:val="006E37EE"/>
    <w:rsid w:val="006E73BD"/>
    <w:rsid w:val="006F21C1"/>
    <w:rsid w:val="006F3599"/>
    <w:rsid w:val="006F39BC"/>
    <w:rsid w:val="006F4673"/>
    <w:rsid w:val="006F658F"/>
    <w:rsid w:val="00702920"/>
    <w:rsid w:val="00702D99"/>
    <w:rsid w:val="00703AE6"/>
    <w:rsid w:val="0071030E"/>
    <w:rsid w:val="00711FE2"/>
    <w:rsid w:val="007200E7"/>
    <w:rsid w:val="00721A0C"/>
    <w:rsid w:val="0072299D"/>
    <w:rsid w:val="00724290"/>
    <w:rsid w:val="00725B64"/>
    <w:rsid w:val="00726D74"/>
    <w:rsid w:val="0073249E"/>
    <w:rsid w:val="00736AA3"/>
    <w:rsid w:val="007403A5"/>
    <w:rsid w:val="00740ADA"/>
    <w:rsid w:val="0074146C"/>
    <w:rsid w:val="00742743"/>
    <w:rsid w:val="007434AA"/>
    <w:rsid w:val="00744815"/>
    <w:rsid w:val="007467FE"/>
    <w:rsid w:val="0074743D"/>
    <w:rsid w:val="00747E7A"/>
    <w:rsid w:val="0075577B"/>
    <w:rsid w:val="00755DF4"/>
    <w:rsid w:val="00757FC7"/>
    <w:rsid w:val="007674B8"/>
    <w:rsid w:val="00767C12"/>
    <w:rsid w:val="00771ECA"/>
    <w:rsid w:val="0077213E"/>
    <w:rsid w:val="0077330B"/>
    <w:rsid w:val="007743B9"/>
    <w:rsid w:val="007751E8"/>
    <w:rsid w:val="00777986"/>
    <w:rsid w:val="00780F95"/>
    <w:rsid w:val="007813F6"/>
    <w:rsid w:val="00782556"/>
    <w:rsid w:val="00786A76"/>
    <w:rsid w:val="00786F74"/>
    <w:rsid w:val="00787AA7"/>
    <w:rsid w:val="007905F5"/>
    <w:rsid w:val="0079141B"/>
    <w:rsid w:val="00793E40"/>
    <w:rsid w:val="00794EFC"/>
    <w:rsid w:val="007A0794"/>
    <w:rsid w:val="007A185B"/>
    <w:rsid w:val="007A2BC6"/>
    <w:rsid w:val="007A3C5B"/>
    <w:rsid w:val="007A510A"/>
    <w:rsid w:val="007A7767"/>
    <w:rsid w:val="007B00B4"/>
    <w:rsid w:val="007B0672"/>
    <w:rsid w:val="007B4DF2"/>
    <w:rsid w:val="007B52E7"/>
    <w:rsid w:val="007B75CA"/>
    <w:rsid w:val="007B7BC0"/>
    <w:rsid w:val="007C014F"/>
    <w:rsid w:val="007C23EF"/>
    <w:rsid w:val="007C25CC"/>
    <w:rsid w:val="007C2AC5"/>
    <w:rsid w:val="007C3FCD"/>
    <w:rsid w:val="007C45B6"/>
    <w:rsid w:val="007C69F3"/>
    <w:rsid w:val="007D47C0"/>
    <w:rsid w:val="007D47DE"/>
    <w:rsid w:val="007D6064"/>
    <w:rsid w:val="007E198A"/>
    <w:rsid w:val="007E1D36"/>
    <w:rsid w:val="007E2902"/>
    <w:rsid w:val="007E3A15"/>
    <w:rsid w:val="007E71AF"/>
    <w:rsid w:val="007F7095"/>
    <w:rsid w:val="007F7735"/>
    <w:rsid w:val="00800375"/>
    <w:rsid w:val="00800D57"/>
    <w:rsid w:val="00802C27"/>
    <w:rsid w:val="00804FFB"/>
    <w:rsid w:val="008067DE"/>
    <w:rsid w:val="008075AF"/>
    <w:rsid w:val="00807E3C"/>
    <w:rsid w:val="00807E55"/>
    <w:rsid w:val="0081441E"/>
    <w:rsid w:val="00821227"/>
    <w:rsid w:val="00822187"/>
    <w:rsid w:val="00822B5E"/>
    <w:rsid w:val="00822E75"/>
    <w:rsid w:val="00823002"/>
    <w:rsid w:val="00823AAB"/>
    <w:rsid w:val="008242C9"/>
    <w:rsid w:val="008255EE"/>
    <w:rsid w:val="008257C3"/>
    <w:rsid w:val="00827563"/>
    <w:rsid w:val="00830720"/>
    <w:rsid w:val="00833349"/>
    <w:rsid w:val="00835E38"/>
    <w:rsid w:val="008402D5"/>
    <w:rsid w:val="00841B87"/>
    <w:rsid w:val="0084212A"/>
    <w:rsid w:val="008478D8"/>
    <w:rsid w:val="0085098C"/>
    <w:rsid w:val="00850B4D"/>
    <w:rsid w:val="00853F47"/>
    <w:rsid w:val="00856503"/>
    <w:rsid w:val="00857CCC"/>
    <w:rsid w:val="0086038E"/>
    <w:rsid w:val="008624C1"/>
    <w:rsid w:val="00862F98"/>
    <w:rsid w:val="00866632"/>
    <w:rsid w:val="00866A1E"/>
    <w:rsid w:val="00870DF0"/>
    <w:rsid w:val="008714B0"/>
    <w:rsid w:val="0087246E"/>
    <w:rsid w:val="008759AA"/>
    <w:rsid w:val="00876E37"/>
    <w:rsid w:val="008771FE"/>
    <w:rsid w:val="00877839"/>
    <w:rsid w:val="0088267D"/>
    <w:rsid w:val="00882E2E"/>
    <w:rsid w:val="00882F66"/>
    <w:rsid w:val="008849C2"/>
    <w:rsid w:val="00886490"/>
    <w:rsid w:val="008939A4"/>
    <w:rsid w:val="00893BE6"/>
    <w:rsid w:val="008A01F2"/>
    <w:rsid w:val="008A1826"/>
    <w:rsid w:val="008A245C"/>
    <w:rsid w:val="008A2B62"/>
    <w:rsid w:val="008A53B4"/>
    <w:rsid w:val="008A5F2C"/>
    <w:rsid w:val="008A6462"/>
    <w:rsid w:val="008A7CEA"/>
    <w:rsid w:val="008B08D0"/>
    <w:rsid w:val="008B11CC"/>
    <w:rsid w:val="008B138E"/>
    <w:rsid w:val="008B376F"/>
    <w:rsid w:val="008B5103"/>
    <w:rsid w:val="008C01AA"/>
    <w:rsid w:val="008C3152"/>
    <w:rsid w:val="008C4AE2"/>
    <w:rsid w:val="008C68D0"/>
    <w:rsid w:val="008C7662"/>
    <w:rsid w:val="008D05E1"/>
    <w:rsid w:val="008D34A7"/>
    <w:rsid w:val="008D3721"/>
    <w:rsid w:val="008D566C"/>
    <w:rsid w:val="008D5B5D"/>
    <w:rsid w:val="008D5B7D"/>
    <w:rsid w:val="008D677B"/>
    <w:rsid w:val="008E1828"/>
    <w:rsid w:val="008E2223"/>
    <w:rsid w:val="008E5EE4"/>
    <w:rsid w:val="008F2270"/>
    <w:rsid w:val="008F54A5"/>
    <w:rsid w:val="008F7600"/>
    <w:rsid w:val="008F7B95"/>
    <w:rsid w:val="009004BD"/>
    <w:rsid w:val="009037E8"/>
    <w:rsid w:val="0090468B"/>
    <w:rsid w:val="0091159B"/>
    <w:rsid w:val="0091473D"/>
    <w:rsid w:val="009155C8"/>
    <w:rsid w:val="00916213"/>
    <w:rsid w:val="00916C12"/>
    <w:rsid w:val="00917975"/>
    <w:rsid w:val="00922B73"/>
    <w:rsid w:val="00923A6F"/>
    <w:rsid w:val="00926272"/>
    <w:rsid w:val="00934862"/>
    <w:rsid w:val="00935445"/>
    <w:rsid w:val="009356BF"/>
    <w:rsid w:val="00942870"/>
    <w:rsid w:val="00944465"/>
    <w:rsid w:val="0094535D"/>
    <w:rsid w:val="009466DA"/>
    <w:rsid w:val="009473A5"/>
    <w:rsid w:val="00947F99"/>
    <w:rsid w:val="00952D53"/>
    <w:rsid w:val="00953A29"/>
    <w:rsid w:val="00965BFA"/>
    <w:rsid w:val="00965DEA"/>
    <w:rsid w:val="00966C84"/>
    <w:rsid w:val="00967405"/>
    <w:rsid w:val="00971956"/>
    <w:rsid w:val="00976DE7"/>
    <w:rsid w:val="00976F6D"/>
    <w:rsid w:val="00980F4D"/>
    <w:rsid w:val="00981248"/>
    <w:rsid w:val="00982A4F"/>
    <w:rsid w:val="0098348E"/>
    <w:rsid w:val="00984CC1"/>
    <w:rsid w:val="009858FE"/>
    <w:rsid w:val="00985A49"/>
    <w:rsid w:val="00985FC4"/>
    <w:rsid w:val="0098617A"/>
    <w:rsid w:val="009863CA"/>
    <w:rsid w:val="00991A87"/>
    <w:rsid w:val="0099248E"/>
    <w:rsid w:val="00996BB7"/>
    <w:rsid w:val="009A00DB"/>
    <w:rsid w:val="009A089F"/>
    <w:rsid w:val="009A2AE6"/>
    <w:rsid w:val="009A3253"/>
    <w:rsid w:val="009A32A0"/>
    <w:rsid w:val="009A4996"/>
    <w:rsid w:val="009A5B3F"/>
    <w:rsid w:val="009A757F"/>
    <w:rsid w:val="009B1AFB"/>
    <w:rsid w:val="009C12F1"/>
    <w:rsid w:val="009C56FA"/>
    <w:rsid w:val="009C590E"/>
    <w:rsid w:val="009C6030"/>
    <w:rsid w:val="009C632B"/>
    <w:rsid w:val="009D0881"/>
    <w:rsid w:val="009D1CE7"/>
    <w:rsid w:val="009D1F9B"/>
    <w:rsid w:val="009D214F"/>
    <w:rsid w:val="009D4D26"/>
    <w:rsid w:val="009D5C79"/>
    <w:rsid w:val="009E3394"/>
    <w:rsid w:val="009F051B"/>
    <w:rsid w:val="009F143A"/>
    <w:rsid w:val="009F2E0F"/>
    <w:rsid w:val="009F3F39"/>
    <w:rsid w:val="009F49A1"/>
    <w:rsid w:val="009F4A9E"/>
    <w:rsid w:val="00A0275D"/>
    <w:rsid w:val="00A06249"/>
    <w:rsid w:val="00A06F47"/>
    <w:rsid w:val="00A10080"/>
    <w:rsid w:val="00A12E31"/>
    <w:rsid w:val="00A130F5"/>
    <w:rsid w:val="00A1318B"/>
    <w:rsid w:val="00A13B45"/>
    <w:rsid w:val="00A1476A"/>
    <w:rsid w:val="00A207C1"/>
    <w:rsid w:val="00A246D8"/>
    <w:rsid w:val="00A24ABE"/>
    <w:rsid w:val="00A26FFB"/>
    <w:rsid w:val="00A3261C"/>
    <w:rsid w:val="00A32B26"/>
    <w:rsid w:val="00A33010"/>
    <w:rsid w:val="00A33805"/>
    <w:rsid w:val="00A34181"/>
    <w:rsid w:val="00A408E0"/>
    <w:rsid w:val="00A50B5E"/>
    <w:rsid w:val="00A51F85"/>
    <w:rsid w:val="00A55E59"/>
    <w:rsid w:val="00A567E7"/>
    <w:rsid w:val="00A575AD"/>
    <w:rsid w:val="00A57C9C"/>
    <w:rsid w:val="00A6034F"/>
    <w:rsid w:val="00A64264"/>
    <w:rsid w:val="00A65575"/>
    <w:rsid w:val="00A6797F"/>
    <w:rsid w:val="00A7298B"/>
    <w:rsid w:val="00A73DF3"/>
    <w:rsid w:val="00A74FCF"/>
    <w:rsid w:val="00A8040D"/>
    <w:rsid w:val="00A81662"/>
    <w:rsid w:val="00A8684B"/>
    <w:rsid w:val="00A87E16"/>
    <w:rsid w:val="00A9146C"/>
    <w:rsid w:val="00A92E29"/>
    <w:rsid w:val="00A948C2"/>
    <w:rsid w:val="00A95061"/>
    <w:rsid w:val="00A97CDD"/>
    <w:rsid w:val="00AA0584"/>
    <w:rsid w:val="00AA1B86"/>
    <w:rsid w:val="00AA2653"/>
    <w:rsid w:val="00AA3957"/>
    <w:rsid w:val="00AA55D7"/>
    <w:rsid w:val="00AA6AC8"/>
    <w:rsid w:val="00AA72BE"/>
    <w:rsid w:val="00AB07C3"/>
    <w:rsid w:val="00AB3B4B"/>
    <w:rsid w:val="00AB403A"/>
    <w:rsid w:val="00AB4527"/>
    <w:rsid w:val="00AB5D74"/>
    <w:rsid w:val="00AB61D0"/>
    <w:rsid w:val="00AB6A09"/>
    <w:rsid w:val="00AB6CD5"/>
    <w:rsid w:val="00AC0683"/>
    <w:rsid w:val="00AC098B"/>
    <w:rsid w:val="00AC332C"/>
    <w:rsid w:val="00AC333D"/>
    <w:rsid w:val="00AC57A2"/>
    <w:rsid w:val="00AC70A3"/>
    <w:rsid w:val="00AD00D3"/>
    <w:rsid w:val="00AD6485"/>
    <w:rsid w:val="00AE2153"/>
    <w:rsid w:val="00AE333F"/>
    <w:rsid w:val="00AE41F6"/>
    <w:rsid w:val="00AF2C6D"/>
    <w:rsid w:val="00AF5493"/>
    <w:rsid w:val="00AF7678"/>
    <w:rsid w:val="00B0037D"/>
    <w:rsid w:val="00B00801"/>
    <w:rsid w:val="00B0229A"/>
    <w:rsid w:val="00B0343C"/>
    <w:rsid w:val="00B0500E"/>
    <w:rsid w:val="00B11809"/>
    <w:rsid w:val="00B11F10"/>
    <w:rsid w:val="00B13CB0"/>
    <w:rsid w:val="00B13F27"/>
    <w:rsid w:val="00B1536D"/>
    <w:rsid w:val="00B20095"/>
    <w:rsid w:val="00B2047A"/>
    <w:rsid w:val="00B215D7"/>
    <w:rsid w:val="00B21D50"/>
    <w:rsid w:val="00B23F49"/>
    <w:rsid w:val="00B32A2F"/>
    <w:rsid w:val="00B34243"/>
    <w:rsid w:val="00B40751"/>
    <w:rsid w:val="00B42019"/>
    <w:rsid w:val="00B43ED6"/>
    <w:rsid w:val="00B44433"/>
    <w:rsid w:val="00B46D1D"/>
    <w:rsid w:val="00B52500"/>
    <w:rsid w:val="00B56150"/>
    <w:rsid w:val="00B569D0"/>
    <w:rsid w:val="00B56A4F"/>
    <w:rsid w:val="00B60178"/>
    <w:rsid w:val="00B66DE9"/>
    <w:rsid w:val="00B7318E"/>
    <w:rsid w:val="00B74050"/>
    <w:rsid w:val="00B7431F"/>
    <w:rsid w:val="00B7553D"/>
    <w:rsid w:val="00B76E28"/>
    <w:rsid w:val="00B80EFC"/>
    <w:rsid w:val="00B815C5"/>
    <w:rsid w:val="00B82300"/>
    <w:rsid w:val="00B82803"/>
    <w:rsid w:val="00B84501"/>
    <w:rsid w:val="00B851F9"/>
    <w:rsid w:val="00B868BC"/>
    <w:rsid w:val="00B907D1"/>
    <w:rsid w:val="00B90CFE"/>
    <w:rsid w:val="00B92773"/>
    <w:rsid w:val="00B92F4B"/>
    <w:rsid w:val="00B93447"/>
    <w:rsid w:val="00BA17CA"/>
    <w:rsid w:val="00BA411A"/>
    <w:rsid w:val="00BA44E1"/>
    <w:rsid w:val="00BA678B"/>
    <w:rsid w:val="00BB07B2"/>
    <w:rsid w:val="00BC0F61"/>
    <w:rsid w:val="00BC15F2"/>
    <w:rsid w:val="00BC2725"/>
    <w:rsid w:val="00BC322E"/>
    <w:rsid w:val="00BD0C3C"/>
    <w:rsid w:val="00BD0F85"/>
    <w:rsid w:val="00BD25DB"/>
    <w:rsid w:val="00BD3421"/>
    <w:rsid w:val="00BD487E"/>
    <w:rsid w:val="00BD4D42"/>
    <w:rsid w:val="00BD5ABE"/>
    <w:rsid w:val="00BE3BB1"/>
    <w:rsid w:val="00BE5599"/>
    <w:rsid w:val="00BE652D"/>
    <w:rsid w:val="00BF1C8D"/>
    <w:rsid w:val="00BF411C"/>
    <w:rsid w:val="00BF4366"/>
    <w:rsid w:val="00BF552F"/>
    <w:rsid w:val="00C009FD"/>
    <w:rsid w:val="00C03062"/>
    <w:rsid w:val="00C0546B"/>
    <w:rsid w:val="00C1213E"/>
    <w:rsid w:val="00C14FA4"/>
    <w:rsid w:val="00C16CD1"/>
    <w:rsid w:val="00C1768D"/>
    <w:rsid w:val="00C17B81"/>
    <w:rsid w:val="00C23E6B"/>
    <w:rsid w:val="00C25262"/>
    <w:rsid w:val="00C2622B"/>
    <w:rsid w:val="00C37D6D"/>
    <w:rsid w:val="00C37FAC"/>
    <w:rsid w:val="00C420ED"/>
    <w:rsid w:val="00C435AD"/>
    <w:rsid w:val="00C46A0A"/>
    <w:rsid w:val="00C46CA9"/>
    <w:rsid w:val="00C47F86"/>
    <w:rsid w:val="00C50E5C"/>
    <w:rsid w:val="00C54B72"/>
    <w:rsid w:val="00C56651"/>
    <w:rsid w:val="00C56B0D"/>
    <w:rsid w:val="00C604A0"/>
    <w:rsid w:val="00C61DE6"/>
    <w:rsid w:val="00C62392"/>
    <w:rsid w:val="00C63FD1"/>
    <w:rsid w:val="00C65CCE"/>
    <w:rsid w:val="00C66A77"/>
    <w:rsid w:val="00C72948"/>
    <w:rsid w:val="00C75DE4"/>
    <w:rsid w:val="00C763F3"/>
    <w:rsid w:val="00C772C9"/>
    <w:rsid w:val="00C82AAD"/>
    <w:rsid w:val="00C868EE"/>
    <w:rsid w:val="00C87C2C"/>
    <w:rsid w:val="00C87E11"/>
    <w:rsid w:val="00C87FA5"/>
    <w:rsid w:val="00C92A87"/>
    <w:rsid w:val="00C93D66"/>
    <w:rsid w:val="00C94EC5"/>
    <w:rsid w:val="00C954CD"/>
    <w:rsid w:val="00C95CEE"/>
    <w:rsid w:val="00C95ED2"/>
    <w:rsid w:val="00CA206A"/>
    <w:rsid w:val="00CA31E3"/>
    <w:rsid w:val="00CA41E1"/>
    <w:rsid w:val="00CA6625"/>
    <w:rsid w:val="00CB05F7"/>
    <w:rsid w:val="00CB480A"/>
    <w:rsid w:val="00CB4CEC"/>
    <w:rsid w:val="00CB52E5"/>
    <w:rsid w:val="00CB78C9"/>
    <w:rsid w:val="00CC0A3B"/>
    <w:rsid w:val="00CC6651"/>
    <w:rsid w:val="00CC68C8"/>
    <w:rsid w:val="00CD34FA"/>
    <w:rsid w:val="00CD3780"/>
    <w:rsid w:val="00CE0602"/>
    <w:rsid w:val="00CE0BEE"/>
    <w:rsid w:val="00CE23A4"/>
    <w:rsid w:val="00CE3AE9"/>
    <w:rsid w:val="00CE457A"/>
    <w:rsid w:val="00CE49B2"/>
    <w:rsid w:val="00CF0AB1"/>
    <w:rsid w:val="00CF0CC7"/>
    <w:rsid w:val="00CF196B"/>
    <w:rsid w:val="00CF44FB"/>
    <w:rsid w:val="00D008E9"/>
    <w:rsid w:val="00D02778"/>
    <w:rsid w:val="00D0341A"/>
    <w:rsid w:val="00D03D11"/>
    <w:rsid w:val="00D05247"/>
    <w:rsid w:val="00D05342"/>
    <w:rsid w:val="00D06409"/>
    <w:rsid w:val="00D065AE"/>
    <w:rsid w:val="00D07833"/>
    <w:rsid w:val="00D07C30"/>
    <w:rsid w:val="00D1404F"/>
    <w:rsid w:val="00D14594"/>
    <w:rsid w:val="00D16767"/>
    <w:rsid w:val="00D16A5E"/>
    <w:rsid w:val="00D219DB"/>
    <w:rsid w:val="00D25521"/>
    <w:rsid w:val="00D26FEE"/>
    <w:rsid w:val="00D308B7"/>
    <w:rsid w:val="00D30E46"/>
    <w:rsid w:val="00D32A45"/>
    <w:rsid w:val="00D35DCD"/>
    <w:rsid w:val="00D3647C"/>
    <w:rsid w:val="00D3654A"/>
    <w:rsid w:val="00D36732"/>
    <w:rsid w:val="00D40C4E"/>
    <w:rsid w:val="00D42F63"/>
    <w:rsid w:val="00D44694"/>
    <w:rsid w:val="00D4472C"/>
    <w:rsid w:val="00D50371"/>
    <w:rsid w:val="00D5073A"/>
    <w:rsid w:val="00D52AF3"/>
    <w:rsid w:val="00D551EF"/>
    <w:rsid w:val="00D60F68"/>
    <w:rsid w:val="00D663AC"/>
    <w:rsid w:val="00D7452B"/>
    <w:rsid w:val="00D75007"/>
    <w:rsid w:val="00D83967"/>
    <w:rsid w:val="00D90240"/>
    <w:rsid w:val="00D91D2A"/>
    <w:rsid w:val="00D92F7A"/>
    <w:rsid w:val="00D9478F"/>
    <w:rsid w:val="00D94B31"/>
    <w:rsid w:val="00D94F77"/>
    <w:rsid w:val="00D97C79"/>
    <w:rsid w:val="00DA2949"/>
    <w:rsid w:val="00DA2E07"/>
    <w:rsid w:val="00DA4E25"/>
    <w:rsid w:val="00DA6919"/>
    <w:rsid w:val="00DA6FA4"/>
    <w:rsid w:val="00DA7629"/>
    <w:rsid w:val="00DB1639"/>
    <w:rsid w:val="00DB3C2A"/>
    <w:rsid w:val="00DC10AA"/>
    <w:rsid w:val="00DC513E"/>
    <w:rsid w:val="00DC53F9"/>
    <w:rsid w:val="00DD1929"/>
    <w:rsid w:val="00DD6C75"/>
    <w:rsid w:val="00DD7BAC"/>
    <w:rsid w:val="00DE1CDC"/>
    <w:rsid w:val="00DE4DC0"/>
    <w:rsid w:val="00DE706E"/>
    <w:rsid w:val="00DE7634"/>
    <w:rsid w:val="00E01AA4"/>
    <w:rsid w:val="00E02B6F"/>
    <w:rsid w:val="00E030F5"/>
    <w:rsid w:val="00E04C31"/>
    <w:rsid w:val="00E04D67"/>
    <w:rsid w:val="00E0501E"/>
    <w:rsid w:val="00E061EA"/>
    <w:rsid w:val="00E066AC"/>
    <w:rsid w:val="00E15A45"/>
    <w:rsid w:val="00E16670"/>
    <w:rsid w:val="00E217DD"/>
    <w:rsid w:val="00E22973"/>
    <w:rsid w:val="00E23430"/>
    <w:rsid w:val="00E252F9"/>
    <w:rsid w:val="00E31D45"/>
    <w:rsid w:val="00E31F3D"/>
    <w:rsid w:val="00E346B0"/>
    <w:rsid w:val="00E34BEA"/>
    <w:rsid w:val="00E3626A"/>
    <w:rsid w:val="00E4230F"/>
    <w:rsid w:val="00E43CD1"/>
    <w:rsid w:val="00E4515C"/>
    <w:rsid w:val="00E45D48"/>
    <w:rsid w:val="00E51658"/>
    <w:rsid w:val="00E542CD"/>
    <w:rsid w:val="00E54574"/>
    <w:rsid w:val="00E55C90"/>
    <w:rsid w:val="00E55CB9"/>
    <w:rsid w:val="00E6209D"/>
    <w:rsid w:val="00E62885"/>
    <w:rsid w:val="00E64E13"/>
    <w:rsid w:val="00E64F0E"/>
    <w:rsid w:val="00E76FD7"/>
    <w:rsid w:val="00E809D2"/>
    <w:rsid w:val="00E870A9"/>
    <w:rsid w:val="00E90A6A"/>
    <w:rsid w:val="00E919A6"/>
    <w:rsid w:val="00E95258"/>
    <w:rsid w:val="00E95F87"/>
    <w:rsid w:val="00E97CA4"/>
    <w:rsid w:val="00EA10E5"/>
    <w:rsid w:val="00EA140A"/>
    <w:rsid w:val="00EA3CCD"/>
    <w:rsid w:val="00EA4BE8"/>
    <w:rsid w:val="00EA53D2"/>
    <w:rsid w:val="00EA78DC"/>
    <w:rsid w:val="00EB0580"/>
    <w:rsid w:val="00EB32A6"/>
    <w:rsid w:val="00EB43A3"/>
    <w:rsid w:val="00EB44B5"/>
    <w:rsid w:val="00EB4F50"/>
    <w:rsid w:val="00EC36FD"/>
    <w:rsid w:val="00EC42B9"/>
    <w:rsid w:val="00EC67D9"/>
    <w:rsid w:val="00EC6A79"/>
    <w:rsid w:val="00ED1B99"/>
    <w:rsid w:val="00ED257B"/>
    <w:rsid w:val="00ED6223"/>
    <w:rsid w:val="00ED774E"/>
    <w:rsid w:val="00EE5297"/>
    <w:rsid w:val="00EE5C2A"/>
    <w:rsid w:val="00EE6F85"/>
    <w:rsid w:val="00EF08CE"/>
    <w:rsid w:val="00EF1083"/>
    <w:rsid w:val="00EF49C5"/>
    <w:rsid w:val="00EF68F1"/>
    <w:rsid w:val="00F03347"/>
    <w:rsid w:val="00F0420F"/>
    <w:rsid w:val="00F05402"/>
    <w:rsid w:val="00F058CF"/>
    <w:rsid w:val="00F06D83"/>
    <w:rsid w:val="00F07686"/>
    <w:rsid w:val="00F07C34"/>
    <w:rsid w:val="00F10D99"/>
    <w:rsid w:val="00F167A1"/>
    <w:rsid w:val="00F16857"/>
    <w:rsid w:val="00F17719"/>
    <w:rsid w:val="00F17DAB"/>
    <w:rsid w:val="00F22F13"/>
    <w:rsid w:val="00F25D21"/>
    <w:rsid w:val="00F25FE8"/>
    <w:rsid w:val="00F316CC"/>
    <w:rsid w:val="00F32DAE"/>
    <w:rsid w:val="00F3654B"/>
    <w:rsid w:val="00F37CF5"/>
    <w:rsid w:val="00F42F9C"/>
    <w:rsid w:val="00F50581"/>
    <w:rsid w:val="00F533F0"/>
    <w:rsid w:val="00F53C29"/>
    <w:rsid w:val="00F561A2"/>
    <w:rsid w:val="00F56587"/>
    <w:rsid w:val="00F5694D"/>
    <w:rsid w:val="00F66AD2"/>
    <w:rsid w:val="00F70637"/>
    <w:rsid w:val="00F70741"/>
    <w:rsid w:val="00F72572"/>
    <w:rsid w:val="00F72C26"/>
    <w:rsid w:val="00F73257"/>
    <w:rsid w:val="00F73DE4"/>
    <w:rsid w:val="00F740E1"/>
    <w:rsid w:val="00F74FD1"/>
    <w:rsid w:val="00F76332"/>
    <w:rsid w:val="00F778DE"/>
    <w:rsid w:val="00F8054F"/>
    <w:rsid w:val="00F832E2"/>
    <w:rsid w:val="00F907BE"/>
    <w:rsid w:val="00F92610"/>
    <w:rsid w:val="00F93C42"/>
    <w:rsid w:val="00F96035"/>
    <w:rsid w:val="00F967C4"/>
    <w:rsid w:val="00FA0736"/>
    <w:rsid w:val="00FA0EEF"/>
    <w:rsid w:val="00FA133C"/>
    <w:rsid w:val="00FA1ECA"/>
    <w:rsid w:val="00FA212D"/>
    <w:rsid w:val="00FB1210"/>
    <w:rsid w:val="00FB1B86"/>
    <w:rsid w:val="00FB1FC6"/>
    <w:rsid w:val="00FB250D"/>
    <w:rsid w:val="00FB7B1E"/>
    <w:rsid w:val="00FC04F1"/>
    <w:rsid w:val="00FC2922"/>
    <w:rsid w:val="00FC2D8A"/>
    <w:rsid w:val="00FC3AFA"/>
    <w:rsid w:val="00FC3C52"/>
    <w:rsid w:val="00FC4E48"/>
    <w:rsid w:val="00FC7A32"/>
    <w:rsid w:val="00FD64DA"/>
    <w:rsid w:val="00FD68A7"/>
    <w:rsid w:val="00FD741D"/>
    <w:rsid w:val="00FE0717"/>
    <w:rsid w:val="00FE1CA4"/>
    <w:rsid w:val="00FE5635"/>
    <w:rsid w:val="00FE71EB"/>
    <w:rsid w:val="00FF0C16"/>
    <w:rsid w:val="00FF3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1E3"/>
    <w:pPr>
      <w:widowControl w:val="0"/>
    </w:pPr>
    <w:rPr>
      <w:rFonts w:ascii="Times New Roman" w:eastAsia="Times New Roman" w:hAnsi="Times New Roman"/>
      <w:lang w:eastAsia="en-US"/>
    </w:rPr>
  </w:style>
  <w:style w:type="paragraph" w:styleId="Heading1">
    <w:name w:val="heading 1"/>
    <w:aliases w:val="Section Heading"/>
    <w:basedOn w:val="Normal"/>
    <w:next w:val="Normal"/>
    <w:link w:val="Heading1Char"/>
    <w:qFormat/>
    <w:rsid w:val="00524159"/>
    <w:pPr>
      <w:keepNext/>
      <w:keepLines/>
      <w:ind w:left="2880" w:right="29" w:firstLine="720"/>
      <w:jc w:val="both"/>
      <w:outlineLvl w:val="0"/>
    </w:pPr>
    <w:rPr>
      <w:b/>
      <w:sz w:val="24"/>
    </w:rPr>
  </w:style>
  <w:style w:type="paragraph" w:styleId="Heading2">
    <w:name w:val="heading 2"/>
    <w:basedOn w:val="Normal"/>
    <w:next w:val="Normal"/>
    <w:link w:val="Heading2Char"/>
    <w:uiPriority w:val="9"/>
    <w:qFormat/>
    <w:rsid w:val="00D3654A"/>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976DE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71ECA"/>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4F653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AD6485"/>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qFormat/>
    <w:rsid w:val="00155115"/>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link w:val="Heading1"/>
    <w:rsid w:val="00524159"/>
    <w:rPr>
      <w:rFonts w:ascii="Times New Roman" w:eastAsia="Times New Roman" w:hAnsi="Times New Roman" w:cs="Times New Roman"/>
      <w:b/>
      <w:sz w:val="24"/>
      <w:szCs w:val="20"/>
      <w:lang w:val="en-GB"/>
    </w:rPr>
  </w:style>
  <w:style w:type="paragraph" w:styleId="Header">
    <w:name w:val="header"/>
    <w:basedOn w:val="Normal"/>
    <w:link w:val="HeaderChar"/>
    <w:rsid w:val="00524159"/>
    <w:pPr>
      <w:tabs>
        <w:tab w:val="center" w:pos="4153"/>
        <w:tab w:val="right" w:pos="8306"/>
      </w:tabs>
    </w:pPr>
  </w:style>
  <w:style w:type="character" w:customStyle="1" w:styleId="HeaderChar">
    <w:name w:val="Header Char"/>
    <w:link w:val="Header"/>
    <w:uiPriority w:val="99"/>
    <w:semiHidden/>
    <w:rsid w:val="00524159"/>
    <w:rPr>
      <w:rFonts w:ascii="Times New Roman" w:eastAsia="Times New Roman" w:hAnsi="Times New Roman" w:cs="Times New Roman"/>
      <w:sz w:val="20"/>
      <w:szCs w:val="20"/>
      <w:lang w:val="en-GB"/>
    </w:rPr>
  </w:style>
  <w:style w:type="paragraph" w:styleId="Footer">
    <w:name w:val="footer"/>
    <w:basedOn w:val="Normal"/>
    <w:link w:val="FooterChar"/>
    <w:semiHidden/>
    <w:rsid w:val="00524159"/>
    <w:pPr>
      <w:tabs>
        <w:tab w:val="center" w:pos="4153"/>
        <w:tab w:val="right" w:pos="8306"/>
      </w:tabs>
    </w:pPr>
  </w:style>
  <w:style w:type="character" w:customStyle="1" w:styleId="FooterChar">
    <w:name w:val="Footer Char"/>
    <w:link w:val="Footer"/>
    <w:semiHidden/>
    <w:rsid w:val="00524159"/>
    <w:rPr>
      <w:rFonts w:ascii="Times New Roman" w:eastAsia="Times New Roman" w:hAnsi="Times New Roman" w:cs="Times New Roman"/>
      <w:sz w:val="20"/>
      <w:szCs w:val="20"/>
      <w:lang w:val="en-GB"/>
    </w:rPr>
  </w:style>
  <w:style w:type="character" w:styleId="PageNumber">
    <w:name w:val="page number"/>
    <w:basedOn w:val="DefaultParagraphFont"/>
    <w:semiHidden/>
    <w:rsid w:val="00524159"/>
  </w:style>
  <w:style w:type="paragraph" w:styleId="BodyText">
    <w:name w:val="Body Text"/>
    <w:basedOn w:val="Normal"/>
    <w:link w:val="BodyTextChar"/>
    <w:uiPriority w:val="99"/>
    <w:rsid w:val="00524159"/>
    <w:pPr>
      <w:jc w:val="both"/>
    </w:pPr>
    <w:rPr>
      <w:b/>
      <w:sz w:val="24"/>
    </w:rPr>
  </w:style>
  <w:style w:type="character" w:customStyle="1" w:styleId="BodyTextChar">
    <w:name w:val="Body Text Char"/>
    <w:link w:val="BodyText"/>
    <w:uiPriority w:val="99"/>
    <w:rsid w:val="00524159"/>
    <w:rPr>
      <w:rFonts w:ascii="Times New Roman" w:eastAsia="Times New Roman" w:hAnsi="Times New Roman" w:cs="Times New Roman"/>
      <w:b/>
      <w:sz w:val="24"/>
      <w:szCs w:val="20"/>
      <w:lang w:val="en-GB"/>
    </w:rPr>
  </w:style>
  <w:style w:type="paragraph" w:styleId="BodyText3">
    <w:name w:val="Body Text 3"/>
    <w:basedOn w:val="Normal"/>
    <w:link w:val="BodyText3Char"/>
    <w:uiPriority w:val="99"/>
    <w:rsid w:val="00524159"/>
    <w:pPr>
      <w:keepLines/>
      <w:ind w:right="29"/>
      <w:jc w:val="both"/>
    </w:pPr>
    <w:rPr>
      <w:sz w:val="24"/>
    </w:rPr>
  </w:style>
  <w:style w:type="character" w:customStyle="1" w:styleId="BodyText3Char">
    <w:name w:val="Body Text 3 Char"/>
    <w:link w:val="BodyText3"/>
    <w:uiPriority w:val="99"/>
    <w:rsid w:val="00524159"/>
    <w:rPr>
      <w:rFonts w:ascii="Times New Roman" w:eastAsia="Times New Roman" w:hAnsi="Times New Roman" w:cs="Times New Roman"/>
      <w:sz w:val="24"/>
      <w:szCs w:val="20"/>
      <w:lang w:val="en-GB"/>
    </w:rPr>
  </w:style>
  <w:style w:type="paragraph" w:styleId="List">
    <w:name w:val="List"/>
    <w:basedOn w:val="Normal"/>
    <w:semiHidden/>
    <w:rsid w:val="00524159"/>
    <w:pPr>
      <w:ind w:left="283" w:hanging="283"/>
    </w:pPr>
  </w:style>
  <w:style w:type="paragraph" w:customStyle="1" w:styleId="Numbered">
    <w:name w:val="Numbered"/>
    <w:basedOn w:val="Normal"/>
    <w:rsid w:val="00524159"/>
    <w:pPr>
      <w:spacing w:after="240"/>
    </w:pPr>
    <w:rPr>
      <w:rFonts w:ascii="Arial" w:hAnsi="Arial"/>
      <w:sz w:val="24"/>
    </w:rPr>
  </w:style>
  <w:style w:type="paragraph" w:customStyle="1" w:styleId="NewReportHeading">
    <w:name w:val="New Report Heading"/>
    <w:basedOn w:val="Heading1"/>
    <w:next w:val="Numbered"/>
    <w:rsid w:val="00524159"/>
    <w:pPr>
      <w:keepLines w:val="0"/>
      <w:widowControl/>
      <w:ind w:left="0" w:right="0" w:firstLine="0"/>
      <w:jc w:val="left"/>
    </w:pPr>
    <w:rPr>
      <w:rFonts w:ascii="Arial" w:hAnsi="Arial"/>
      <w:color w:val="000080"/>
    </w:rPr>
  </w:style>
  <w:style w:type="paragraph" w:customStyle="1" w:styleId="MAINTEXT">
    <w:name w:val="MAIN TEXT"/>
    <w:basedOn w:val="Normal"/>
    <w:rsid w:val="00524159"/>
    <w:pPr>
      <w:widowControl/>
    </w:pPr>
    <w:rPr>
      <w:rFonts w:ascii="Arial" w:hAnsi="Arial"/>
      <w:sz w:val="24"/>
    </w:rPr>
  </w:style>
  <w:style w:type="paragraph" w:styleId="Title">
    <w:name w:val="Title"/>
    <w:basedOn w:val="Normal"/>
    <w:link w:val="TitleChar"/>
    <w:qFormat/>
    <w:rsid w:val="00524159"/>
    <w:pPr>
      <w:keepLines/>
      <w:jc w:val="center"/>
    </w:pPr>
    <w:rPr>
      <w:rFonts w:ascii="Arial" w:hAnsi="Arial" w:cs="Arial"/>
      <w:b/>
      <w:bCs/>
      <w:color w:val="000080"/>
      <w:sz w:val="24"/>
    </w:rPr>
  </w:style>
  <w:style w:type="character" w:customStyle="1" w:styleId="TitleChar">
    <w:name w:val="Title Char"/>
    <w:link w:val="Title"/>
    <w:rsid w:val="00524159"/>
    <w:rPr>
      <w:rFonts w:ascii="Arial" w:eastAsia="Times New Roman" w:hAnsi="Arial" w:cs="Arial"/>
      <w:b/>
      <w:bCs/>
      <w:color w:val="000080"/>
      <w:sz w:val="24"/>
      <w:szCs w:val="20"/>
      <w:lang w:val="en-GB"/>
    </w:rPr>
  </w:style>
  <w:style w:type="paragraph" w:styleId="BodyTextIndent">
    <w:name w:val="Body Text Indent"/>
    <w:basedOn w:val="Normal"/>
    <w:link w:val="BodyTextIndentChar"/>
    <w:uiPriority w:val="99"/>
    <w:semiHidden/>
    <w:unhideWhenUsed/>
    <w:rsid w:val="00B851F9"/>
    <w:pPr>
      <w:spacing w:after="120"/>
      <w:ind w:left="283"/>
    </w:pPr>
  </w:style>
  <w:style w:type="character" w:customStyle="1" w:styleId="BodyTextIndentChar">
    <w:name w:val="Body Text Indent Char"/>
    <w:link w:val="BodyTextIndent"/>
    <w:uiPriority w:val="99"/>
    <w:semiHidden/>
    <w:rsid w:val="00B851F9"/>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365377"/>
    <w:pPr>
      <w:ind w:left="720"/>
      <w:contextualSpacing/>
    </w:pPr>
  </w:style>
  <w:style w:type="character" w:customStyle="1" w:styleId="Heading2Char">
    <w:name w:val="Heading 2 Char"/>
    <w:link w:val="Heading2"/>
    <w:uiPriority w:val="9"/>
    <w:semiHidden/>
    <w:rsid w:val="00D3654A"/>
    <w:rPr>
      <w:rFonts w:ascii="Cambria" w:eastAsia="Times New Roman" w:hAnsi="Cambria" w:cs="Times New Roman"/>
      <w:b/>
      <w:bCs/>
      <w:color w:val="4F81BD"/>
      <w:sz w:val="26"/>
      <w:szCs w:val="26"/>
      <w:lang w:val="en-GB"/>
    </w:rPr>
  </w:style>
  <w:style w:type="paragraph" w:styleId="BalloonText">
    <w:name w:val="Balloon Text"/>
    <w:basedOn w:val="Normal"/>
    <w:link w:val="BalloonTextChar"/>
    <w:uiPriority w:val="99"/>
    <w:semiHidden/>
    <w:unhideWhenUsed/>
    <w:rsid w:val="009356BF"/>
    <w:rPr>
      <w:rFonts w:ascii="Tahoma" w:hAnsi="Tahoma" w:cs="Tahoma"/>
      <w:sz w:val="16"/>
      <w:szCs w:val="16"/>
    </w:rPr>
  </w:style>
  <w:style w:type="character" w:customStyle="1" w:styleId="BalloonTextChar">
    <w:name w:val="Balloon Text Char"/>
    <w:link w:val="BalloonText"/>
    <w:uiPriority w:val="99"/>
    <w:semiHidden/>
    <w:rsid w:val="009356BF"/>
    <w:rPr>
      <w:rFonts w:ascii="Tahoma" w:eastAsia="Times New Roman" w:hAnsi="Tahoma" w:cs="Tahoma"/>
      <w:sz w:val="16"/>
      <w:szCs w:val="16"/>
      <w:lang w:val="en-GB"/>
    </w:rPr>
  </w:style>
  <w:style w:type="paragraph" w:styleId="Revision">
    <w:name w:val="Revision"/>
    <w:hidden/>
    <w:uiPriority w:val="99"/>
    <w:semiHidden/>
    <w:rsid w:val="00A575AD"/>
    <w:rPr>
      <w:rFonts w:ascii="Times New Roman" w:eastAsia="Times New Roman" w:hAnsi="Times New Roman"/>
      <w:lang w:eastAsia="en-US"/>
    </w:rPr>
  </w:style>
  <w:style w:type="paragraph" w:styleId="BodyText2">
    <w:name w:val="Body Text 2"/>
    <w:basedOn w:val="Normal"/>
    <w:link w:val="BodyText2Char"/>
    <w:uiPriority w:val="99"/>
    <w:unhideWhenUsed/>
    <w:rsid w:val="006A012B"/>
    <w:pPr>
      <w:spacing w:after="120" w:line="480" w:lineRule="auto"/>
    </w:pPr>
  </w:style>
  <w:style w:type="character" w:customStyle="1" w:styleId="BodyText2Char">
    <w:name w:val="Body Text 2 Char"/>
    <w:link w:val="BodyText2"/>
    <w:uiPriority w:val="99"/>
    <w:rsid w:val="006A012B"/>
    <w:rPr>
      <w:rFonts w:ascii="Times New Roman" w:eastAsia="Times New Roman" w:hAnsi="Times New Roman"/>
      <w:lang w:eastAsia="en-US"/>
    </w:rPr>
  </w:style>
  <w:style w:type="character" w:customStyle="1" w:styleId="Heading5Char">
    <w:name w:val="Heading 5 Char"/>
    <w:link w:val="Heading5"/>
    <w:uiPriority w:val="9"/>
    <w:semiHidden/>
    <w:rsid w:val="004F653F"/>
    <w:rPr>
      <w:rFonts w:ascii="Calibri" w:eastAsia="Times New Roman" w:hAnsi="Calibri" w:cs="Times New Roman"/>
      <w:b/>
      <w:bCs/>
      <w:i/>
      <w:iCs/>
      <w:sz w:val="26"/>
      <w:szCs w:val="26"/>
      <w:lang w:eastAsia="en-US"/>
    </w:rPr>
  </w:style>
  <w:style w:type="character" w:customStyle="1" w:styleId="Heading3Char">
    <w:name w:val="Heading 3 Char"/>
    <w:link w:val="Heading3"/>
    <w:uiPriority w:val="9"/>
    <w:semiHidden/>
    <w:rsid w:val="00976DE7"/>
    <w:rPr>
      <w:rFonts w:ascii="Cambria" w:eastAsia="Times New Roman" w:hAnsi="Cambria" w:cs="Times New Roman"/>
      <w:b/>
      <w:bCs/>
      <w:sz w:val="26"/>
      <w:szCs w:val="26"/>
      <w:lang w:eastAsia="en-US"/>
    </w:rPr>
  </w:style>
  <w:style w:type="paragraph" w:styleId="BodyTextIndent2">
    <w:name w:val="Body Text Indent 2"/>
    <w:basedOn w:val="Normal"/>
    <w:link w:val="BodyTextIndent2Char"/>
    <w:uiPriority w:val="99"/>
    <w:semiHidden/>
    <w:unhideWhenUsed/>
    <w:rsid w:val="00771ECA"/>
    <w:pPr>
      <w:spacing w:after="120" w:line="480" w:lineRule="auto"/>
      <w:ind w:left="283"/>
    </w:pPr>
  </w:style>
  <w:style w:type="character" w:customStyle="1" w:styleId="BodyTextIndent2Char">
    <w:name w:val="Body Text Indent 2 Char"/>
    <w:link w:val="BodyTextIndent2"/>
    <w:uiPriority w:val="99"/>
    <w:semiHidden/>
    <w:rsid w:val="00771ECA"/>
    <w:rPr>
      <w:rFonts w:ascii="Times New Roman" w:eastAsia="Times New Roman" w:hAnsi="Times New Roman"/>
      <w:lang w:eastAsia="en-US"/>
    </w:rPr>
  </w:style>
  <w:style w:type="character" w:customStyle="1" w:styleId="Heading4Char">
    <w:name w:val="Heading 4 Char"/>
    <w:link w:val="Heading4"/>
    <w:uiPriority w:val="9"/>
    <w:semiHidden/>
    <w:rsid w:val="00771ECA"/>
    <w:rPr>
      <w:rFonts w:ascii="Calibri" w:eastAsia="Times New Roman" w:hAnsi="Calibri" w:cs="Times New Roman"/>
      <w:b/>
      <w:bCs/>
      <w:sz w:val="28"/>
      <w:szCs w:val="28"/>
      <w:lang w:eastAsia="en-US"/>
    </w:rPr>
  </w:style>
  <w:style w:type="character" w:customStyle="1" w:styleId="Heading6Char">
    <w:name w:val="Heading 6 Char"/>
    <w:link w:val="Heading6"/>
    <w:uiPriority w:val="9"/>
    <w:semiHidden/>
    <w:rsid w:val="00AD6485"/>
    <w:rPr>
      <w:rFonts w:ascii="Calibri" w:eastAsia="Times New Roman" w:hAnsi="Calibri" w:cs="Times New Roman"/>
      <w:b/>
      <w:bCs/>
      <w:sz w:val="22"/>
      <w:szCs w:val="22"/>
      <w:lang w:eastAsia="en-US"/>
    </w:rPr>
  </w:style>
  <w:style w:type="paragraph" w:styleId="BodyTextIndent3">
    <w:name w:val="Body Text Indent 3"/>
    <w:basedOn w:val="Normal"/>
    <w:link w:val="BodyTextIndent3Char"/>
    <w:uiPriority w:val="99"/>
    <w:semiHidden/>
    <w:unhideWhenUsed/>
    <w:rsid w:val="00155115"/>
    <w:pPr>
      <w:spacing w:after="120"/>
      <w:ind w:left="283"/>
    </w:pPr>
    <w:rPr>
      <w:sz w:val="16"/>
      <w:szCs w:val="16"/>
    </w:rPr>
  </w:style>
  <w:style w:type="character" w:customStyle="1" w:styleId="BodyTextIndent3Char">
    <w:name w:val="Body Text Indent 3 Char"/>
    <w:link w:val="BodyTextIndent3"/>
    <w:uiPriority w:val="99"/>
    <w:semiHidden/>
    <w:rsid w:val="00155115"/>
    <w:rPr>
      <w:rFonts w:ascii="Times New Roman" w:eastAsia="Times New Roman" w:hAnsi="Times New Roman"/>
      <w:sz w:val="16"/>
      <w:szCs w:val="16"/>
      <w:lang w:eastAsia="en-US"/>
    </w:rPr>
  </w:style>
  <w:style w:type="character" w:customStyle="1" w:styleId="Heading8Char">
    <w:name w:val="Heading 8 Char"/>
    <w:link w:val="Heading8"/>
    <w:uiPriority w:val="9"/>
    <w:rsid w:val="00155115"/>
    <w:rPr>
      <w:rFonts w:ascii="Calibri" w:eastAsia="Times New Roman" w:hAnsi="Calibri" w:cs="Times New Roman"/>
      <w:i/>
      <w:iCs/>
      <w:sz w:val="24"/>
      <w:szCs w:val="24"/>
      <w:lang w:eastAsia="en-US"/>
    </w:rPr>
  </w:style>
  <w:style w:type="table" w:styleId="TableGrid">
    <w:name w:val="Table Grid"/>
    <w:basedOn w:val="TableNormal"/>
    <w:uiPriority w:val="59"/>
    <w:rsid w:val="00E217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3">
    <w:name w:val="Light Shading Accent 3"/>
    <w:basedOn w:val="TableNormal"/>
    <w:uiPriority w:val="60"/>
    <w:rsid w:val="00E217D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CommentReference">
    <w:name w:val="annotation reference"/>
    <w:uiPriority w:val="99"/>
    <w:semiHidden/>
    <w:unhideWhenUsed/>
    <w:rsid w:val="00A13B45"/>
    <w:rPr>
      <w:sz w:val="16"/>
      <w:szCs w:val="16"/>
    </w:rPr>
  </w:style>
  <w:style w:type="paragraph" w:styleId="CommentText">
    <w:name w:val="annotation text"/>
    <w:basedOn w:val="Normal"/>
    <w:link w:val="CommentTextChar"/>
    <w:uiPriority w:val="99"/>
    <w:semiHidden/>
    <w:unhideWhenUsed/>
    <w:rsid w:val="00A13B45"/>
  </w:style>
  <w:style w:type="character" w:customStyle="1" w:styleId="CommentTextChar">
    <w:name w:val="Comment Text Char"/>
    <w:link w:val="CommentText"/>
    <w:uiPriority w:val="99"/>
    <w:semiHidden/>
    <w:rsid w:val="00A13B45"/>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13B45"/>
    <w:rPr>
      <w:b/>
      <w:bCs/>
    </w:rPr>
  </w:style>
  <w:style w:type="character" w:customStyle="1" w:styleId="CommentSubjectChar">
    <w:name w:val="Comment Subject Char"/>
    <w:link w:val="CommentSubject"/>
    <w:uiPriority w:val="99"/>
    <w:semiHidden/>
    <w:rsid w:val="00A13B45"/>
    <w:rPr>
      <w:rFonts w:ascii="Times New Roman" w:eastAsia="Times New Roman" w:hAnsi="Times New Roman"/>
      <w:b/>
      <w:bCs/>
      <w:lang w:eastAsia="en-US"/>
    </w:rPr>
  </w:style>
  <w:style w:type="paragraph" w:customStyle="1" w:styleId="Default">
    <w:name w:val="Default"/>
    <w:basedOn w:val="Normal"/>
    <w:rsid w:val="00B569D0"/>
    <w:pPr>
      <w:widowControl/>
      <w:autoSpaceDE w:val="0"/>
      <w:autoSpaceDN w:val="0"/>
    </w:pPr>
    <w:rPr>
      <w:rFonts w:ascii="Foundry Form Sans" w:eastAsiaTheme="minorHAnsi" w:hAnsi="Foundry Form Sans"/>
      <w:color w:val="000000"/>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1E3"/>
    <w:pPr>
      <w:widowControl w:val="0"/>
    </w:pPr>
    <w:rPr>
      <w:rFonts w:ascii="Times New Roman" w:eastAsia="Times New Roman" w:hAnsi="Times New Roman"/>
      <w:lang w:eastAsia="en-US"/>
    </w:rPr>
  </w:style>
  <w:style w:type="paragraph" w:styleId="Heading1">
    <w:name w:val="heading 1"/>
    <w:aliases w:val="Section Heading"/>
    <w:basedOn w:val="Normal"/>
    <w:next w:val="Normal"/>
    <w:link w:val="Heading1Char"/>
    <w:qFormat/>
    <w:rsid w:val="00524159"/>
    <w:pPr>
      <w:keepNext/>
      <w:keepLines/>
      <w:ind w:left="2880" w:right="29" w:firstLine="720"/>
      <w:jc w:val="both"/>
      <w:outlineLvl w:val="0"/>
    </w:pPr>
    <w:rPr>
      <w:b/>
      <w:sz w:val="24"/>
    </w:rPr>
  </w:style>
  <w:style w:type="paragraph" w:styleId="Heading2">
    <w:name w:val="heading 2"/>
    <w:basedOn w:val="Normal"/>
    <w:next w:val="Normal"/>
    <w:link w:val="Heading2Char"/>
    <w:uiPriority w:val="9"/>
    <w:qFormat/>
    <w:rsid w:val="00D3654A"/>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976DE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71ECA"/>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4F653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AD6485"/>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qFormat/>
    <w:rsid w:val="00155115"/>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link w:val="Heading1"/>
    <w:rsid w:val="00524159"/>
    <w:rPr>
      <w:rFonts w:ascii="Times New Roman" w:eastAsia="Times New Roman" w:hAnsi="Times New Roman" w:cs="Times New Roman"/>
      <w:b/>
      <w:sz w:val="24"/>
      <w:szCs w:val="20"/>
      <w:lang w:val="en-GB"/>
    </w:rPr>
  </w:style>
  <w:style w:type="paragraph" w:styleId="Header">
    <w:name w:val="header"/>
    <w:basedOn w:val="Normal"/>
    <w:link w:val="HeaderChar"/>
    <w:rsid w:val="00524159"/>
    <w:pPr>
      <w:tabs>
        <w:tab w:val="center" w:pos="4153"/>
        <w:tab w:val="right" w:pos="8306"/>
      </w:tabs>
    </w:pPr>
  </w:style>
  <w:style w:type="character" w:customStyle="1" w:styleId="HeaderChar">
    <w:name w:val="Header Char"/>
    <w:link w:val="Header"/>
    <w:uiPriority w:val="99"/>
    <w:semiHidden/>
    <w:rsid w:val="00524159"/>
    <w:rPr>
      <w:rFonts w:ascii="Times New Roman" w:eastAsia="Times New Roman" w:hAnsi="Times New Roman" w:cs="Times New Roman"/>
      <w:sz w:val="20"/>
      <w:szCs w:val="20"/>
      <w:lang w:val="en-GB"/>
    </w:rPr>
  </w:style>
  <w:style w:type="paragraph" w:styleId="Footer">
    <w:name w:val="footer"/>
    <w:basedOn w:val="Normal"/>
    <w:link w:val="FooterChar"/>
    <w:semiHidden/>
    <w:rsid w:val="00524159"/>
    <w:pPr>
      <w:tabs>
        <w:tab w:val="center" w:pos="4153"/>
        <w:tab w:val="right" w:pos="8306"/>
      </w:tabs>
    </w:pPr>
  </w:style>
  <w:style w:type="character" w:customStyle="1" w:styleId="FooterChar">
    <w:name w:val="Footer Char"/>
    <w:link w:val="Footer"/>
    <w:semiHidden/>
    <w:rsid w:val="00524159"/>
    <w:rPr>
      <w:rFonts w:ascii="Times New Roman" w:eastAsia="Times New Roman" w:hAnsi="Times New Roman" w:cs="Times New Roman"/>
      <w:sz w:val="20"/>
      <w:szCs w:val="20"/>
      <w:lang w:val="en-GB"/>
    </w:rPr>
  </w:style>
  <w:style w:type="character" w:styleId="PageNumber">
    <w:name w:val="page number"/>
    <w:basedOn w:val="DefaultParagraphFont"/>
    <w:semiHidden/>
    <w:rsid w:val="00524159"/>
  </w:style>
  <w:style w:type="paragraph" w:styleId="BodyText">
    <w:name w:val="Body Text"/>
    <w:basedOn w:val="Normal"/>
    <w:link w:val="BodyTextChar"/>
    <w:uiPriority w:val="99"/>
    <w:rsid w:val="00524159"/>
    <w:pPr>
      <w:jc w:val="both"/>
    </w:pPr>
    <w:rPr>
      <w:b/>
      <w:sz w:val="24"/>
    </w:rPr>
  </w:style>
  <w:style w:type="character" w:customStyle="1" w:styleId="BodyTextChar">
    <w:name w:val="Body Text Char"/>
    <w:link w:val="BodyText"/>
    <w:uiPriority w:val="99"/>
    <w:rsid w:val="00524159"/>
    <w:rPr>
      <w:rFonts w:ascii="Times New Roman" w:eastAsia="Times New Roman" w:hAnsi="Times New Roman" w:cs="Times New Roman"/>
      <w:b/>
      <w:sz w:val="24"/>
      <w:szCs w:val="20"/>
      <w:lang w:val="en-GB"/>
    </w:rPr>
  </w:style>
  <w:style w:type="paragraph" w:styleId="BodyText3">
    <w:name w:val="Body Text 3"/>
    <w:basedOn w:val="Normal"/>
    <w:link w:val="BodyText3Char"/>
    <w:uiPriority w:val="99"/>
    <w:rsid w:val="00524159"/>
    <w:pPr>
      <w:keepLines/>
      <w:ind w:right="29"/>
      <w:jc w:val="both"/>
    </w:pPr>
    <w:rPr>
      <w:sz w:val="24"/>
    </w:rPr>
  </w:style>
  <w:style w:type="character" w:customStyle="1" w:styleId="BodyText3Char">
    <w:name w:val="Body Text 3 Char"/>
    <w:link w:val="BodyText3"/>
    <w:uiPriority w:val="99"/>
    <w:rsid w:val="00524159"/>
    <w:rPr>
      <w:rFonts w:ascii="Times New Roman" w:eastAsia="Times New Roman" w:hAnsi="Times New Roman" w:cs="Times New Roman"/>
      <w:sz w:val="24"/>
      <w:szCs w:val="20"/>
      <w:lang w:val="en-GB"/>
    </w:rPr>
  </w:style>
  <w:style w:type="paragraph" w:styleId="List">
    <w:name w:val="List"/>
    <w:basedOn w:val="Normal"/>
    <w:semiHidden/>
    <w:rsid w:val="00524159"/>
    <w:pPr>
      <w:ind w:left="283" w:hanging="283"/>
    </w:pPr>
  </w:style>
  <w:style w:type="paragraph" w:customStyle="1" w:styleId="Numbered">
    <w:name w:val="Numbered"/>
    <w:basedOn w:val="Normal"/>
    <w:rsid w:val="00524159"/>
    <w:pPr>
      <w:spacing w:after="240"/>
    </w:pPr>
    <w:rPr>
      <w:rFonts w:ascii="Arial" w:hAnsi="Arial"/>
      <w:sz w:val="24"/>
    </w:rPr>
  </w:style>
  <w:style w:type="paragraph" w:customStyle="1" w:styleId="NewReportHeading">
    <w:name w:val="New Report Heading"/>
    <w:basedOn w:val="Heading1"/>
    <w:next w:val="Numbered"/>
    <w:rsid w:val="00524159"/>
    <w:pPr>
      <w:keepLines w:val="0"/>
      <w:widowControl/>
      <w:ind w:left="0" w:right="0" w:firstLine="0"/>
      <w:jc w:val="left"/>
    </w:pPr>
    <w:rPr>
      <w:rFonts w:ascii="Arial" w:hAnsi="Arial"/>
      <w:color w:val="000080"/>
    </w:rPr>
  </w:style>
  <w:style w:type="paragraph" w:customStyle="1" w:styleId="MAINTEXT">
    <w:name w:val="MAIN TEXT"/>
    <w:basedOn w:val="Normal"/>
    <w:rsid w:val="00524159"/>
    <w:pPr>
      <w:widowControl/>
    </w:pPr>
    <w:rPr>
      <w:rFonts w:ascii="Arial" w:hAnsi="Arial"/>
      <w:sz w:val="24"/>
    </w:rPr>
  </w:style>
  <w:style w:type="paragraph" w:styleId="Title">
    <w:name w:val="Title"/>
    <w:basedOn w:val="Normal"/>
    <w:link w:val="TitleChar"/>
    <w:qFormat/>
    <w:rsid w:val="00524159"/>
    <w:pPr>
      <w:keepLines/>
      <w:jc w:val="center"/>
    </w:pPr>
    <w:rPr>
      <w:rFonts w:ascii="Arial" w:hAnsi="Arial" w:cs="Arial"/>
      <w:b/>
      <w:bCs/>
      <w:color w:val="000080"/>
      <w:sz w:val="24"/>
    </w:rPr>
  </w:style>
  <w:style w:type="character" w:customStyle="1" w:styleId="TitleChar">
    <w:name w:val="Title Char"/>
    <w:link w:val="Title"/>
    <w:rsid w:val="00524159"/>
    <w:rPr>
      <w:rFonts w:ascii="Arial" w:eastAsia="Times New Roman" w:hAnsi="Arial" w:cs="Arial"/>
      <w:b/>
      <w:bCs/>
      <w:color w:val="000080"/>
      <w:sz w:val="24"/>
      <w:szCs w:val="20"/>
      <w:lang w:val="en-GB"/>
    </w:rPr>
  </w:style>
  <w:style w:type="paragraph" w:styleId="BodyTextIndent">
    <w:name w:val="Body Text Indent"/>
    <w:basedOn w:val="Normal"/>
    <w:link w:val="BodyTextIndentChar"/>
    <w:uiPriority w:val="99"/>
    <w:semiHidden/>
    <w:unhideWhenUsed/>
    <w:rsid w:val="00B851F9"/>
    <w:pPr>
      <w:spacing w:after="120"/>
      <w:ind w:left="283"/>
    </w:pPr>
  </w:style>
  <w:style w:type="character" w:customStyle="1" w:styleId="BodyTextIndentChar">
    <w:name w:val="Body Text Indent Char"/>
    <w:link w:val="BodyTextIndent"/>
    <w:uiPriority w:val="99"/>
    <w:semiHidden/>
    <w:rsid w:val="00B851F9"/>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365377"/>
    <w:pPr>
      <w:ind w:left="720"/>
      <w:contextualSpacing/>
    </w:pPr>
  </w:style>
  <w:style w:type="character" w:customStyle="1" w:styleId="Heading2Char">
    <w:name w:val="Heading 2 Char"/>
    <w:link w:val="Heading2"/>
    <w:uiPriority w:val="9"/>
    <w:semiHidden/>
    <w:rsid w:val="00D3654A"/>
    <w:rPr>
      <w:rFonts w:ascii="Cambria" w:eastAsia="Times New Roman" w:hAnsi="Cambria" w:cs="Times New Roman"/>
      <w:b/>
      <w:bCs/>
      <w:color w:val="4F81BD"/>
      <w:sz w:val="26"/>
      <w:szCs w:val="26"/>
      <w:lang w:val="en-GB"/>
    </w:rPr>
  </w:style>
  <w:style w:type="paragraph" w:styleId="BalloonText">
    <w:name w:val="Balloon Text"/>
    <w:basedOn w:val="Normal"/>
    <w:link w:val="BalloonTextChar"/>
    <w:uiPriority w:val="99"/>
    <w:semiHidden/>
    <w:unhideWhenUsed/>
    <w:rsid w:val="009356BF"/>
    <w:rPr>
      <w:rFonts w:ascii="Tahoma" w:hAnsi="Tahoma" w:cs="Tahoma"/>
      <w:sz w:val="16"/>
      <w:szCs w:val="16"/>
    </w:rPr>
  </w:style>
  <w:style w:type="character" w:customStyle="1" w:styleId="BalloonTextChar">
    <w:name w:val="Balloon Text Char"/>
    <w:link w:val="BalloonText"/>
    <w:uiPriority w:val="99"/>
    <w:semiHidden/>
    <w:rsid w:val="009356BF"/>
    <w:rPr>
      <w:rFonts w:ascii="Tahoma" w:eastAsia="Times New Roman" w:hAnsi="Tahoma" w:cs="Tahoma"/>
      <w:sz w:val="16"/>
      <w:szCs w:val="16"/>
      <w:lang w:val="en-GB"/>
    </w:rPr>
  </w:style>
  <w:style w:type="paragraph" w:styleId="Revision">
    <w:name w:val="Revision"/>
    <w:hidden/>
    <w:uiPriority w:val="99"/>
    <w:semiHidden/>
    <w:rsid w:val="00A575AD"/>
    <w:rPr>
      <w:rFonts w:ascii="Times New Roman" w:eastAsia="Times New Roman" w:hAnsi="Times New Roman"/>
      <w:lang w:eastAsia="en-US"/>
    </w:rPr>
  </w:style>
  <w:style w:type="paragraph" w:styleId="BodyText2">
    <w:name w:val="Body Text 2"/>
    <w:basedOn w:val="Normal"/>
    <w:link w:val="BodyText2Char"/>
    <w:uiPriority w:val="99"/>
    <w:unhideWhenUsed/>
    <w:rsid w:val="006A012B"/>
    <w:pPr>
      <w:spacing w:after="120" w:line="480" w:lineRule="auto"/>
    </w:pPr>
  </w:style>
  <w:style w:type="character" w:customStyle="1" w:styleId="BodyText2Char">
    <w:name w:val="Body Text 2 Char"/>
    <w:link w:val="BodyText2"/>
    <w:uiPriority w:val="99"/>
    <w:rsid w:val="006A012B"/>
    <w:rPr>
      <w:rFonts w:ascii="Times New Roman" w:eastAsia="Times New Roman" w:hAnsi="Times New Roman"/>
      <w:lang w:eastAsia="en-US"/>
    </w:rPr>
  </w:style>
  <w:style w:type="character" w:customStyle="1" w:styleId="Heading5Char">
    <w:name w:val="Heading 5 Char"/>
    <w:link w:val="Heading5"/>
    <w:uiPriority w:val="9"/>
    <w:semiHidden/>
    <w:rsid w:val="004F653F"/>
    <w:rPr>
      <w:rFonts w:ascii="Calibri" w:eastAsia="Times New Roman" w:hAnsi="Calibri" w:cs="Times New Roman"/>
      <w:b/>
      <w:bCs/>
      <w:i/>
      <w:iCs/>
      <w:sz w:val="26"/>
      <w:szCs w:val="26"/>
      <w:lang w:eastAsia="en-US"/>
    </w:rPr>
  </w:style>
  <w:style w:type="character" w:customStyle="1" w:styleId="Heading3Char">
    <w:name w:val="Heading 3 Char"/>
    <w:link w:val="Heading3"/>
    <w:uiPriority w:val="9"/>
    <w:semiHidden/>
    <w:rsid w:val="00976DE7"/>
    <w:rPr>
      <w:rFonts w:ascii="Cambria" w:eastAsia="Times New Roman" w:hAnsi="Cambria" w:cs="Times New Roman"/>
      <w:b/>
      <w:bCs/>
      <w:sz w:val="26"/>
      <w:szCs w:val="26"/>
      <w:lang w:eastAsia="en-US"/>
    </w:rPr>
  </w:style>
  <w:style w:type="paragraph" w:styleId="BodyTextIndent2">
    <w:name w:val="Body Text Indent 2"/>
    <w:basedOn w:val="Normal"/>
    <w:link w:val="BodyTextIndent2Char"/>
    <w:uiPriority w:val="99"/>
    <w:semiHidden/>
    <w:unhideWhenUsed/>
    <w:rsid w:val="00771ECA"/>
    <w:pPr>
      <w:spacing w:after="120" w:line="480" w:lineRule="auto"/>
      <w:ind w:left="283"/>
    </w:pPr>
  </w:style>
  <w:style w:type="character" w:customStyle="1" w:styleId="BodyTextIndent2Char">
    <w:name w:val="Body Text Indent 2 Char"/>
    <w:link w:val="BodyTextIndent2"/>
    <w:uiPriority w:val="99"/>
    <w:semiHidden/>
    <w:rsid w:val="00771ECA"/>
    <w:rPr>
      <w:rFonts w:ascii="Times New Roman" w:eastAsia="Times New Roman" w:hAnsi="Times New Roman"/>
      <w:lang w:eastAsia="en-US"/>
    </w:rPr>
  </w:style>
  <w:style w:type="character" w:customStyle="1" w:styleId="Heading4Char">
    <w:name w:val="Heading 4 Char"/>
    <w:link w:val="Heading4"/>
    <w:uiPriority w:val="9"/>
    <w:semiHidden/>
    <w:rsid w:val="00771ECA"/>
    <w:rPr>
      <w:rFonts w:ascii="Calibri" w:eastAsia="Times New Roman" w:hAnsi="Calibri" w:cs="Times New Roman"/>
      <w:b/>
      <w:bCs/>
      <w:sz w:val="28"/>
      <w:szCs w:val="28"/>
      <w:lang w:eastAsia="en-US"/>
    </w:rPr>
  </w:style>
  <w:style w:type="character" w:customStyle="1" w:styleId="Heading6Char">
    <w:name w:val="Heading 6 Char"/>
    <w:link w:val="Heading6"/>
    <w:uiPriority w:val="9"/>
    <w:semiHidden/>
    <w:rsid w:val="00AD6485"/>
    <w:rPr>
      <w:rFonts w:ascii="Calibri" w:eastAsia="Times New Roman" w:hAnsi="Calibri" w:cs="Times New Roman"/>
      <w:b/>
      <w:bCs/>
      <w:sz w:val="22"/>
      <w:szCs w:val="22"/>
      <w:lang w:eastAsia="en-US"/>
    </w:rPr>
  </w:style>
  <w:style w:type="paragraph" w:styleId="BodyTextIndent3">
    <w:name w:val="Body Text Indent 3"/>
    <w:basedOn w:val="Normal"/>
    <w:link w:val="BodyTextIndent3Char"/>
    <w:uiPriority w:val="99"/>
    <w:semiHidden/>
    <w:unhideWhenUsed/>
    <w:rsid w:val="00155115"/>
    <w:pPr>
      <w:spacing w:after="120"/>
      <w:ind w:left="283"/>
    </w:pPr>
    <w:rPr>
      <w:sz w:val="16"/>
      <w:szCs w:val="16"/>
    </w:rPr>
  </w:style>
  <w:style w:type="character" w:customStyle="1" w:styleId="BodyTextIndent3Char">
    <w:name w:val="Body Text Indent 3 Char"/>
    <w:link w:val="BodyTextIndent3"/>
    <w:uiPriority w:val="99"/>
    <w:semiHidden/>
    <w:rsid w:val="00155115"/>
    <w:rPr>
      <w:rFonts w:ascii="Times New Roman" w:eastAsia="Times New Roman" w:hAnsi="Times New Roman"/>
      <w:sz w:val="16"/>
      <w:szCs w:val="16"/>
      <w:lang w:eastAsia="en-US"/>
    </w:rPr>
  </w:style>
  <w:style w:type="character" w:customStyle="1" w:styleId="Heading8Char">
    <w:name w:val="Heading 8 Char"/>
    <w:link w:val="Heading8"/>
    <w:uiPriority w:val="9"/>
    <w:rsid w:val="00155115"/>
    <w:rPr>
      <w:rFonts w:ascii="Calibri" w:eastAsia="Times New Roman" w:hAnsi="Calibri" w:cs="Times New Roman"/>
      <w:i/>
      <w:iCs/>
      <w:sz w:val="24"/>
      <w:szCs w:val="24"/>
      <w:lang w:eastAsia="en-US"/>
    </w:rPr>
  </w:style>
  <w:style w:type="table" w:styleId="TableGrid">
    <w:name w:val="Table Grid"/>
    <w:basedOn w:val="TableNormal"/>
    <w:uiPriority w:val="59"/>
    <w:rsid w:val="00E217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3">
    <w:name w:val="Light Shading Accent 3"/>
    <w:basedOn w:val="TableNormal"/>
    <w:uiPriority w:val="60"/>
    <w:rsid w:val="00E217D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CommentReference">
    <w:name w:val="annotation reference"/>
    <w:uiPriority w:val="99"/>
    <w:semiHidden/>
    <w:unhideWhenUsed/>
    <w:rsid w:val="00A13B45"/>
    <w:rPr>
      <w:sz w:val="16"/>
      <w:szCs w:val="16"/>
    </w:rPr>
  </w:style>
  <w:style w:type="paragraph" w:styleId="CommentText">
    <w:name w:val="annotation text"/>
    <w:basedOn w:val="Normal"/>
    <w:link w:val="CommentTextChar"/>
    <w:uiPriority w:val="99"/>
    <w:semiHidden/>
    <w:unhideWhenUsed/>
    <w:rsid w:val="00A13B45"/>
  </w:style>
  <w:style w:type="character" w:customStyle="1" w:styleId="CommentTextChar">
    <w:name w:val="Comment Text Char"/>
    <w:link w:val="CommentText"/>
    <w:uiPriority w:val="99"/>
    <w:semiHidden/>
    <w:rsid w:val="00A13B45"/>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13B45"/>
    <w:rPr>
      <w:b/>
      <w:bCs/>
    </w:rPr>
  </w:style>
  <w:style w:type="character" w:customStyle="1" w:styleId="CommentSubjectChar">
    <w:name w:val="Comment Subject Char"/>
    <w:link w:val="CommentSubject"/>
    <w:uiPriority w:val="99"/>
    <w:semiHidden/>
    <w:rsid w:val="00A13B45"/>
    <w:rPr>
      <w:rFonts w:ascii="Times New Roman" w:eastAsia="Times New Roman" w:hAnsi="Times New Roman"/>
      <w:b/>
      <w:bCs/>
      <w:lang w:eastAsia="en-US"/>
    </w:rPr>
  </w:style>
  <w:style w:type="paragraph" w:customStyle="1" w:styleId="Default">
    <w:name w:val="Default"/>
    <w:basedOn w:val="Normal"/>
    <w:rsid w:val="00B569D0"/>
    <w:pPr>
      <w:widowControl/>
      <w:autoSpaceDE w:val="0"/>
      <w:autoSpaceDN w:val="0"/>
    </w:pPr>
    <w:rPr>
      <w:rFonts w:ascii="Foundry Form Sans" w:eastAsiaTheme="minorHAnsi" w:hAnsi="Foundry Form Sans"/>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4869">
      <w:bodyDiv w:val="1"/>
      <w:marLeft w:val="0"/>
      <w:marRight w:val="0"/>
      <w:marTop w:val="0"/>
      <w:marBottom w:val="0"/>
      <w:divBdr>
        <w:top w:val="none" w:sz="0" w:space="0" w:color="auto"/>
        <w:left w:val="none" w:sz="0" w:space="0" w:color="auto"/>
        <w:bottom w:val="none" w:sz="0" w:space="0" w:color="auto"/>
        <w:right w:val="none" w:sz="0" w:space="0" w:color="auto"/>
      </w:divBdr>
    </w:div>
    <w:div w:id="325017775">
      <w:bodyDiv w:val="1"/>
      <w:marLeft w:val="0"/>
      <w:marRight w:val="0"/>
      <w:marTop w:val="0"/>
      <w:marBottom w:val="0"/>
      <w:divBdr>
        <w:top w:val="none" w:sz="0" w:space="0" w:color="auto"/>
        <w:left w:val="none" w:sz="0" w:space="0" w:color="auto"/>
        <w:bottom w:val="none" w:sz="0" w:space="0" w:color="auto"/>
        <w:right w:val="none" w:sz="0" w:space="0" w:color="auto"/>
      </w:divBdr>
    </w:div>
    <w:div w:id="409350729">
      <w:bodyDiv w:val="1"/>
      <w:marLeft w:val="0"/>
      <w:marRight w:val="0"/>
      <w:marTop w:val="0"/>
      <w:marBottom w:val="0"/>
      <w:divBdr>
        <w:top w:val="none" w:sz="0" w:space="0" w:color="auto"/>
        <w:left w:val="none" w:sz="0" w:space="0" w:color="auto"/>
        <w:bottom w:val="none" w:sz="0" w:space="0" w:color="auto"/>
        <w:right w:val="none" w:sz="0" w:space="0" w:color="auto"/>
      </w:divBdr>
    </w:div>
    <w:div w:id="672143093">
      <w:bodyDiv w:val="1"/>
      <w:marLeft w:val="0"/>
      <w:marRight w:val="0"/>
      <w:marTop w:val="0"/>
      <w:marBottom w:val="0"/>
      <w:divBdr>
        <w:top w:val="none" w:sz="0" w:space="0" w:color="auto"/>
        <w:left w:val="none" w:sz="0" w:space="0" w:color="auto"/>
        <w:bottom w:val="none" w:sz="0" w:space="0" w:color="auto"/>
        <w:right w:val="none" w:sz="0" w:space="0" w:color="auto"/>
      </w:divBdr>
    </w:div>
    <w:div w:id="1129469664">
      <w:bodyDiv w:val="1"/>
      <w:marLeft w:val="0"/>
      <w:marRight w:val="0"/>
      <w:marTop w:val="0"/>
      <w:marBottom w:val="0"/>
      <w:divBdr>
        <w:top w:val="none" w:sz="0" w:space="0" w:color="auto"/>
        <w:left w:val="none" w:sz="0" w:space="0" w:color="auto"/>
        <w:bottom w:val="none" w:sz="0" w:space="0" w:color="auto"/>
        <w:right w:val="none" w:sz="0" w:space="0" w:color="auto"/>
      </w:divBdr>
    </w:div>
    <w:div w:id="1678071430">
      <w:bodyDiv w:val="1"/>
      <w:marLeft w:val="0"/>
      <w:marRight w:val="0"/>
      <w:marTop w:val="0"/>
      <w:marBottom w:val="0"/>
      <w:divBdr>
        <w:top w:val="none" w:sz="0" w:space="0" w:color="auto"/>
        <w:left w:val="none" w:sz="0" w:space="0" w:color="auto"/>
        <w:bottom w:val="none" w:sz="0" w:space="0" w:color="auto"/>
        <w:right w:val="none" w:sz="0" w:space="0" w:color="auto"/>
      </w:divBdr>
    </w:div>
    <w:div w:id="193805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GLA Mayor's OLF and MRF FU</vt:lpstr>
    </vt:vector>
  </TitlesOfParts>
  <Company>Greater London Authority</Company>
  <LinksUpToDate>false</LinksUpToDate>
  <CharactersWithSpaces>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 Mayor's OLF and MRF FU</dc:title>
  <dc:creator>Phil.Drysdale@mopac.london.gov.uk</dc:creator>
  <cp:lastModifiedBy>Rachel Johnson</cp:lastModifiedBy>
  <cp:revision>3</cp:revision>
  <cp:lastPrinted>2015-02-23T15:49:00Z</cp:lastPrinted>
  <dcterms:created xsi:type="dcterms:W3CDTF">2015-07-02T12:29:00Z</dcterms:created>
  <dcterms:modified xsi:type="dcterms:W3CDTF">2015-07-02T12:29:00Z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_NewReviewCycle">
    <vt:lpwstr/>
  </op:property>
  <op:property fmtid="{D5CDD505-2E9C-101B-9397-08002B2CF9AE}" pid="3" name="Title">
    <vt:lpwstr>08 Appendix 3b</vt:lpwstr>
  </op:property>
  <op:property fmtid="{D5CDD505-2E9C-101B-9397-08002B2CF9AE}" pid="4" name="Keywords">
    <vt:lpwstr>Council meetings;Government, politics and public administration; Local government; Decision making; Council meetings;</vt:lpwstr>
  </op:property>
  <op:property fmtid="{D5CDD505-2E9C-101B-9397-08002B2CF9AE}" pid="5" name="Author">
    <vt:lpwstr>The Greater London Authority</vt:lpwstr>
  </op:property>
</op:Properties>
</file>