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ff9e32ce4a564ec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216"/>
        <w:tblW w:w="0" w:type="auto"/>
        <w:tblBorders>
          <w:insideH w:val="single" w:sz="6" w:space="0" w:color="auto"/>
          <w:insideV w:val="single" w:sz="6" w:space="0" w:color="auto"/>
        </w:tblBorders>
        <w:tblLayout w:type="fixed"/>
        <w:tblLook w:val="04A0" w:firstRow="1" w:lastRow="0" w:firstColumn="1" w:lastColumn="0" w:noHBand="0" w:noVBand="1"/>
      </w:tblPr>
      <w:tblGrid>
        <w:gridCol w:w="1526"/>
        <w:gridCol w:w="1701"/>
        <w:gridCol w:w="1276"/>
        <w:gridCol w:w="1893"/>
        <w:gridCol w:w="3493"/>
        <w:gridCol w:w="1418"/>
        <w:gridCol w:w="1559"/>
        <w:gridCol w:w="1276"/>
        <w:gridCol w:w="1417"/>
      </w:tblGrid>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16/00583/ADV</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Advert (Express Consent)</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10-Nov-2016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Bus Shelter, Chobham Academy (Before Honour Lea Avenue Junction), London, E15 2ER</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advertisement consent to display 2 x Digital 84'' screen positioned back to back within TfL bus shelter.</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Mohamed Ahmed, JCDecaux UK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04-Jan-2017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16/00582/ADV</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Advert (Express Consent)</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10-Nov-2016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Bus Shelter, Westfield Avenue, (Second stop towards Stratford City Bus Station), London, E20 1GL</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advertisement consent to display 2 x Digital 84'' screen positioned back to back within TfL bus shelter.</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Mohamed Ahmed, JCDecaux UK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04-Jan-2017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16/00581/ADV</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Advert (Express Consent)</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10-Nov-2016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Bus Shelter, Stratford International Station (Towards Stratford City), International Way, London, E20 1YY</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advertisement consent to display 2 x Digital 84'' screen positioned back to back within TfL bus shelter.</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Mohamed Ahmed, JCDecaux UK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04-Jan-2017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16/00584/ADV</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Advert (Express Consent)</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10-Nov-2016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Bus Shelter, Chobham Academy (Vesta House), Celebration Avenue, London, E20 1AN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advertisement consent to display 2 x Digital 84 inch screen positioned back to back within TfL bus shelter.</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Mohamed Ahmed, JCDecaux UK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04-Jan-2017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16/00544/AOD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21-Oct-2016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Plot N24 (Manhattan Lofts), Zone 3, Stratford City,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Approval of details pursuant to condition 34 (Confirmation of Hotel Rooms) of planning permission 10/90285/FUMODA varied by planning permission 13/00579/VAR dated 28 October 2014.</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Manhattan Loft Gardens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04-Jan-2017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16/00469/AOD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05-Sep-2016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Plot N24 (Manhattan Lofts), Zone 3, Stratford City, London, E20 1YY</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partial Approval of details submitted pursuant to condition 13 (Water Effiency Measures) relating to residential units only, of planning permission 10/90285/FUMODA varied by planning permission 13/00579/VAR.</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Manhattan Loft Corporation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04-Jan-2017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16/00367/NMA</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Non-Material Amendment (Section 96A applications)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22-Jul-2016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Plot N24 (Manhattan Lofts), Zone 3, Stratford City, London, E20 1YY</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under s96A TCPA for non-material amendments to planning permission 13/00579/VAR dated 28th October 2014, seeking approval for the variation of condition 36 to allow the provision of external seating in the area currently restricted by the condition.</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Manhattan Loft Gardens</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04-Jan-2017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Granted NMA</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16/00533/106</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Section 106 Details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30-Sep-2016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4 Roach Road, London, E3 2PA</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1.1 (Evidence of Substantial Commencement) of Schedule 3 of s106 agreement attached to planning permission 14/00260/FUL</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Constable Homes</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05-Jan-2017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S106 Response Letter</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16/00404/AOD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16-Aug-2016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at Cooks Road &amp; Bow Back River, Pudding Mill Lane, London, E15 2PW</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Partial discharge of Part A only of Condition 19 (Archaeology) of planning permission 15/00392/FUL.</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Bellway Homes (Thames Gateway)</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06-Jan-2017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16/00377/PNCOU</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Prior Notification for Change of Use</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01-Aug-2016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Site at Ground Floor, Central House, 32-66 High Street, Stratford, London, E15 2PF</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Prior Approval for change of use from Use Class B1(a) (Office) to Use Class C3 (residential) under Schedule 2, Part 3, Class O of the Town and Country Planning (General Permitted Development) Order 2016 to create 17 self-contained flats at ground level.</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Mountgreen Ltd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06-Jan-2017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No Objection to Prior Notification</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16/00673/NMA</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Non-Material Amendment (Section 96A applications)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13-Dec-2016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Plot N17, Zone 3a, Celebration Avenue, London, E20 1DB</w:t>
            </w:r>
          </w:p>
        </w:tc>
        <w:tc>
          <w:tcPr>
            <w:tcW w:w="3493" w:type="dxa"/>
            <w:tcBorders>
              <w:top w:val="single" w:sz="6" w:space="0" w:color="auto"/>
            </w:tcBorders>
          </w:tcPr>
          <w:p w:rsidR="00CC681C" w:rsidRPr="009A5127" w:rsidRDefault="00CC681C" w:rsidP="007C3F86">
            <w:pPr>
              <w:rPr>
                <w:b/>
                <w:noProof/>
                <w:sz w:val="20"/>
                <w:szCs w:val="20"/>
              </w:rPr>
            </w:pPr>
            <w:r w:rsidRPr="009A5127">
              <w:rPr>
                <w:b/>
                <w:noProof/>
                <w:sz w:val="20"/>
                <w:szCs w:val="20"/>
              </w:rPr>
              <w:t>Application under s96A TCPA for non-material amendments to planning permission 16/00212/REM comprising the following:</w:t>
            </w:r>
          </w:p>
          <w:p w:rsidR="00CC681C" w:rsidRPr="009A5127" w:rsidRDefault="00CC681C" w:rsidP="007C3F86">
            <w:pPr>
              <w:rPr>
                <w:b/>
                <w:noProof/>
                <w:sz w:val="20"/>
                <w:szCs w:val="20"/>
              </w:rPr>
            </w:pPr>
            <w:r w:rsidRPr="009A5127">
              <w:rPr>
                <w:b/>
                <w:noProof/>
                <w:sz w:val="20"/>
                <w:szCs w:val="20"/>
              </w:rPr>
              <w:tab/>
              <w:t>- Incorporate a lightweight retractable roof over part of the eastern Skybar Terrace; and</w:t>
            </w:r>
          </w:p>
          <w:p w:rsidR="00CC681C" w:rsidRPr="002A3669" w:rsidRDefault="00CC681C" w:rsidP="00B64CC5">
            <w:pPr>
              <w:rPr>
                <w:b/>
                <w:sz w:val="20"/>
                <w:szCs w:val="20"/>
              </w:rPr>
            </w:pPr>
            <w:r w:rsidRPr="009A5127">
              <w:rPr>
                <w:b/>
                <w:noProof/>
                <w:sz w:val="20"/>
                <w:szCs w:val="20"/>
              </w:rPr>
              <w:tab/>
              <w:t>- Install of a glazed terraced structure with retractable roof at Level 1 Terrace.</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Mr Rhys Allen, Times Two Securities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09-Jan-2017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Granted NMA</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16/00600/AOD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31-Oct-2016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33-35 Monier Road, London, E3 2PR</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Approval of Details submitted pursuant to Condition 22 (Timber Maintainence/Cleaning Regime) of planning permission reference 15/00212/FUL dated 24 March 2016.</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Paul Rose, Aitch Construction Limited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09-Jan-2017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16/00674/NMA</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Non-Material Amendment (Section 96A applications)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07-Dec-2016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Phase 1, Chobham Manor (PDZ 6), Stratford,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non-material amendments to planning permission 13/00504/REM in relation to changes to the top floor coping and frieze feature detail.</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Chobham Manor LLP</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Granted NMA</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16/00550/AOD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14-Oct-2016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at Bream Street at the junction of Stour Road &amp; Dace Road, Fish Island,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Approval of Details to discharge condition 9 part 1 (Contamination) associated with planning permission 15/00278/FUL dated 25 August 2016.</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Quadrant Construction,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15/00363/AOD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20-Jul-2015</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within Planning Delivery Zone 6, Queen Elizabeth Olympic Park</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3 (Quality of Imported Fill) of planning permission 15/00087/FUL.</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Jennifer Angus, London Legacy Development Corporation</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16/00632/AOD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16-Nov-2016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at Cooks Road &amp; Bow Back River, Pudding Mill Lane, London, E15 2PW</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part (i) of condition 32 (Contamination) of planning permission 15/00392/FUL.</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Bellway Homes (Thames Gateway)</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16/00675/TPO</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Removal / works to Tree Preservation Order</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07-Nov-2016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74 , Abbey Lane, Stratford, LONDON, E15 2RP</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T1-T7: 7 x London Planes T1-T7: Only - Crown thin 30%, reduce spread to properties by 2m, Crown lift to 6-7m. Remove deadwood T2-T6: 5 x London Planes - Crown lift to 6-7m &amp; remove deadwood. To Maintain within good arboricultural practice.</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Jahgir Mohammed, Southern Housing Group</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16/00473/AOD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14-Sep-2016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Main Press Centre (MPC), Queen Elizabeth Olympic Park, Stratford, London, E20 3PS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conditions MPC.16 (Verification of Remediation Works), MPC.17 (Remediation Monitoring) and MPC.19 (Unexpected Contamination) of planning permission 13/00536/COU.</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Gavin Poole, Here East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16/00472/AOD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14-Sep-2016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International Broadcast Centre, Here East, Queen Elizabeth Olympic Park, E20 3BS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conditions IBC.16 (Verification of Remediation Works), IBC.17 (Remediation Monitoring) and IBC.19 (Unexpected Contamination) of planning permission 13/00534/FUM.</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Gavin Poole, Here East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16/00301/AOD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24-Jun-2016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Here East, Waterden Road, Queen Elizabeth Olympic Park, London, E20 3BS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IBC.8 (Construction Transport Management Plan Addendum) of planning permission 13/00534/FUM.</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Mr Poole, Here East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16/00531/AOD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04-Oct-2016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Main Press Centre, Here East, Waterden Road, Queen Elizabeth Olympic Park, E20 3BS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MPC.26 (Wayfinding Strategy) of planning permission 15/00536/COU.</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Gavin Poole, Here East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12-Jan-2017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16/00530/AOD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04-Oct-2016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International Broadcast Centre, Here East, Waterden Road, Queen Elizabeth Olympic Park, E20 3BS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IBC.32 (Wayfinding Strategy) of planning permission 13/00534/FUM.</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Gavin Poole, Here East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12-Jan-2017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16/00528/FUL</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Full planning application</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04-Oct-2016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Here East, Queen Elizabeth Olympic Park,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Installation of public art, titled L'age d'Or, to the south west corner of the IBC.</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Here East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12-Jan-2017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16/00392/AOD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10-Aug-2016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Neptune Wharf site comprising land bounded to the north by Hertford Union Canal, to the east by Roach Road, to the South by Wyke Road and to the west by Wansbeck Road</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Approval of Details pursuant to Condition AZ.78 (Site Specific Remediation Strategy) and Condition AZ.79 (Remediation Method Statement) of planning permission 12/00210/OUT dated 27 March 2014 (relating to Phase 1 and 2 only).</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Peabody,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12-Jan-2017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16/00393/AOD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10-Aug-2016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At 85, 105 And 115 Monier Road, Bounded By Monier Road, Wyke Road And Roach Road, London E3</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MR.65 (Site Specific Remediation Strategy) and Condition MR.66 (Remediation Method Statements) of planning permission 13/00204/FUM dated 25th March 2014.</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Peabody,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12-Jan-2017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16/00215/AOD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12-May-2016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Neptune Wharf site comprising land bounded to the north by Hertford Union Canal, to the east by Roach Road, to the South by Wyke Road and to the west by Wansbeck Road</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partial Approval of Details pursuant to Condition AZ.72 (Site Wide Delivery and Servicing Strategy) (relating to Phase 1 and 2 only) of planning permission 12/00210/OUT dated 27 March 2014.</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Peabody,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13-Jan-2017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16/00606/NMA</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Non-Material Amendment (Section 96A applications)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02-Nov-2016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Here East, Waterden Road, Queen Elizabeth Olympic Park, London, E20 3BS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under s96A TCPA for non-material amendments to planning permission 13/00534/FUM, for the variation of Conditions IBC.23, IBC.24, IBC.25 and the removal of Condition IBC.29 to reflect amendments made to the Gantry Design Code.</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Innovation City (London) Limited (iCITY)</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16-Jan-2017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Granted NMA</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16/00554/AOD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17-Oct-2016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at Bream Street at the junction of Stour Road &amp; Dace Road, Fish Island,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Approval of Details to fully discharge condition 6 (Construction Waste Management Plan) associated with planning permission 15/00278/FUL dated 25 August 2016.</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Quadrant Construction,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17-Jan-2017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16/00471/AOD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26-Sep-2016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Multi-Storey Car Park,Queen Elizabeth Olympic Park,PDZ5,Hackney,London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LTD.7 (Multi-Storey Car Park Conversion Strategy) of planning permission 07/90010/OUMODA.</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Andrew Tesseyman, LLDC- Development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17-Jan-2017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16/00591/106</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Section 106 Details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14-Oct-2016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2-12 High Street, Stratford, London, E15 2PW</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Schedule 1, Part 6, Paragraph 2.1 (Children Play Areas and Community Facilities Plan) of the Section 106 Agreement for planning permission 10/90519/FUMODA.</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Lloyd Adams, Galliard Homes</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19-Jan-2017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S106 Response Letter</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16/00571/AOD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19-Oct-2016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2-12 High Street, Stratford, London, E15 2PW</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conditions 16 (Sound Insulation and noise mitigation details), 17 (Sound Insulation details), 18 (Noise [and vibration] survey) and 19 (Acoustic Report) of planning permission 14/000112/VAR.</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Lloyd Adams, Galliard Homes Ltd,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19-Jan-2017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16/00678/FUL</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Full planning application</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29-Nov-2016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Ground Floor, 117, Wallis Road, Hackney, LONDON, E9 5LN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Temporary change of use of the ground floor from B8 to a Sui Generis use comprising gallery space, studio space, an indoor climbing wall and ancillary café, for a period of three years.</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Semsei, Arbeit Project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16/00640/AOD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14-Nov-2016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International Broadcast Centre, Here East, Waterden Road, Queen Elizabeth Olympic Park, E20 3BS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IBC.23 (Gantry Design Code) of planning permission 13/00534/FUM.</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Gavin Poole, Here East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16/00558/LBC</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Listed building consent</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19-Oct-2016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Abbey Mills Pumping Station, Abbey Lane, Stratford, London, E15 2RW</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Minor alterations to Abbey Mills Station A and adjoining Coal Bunker to facilitate new electricity supply cables.</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Thames Water Utilities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16/00561/AOD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27-Oct-2016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to the south of High Street Stratford, east of Sugar House Lane and north and west of Three Mills Wall River, Stratford, E15 2QS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C27 (Piling Works) of planning permission 12/00336/LTGOUT/LBNM in relation to Plot R1</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Vastint UK BV</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16/00547/AOD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12-Oct-2016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2-12 High Street, Stratford, E15 2PW</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50 (Management Strategy For All Community Facilities) of planning permission 14/00112/VAR.</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Lloyd Adams, Galliard Homes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15/00093/106</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Section 106 Details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09-Mar-2015</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206-214 High Street, London, E15 2JA</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Schedule 2 Paragraph 3.2, Schedule 2 Paragraph 4.1, Schedule 2 Paragraph 7.1 and Schedule 4 Paragraph 1 of the s106 agreement for planning permission 13/00404/FUM.</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Ron Plunz, Alumno Developments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S106 Response Letter</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14/00403/106</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Section 106 Details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03-Oct-2014</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206 - 214 High Street,Stratford,London,E15 2JA</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Schedule 2 Paragraph 4.1, Schedule 3 Paragraph 2.1 and Schedule 4 Paragraph 1 of the associated s106 agreement for planning permission 13/00404/FUM.</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Ron Plunz, Alumno Developments (Stratford)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S106 Response Letter</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16/00709/106</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Section 106 Details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20-Oct-2016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at Bream Street at the junction of Stour Road &amp; Dace Road, Fish Island,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Schedule 6 (Employment and Training), Part 1, Paragraph 1.1 (Commercial Unit Phasing Plan) of the Section 106 Agreement associated with planning permission 15/00278/FUL dated 25 August 2016.</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Antonia Round, Quod Limited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23-Jan-2017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S106 Response Letter</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16/00567/AOD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01-Nov-2016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2-12, High Street, Stratford, London, E15 2PW</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41 (Electric Charging Points) of planning permission 14/00112/VAR.</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Lloyd Adams, Galliard Homes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24-Jan-2017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16/00655/AOD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01-Dec-2016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Plot N24 (Manhattan Lofts Gardens), Zone 3, Stratford City, London, E20 1YY</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the partial approval of details to be used on the eastern facade, pursuant to condition 3 (Material Samples) &amp; condition 33 (Building Facades) of planning permission 10/90285/FUMODA varied by planning permission 13/00579/VAR dated 28 October 2014.</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Manhattan Loft Gardens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25-Jan-2017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16/00639/FUL</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Full planning application</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23-Nov-2016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Canalside 8, Here East, Eastway, Queen Elizabeth Olympic Park, London, E20 3BS</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Installation of new powder- coated aluminium shop front</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Francois Kitching</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25-Jan-2017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16/00136/AOD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07-Apr-2016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Planning Delivery Zone 4 Land east of River Lee Navigation, and west of the Olympic Stadium (Stadium Island)</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Partial Approval of Details for conditions LCS0.96 (Remediation Protection Method Statement) and LCS0.98 (Site Specific Remediation Strategy) pursuant to outline planning permission ref: 11/90621/OUTODA as varied by 14/00036/VAR in relation to PDZ4.6 and PDZ4.7 (DRET Primary School Site) only.</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Balfour Beatty, c/o The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25-Jan-2017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16/00645/ADV</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Advert (Express Consent)</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30-Nov-2016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Busaba Eathai,  3 Chestnut Plaza, Westfield Stratford City, Montfichet Road, Queen Elizabeth Olympic Park, LONDON, E20 1GL</w:t>
            </w:r>
          </w:p>
        </w:tc>
        <w:tc>
          <w:tcPr>
            <w:tcW w:w="3493" w:type="dxa"/>
            <w:tcBorders>
              <w:top w:val="single" w:sz="6" w:space="0" w:color="auto"/>
            </w:tcBorders>
          </w:tcPr>
          <w:p w:rsidR="00CC681C" w:rsidRPr="009A5127" w:rsidRDefault="00CC681C" w:rsidP="007C3F86">
            <w:pPr>
              <w:rPr>
                <w:b/>
                <w:noProof/>
                <w:sz w:val="20"/>
                <w:szCs w:val="20"/>
              </w:rPr>
            </w:pPr>
            <w:r w:rsidRPr="009A5127">
              <w:rPr>
                <w:b/>
                <w:noProof/>
                <w:sz w:val="20"/>
                <w:szCs w:val="20"/>
              </w:rPr>
              <w:t>Application for Advertisement Consent for:</w:t>
            </w:r>
          </w:p>
          <w:p w:rsidR="00CC681C" w:rsidRPr="009A5127" w:rsidRDefault="00CC681C" w:rsidP="007C3F86">
            <w:pPr>
              <w:rPr>
                <w:b/>
                <w:noProof/>
                <w:sz w:val="20"/>
                <w:szCs w:val="20"/>
              </w:rPr>
            </w:pPr>
          </w:p>
          <w:p w:rsidR="00CC681C" w:rsidRPr="009A5127" w:rsidRDefault="00CC681C" w:rsidP="007C3F86">
            <w:pPr>
              <w:rPr>
                <w:b/>
                <w:noProof/>
                <w:sz w:val="20"/>
                <w:szCs w:val="20"/>
              </w:rPr>
            </w:pPr>
            <w:r w:rsidRPr="009A5127">
              <w:rPr>
                <w:b/>
                <w:noProof/>
                <w:sz w:val="20"/>
                <w:szCs w:val="20"/>
              </w:rPr>
              <w:t>1 x illuminated sign on main elevation;</w:t>
            </w:r>
          </w:p>
          <w:p w:rsidR="00CC681C" w:rsidRPr="009A5127" w:rsidRDefault="00CC681C" w:rsidP="007C3F86">
            <w:pPr>
              <w:rPr>
                <w:b/>
                <w:noProof/>
                <w:sz w:val="20"/>
                <w:szCs w:val="20"/>
              </w:rPr>
            </w:pPr>
            <w:r w:rsidRPr="009A5127">
              <w:rPr>
                <w:b/>
                <w:noProof/>
                <w:sz w:val="20"/>
                <w:szCs w:val="20"/>
              </w:rPr>
              <w:t>1 x Fascia sign on side elevation;</w:t>
            </w:r>
          </w:p>
          <w:p w:rsidR="00CC681C" w:rsidRPr="009A5127" w:rsidRDefault="00CC681C" w:rsidP="007C3F86">
            <w:pPr>
              <w:rPr>
                <w:b/>
                <w:noProof/>
                <w:sz w:val="20"/>
                <w:szCs w:val="20"/>
              </w:rPr>
            </w:pPr>
            <w:r w:rsidRPr="009A5127">
              <w:rPr>
                <w:b/>
                <w:noProof/>
                <w:sz w:val="20"/>
                <w:szCs w:val="20"/>
              </w:rPr>
              <w:t>1 x Menu Case; and</w:t>
            </w:r>
          </w:p>
          <w:p w:rsidR="00CC681C" w:rsidRPr="009A5127" w:rsidRDefault="00CC681C" w:rsidP="007C3F86">
            <w:pPr>
              <w:rPr>
                <w:b/>
                <w:noProof/>
                <w:sz w:val="20"/>
                <w:szCs w:val="20"/>
              </w:rPr>
            </w:pPr>
            <w:r w:rsidRPr="009A5127">
              <w:rPr>
                <w:b/>
                <w:noProof/>
                <w:sz w:val="20"/>
                <w:szCs w:val="20"/>
              </w:rPr>
              <w:t xml:space="preserve">1 x illuminated sign on internal elevation. </w:t>
            </w:r>
          </w:p>
          <w:p w:rsidR="00CC681C" w:rsidRPr="002A3669" w:rsidRDefault="00CC681C" w:rsidP="00B64CC5">
            <w:pPr>
              <w:rPr>
                <w:b/>
                <w:sz w:val="20"/>
                <w:szCs w:val="20"/>
              </w:rPr>
            </w:pP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Casual Dining Group</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26-Jan-2017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16/00551/AOD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14-Oct-2016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to the South of High Street Stratford, east of the River Lea Navigation and west &amp; north of Three Mills Wall River, E15 2RB</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Approval of Details to fully discharge condition C3 (Three Mills Moorings Facilities Design, Location and Implementation Strategy of planning permission reference 12/00336/LTGOUT/LBNM dated 27th September 2012 (as amended).</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Vastint UK B.V.,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26-Jan-2017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16/00197/NMA</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Non-Material Amendment (Section 96A applications)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09-May-2016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Within The Olympic Park And Land At Pudding Mill Lane, Land At Bridgewater Road And Land At Rick Roberts Way.</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 non-material amendment to planning permission 11/90621/OUTODA to amend the wording of condition LCS0.147 describing the trigger point for the delivery of publically accessible open space in Planning Delivery Zone 12 from ‘prior to the school being completed’ to ‘prior to occupation of 50% of all residential units within this PDZ’</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Jennifer Angus, LLDC - Development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27-Jan-2017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Granted NMA</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16/00062/VAR</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Variation of conditions (Section 73 applications)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01-Mar-2016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PDZ3, Queen Elizabeth Olympic Park, Stratford, London, E20 2ST</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under section 73 of the Town and Country Planning Act 1990 (as amended) to vary conditions 104 (Biodiversity Habitat) and 106 (Open Space Provision) of full planning permission 12/00066/FUM dated 12th August 2013 (Associated application 16/00035/FUL).</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David Ross Education Trust &amp; E20 Stadium</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27-Jan-2017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16/00677/SCRES</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Screening Opinions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09-Dec-2016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Plot S9, The International Quarter London (TIQL) South, land adjacent to Westfield Avenue, Zone 2 Stratford City,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Request for Screening Opinion in association with application 16/00672/REM for Approval of Reserved Matters for the layout, scale, appearance and access pursuant to Conditions B1, B8 and B9 of the Stratford City Outline planning permission (ref 10/90641/EXTODA) comprising the construction of a building (S9 on Plot 04) up to a maximum height of 10 storeys (+60.00AOD) to provide 34,915 sqm office (Use Class B1) and 381 sqm of complementary retail (Use Classes A1-A5) with associated parking for cars, motorcycles and bicycles.</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Stratford City Business District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Screening not required</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16/00676/SCRES</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Screening Opinions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09-Dec-2016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Plot S9, The International Quarter London (TIQL) South, land adjacent to Westfield Avenue, Zone 2 Stratford City,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Request for Screening Opinion in association with application 16/00671/REM for Approval of Reserved Matters for the layout, scale, siting and access including engineering works for the below ground basement, in-ground drainage, services and utilities and associated substructure for building S9, Plot 04 works pursuant to conditions B1, B8, B9 and B10 of outline planning permission 10/90641/EXTODA.</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Stratford City Business District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Screening not required</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16/00636/NMA</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Non-Material Amendment (Section 96A applications)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22-Nov-2016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Balcony Park (land adjacent to Plot S7 &amp; S8) The International Quarter (TIQ) South, Land Adjacent to Westfield Avenue, Zone 2 Stratford City, E20</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under Section 96A of the TCPA 1990 (as amended) for non-material amendments to Reserved Matters Approval 13/00409/REM in relation to the wind mitigation screen.</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SCBD Residential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Granted NMA</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16/00390/AOD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09-Aug-2016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Land at Sugar House Lane to the south of High Street Stratford, East of the River Lea Navigation, and west and north of the Three Mills Wall River, Stratford, E15 2RB</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Approval of Details pursuant to planning condition C35 (Air Quality) attached to planning permission reference 12/00336/LTGOUT/LBNM dated 27th September 2012 (as amended).</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 xml:space="preserve"> (see Company name), Vastint UK BV,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16/00220/AOD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18-May-2016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Neptune Wharf site comprising land bounded to the north by Hertford Union Canal, to the east by Roach Road, to the South by Wyke Road and to the west by Wansbeck Road</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Approval of Details pursuant to Condition AZ.18 (Green Infrastructure Statement)  (relating to Phase 1 and 2 only)  of planning permission 12/00210/OUT dated 27 March 2014.</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Peabody, c/o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30-Jan-2017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16/00664/AOD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07-Dec-2016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Bobby Moore Academy, Planning Delivery Zone 4, Land east of Lea Navigation River and west of the Olympic Stadium, (Stadium Island)</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Approval of Details submitted to partially discharge condition 10 (Additional landscaping/planting details) attached to planning permission 16/00039/REM dated 1st June 2016 insofar as the condition relates to the details of the lighting columns on Loop Road.</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Balfour Beatty, c/o The Agent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16/00635/AOD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22-Nov-2016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Balcony Park (land adjacent to Plot S7 &amp; S8) The International Quarter (TIQ) South, Land Adjacent to Westfield Avenue, Zone 2 Stratford City, E20</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Application for the Partial Approval details pursuant to condition B10 (materials) of planning permission 10/90641/EXTODA in relation to the wind mitigation screen in so far as it relates to buildings S7 and S8.</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Misan Akporiaye, SCBD Residential Ltd</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16/00221/106</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Section 106 Details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17-May-2016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Neptune Wharf site comprising land bounded to the north by Hertford Union Canal, to the east by Roach Road, to the South by Wyke Road and to the west by Wansbeck Road</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Schedule 8, Clauses 1.1 (Publicly Accessible Open Space) and 2.1 (Permissive Paths Delivery Plan) of the Section 106 Agreement associated with outline planning permission 12/00210/OUT.</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Peabody</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S106 Response Letter</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t>16/00109/AOD</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Approval of details (conditions)</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29-Mar-2016</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Gainsborough School Bridge (F13), PDZ 5, Queen Elizabeth Olympic Park,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Submission of details pursuant to Condition GB.27 (Remediation Validation and Protection) and GB.31 (Quality of Imported Fill) of planning permission reference 12/00261/FUL dated 11 April 2013.</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Andrew Tesseyman, LLDC- Development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r w:rsidR="00CC681C" w:rsidRPr="002A3669" w:rsidTr="00B64CC5">
        <w:trPr>
          <w:cantSplit/>
          <w:tblHeader/>
        </w:trPr>
        <w:tc>
          <w:tcPr>
            <w:tcW w:w="1526" w:type="dxa"/>
            <w:tcBorders>
              <w:top w:val="single" w:sz="6" w:space="0" w:color="auto"/>
            </w:tcBorders>
          </w:tcPr>
          <w:p w:rsidR="00CC681C" w:rsidRPr="002A3669" w:rsidRDefault="00CC681C" w:rsidP="00B64CC5">
            <w:pPr>
              <w:rPr>
                <w:b/>
                <w:sz w:val="20"/>
                <w:szCs w:val="20"/>
              </w:rPr>
            </w:pPr>
            <w:r w:rsidRPr="009A5127">
              <w:rPr>
                <w:b/>
                <w:noProof/>
                <w:sz w:val="20"/>
                <w:szCs w:val="20"/>
              </w:rPr>
              <w:lastRenderedPageBreak/>
              <w:t>15/00580/FUL</w:t>
            </w:r>
          </w:p>
        </w:tc>
        <w:tc>
          <w:tcPr>
            <w:tcW w:w="1701" w:type="dxa"/>
            <w:tcBorders>
              <w:top w:val="single" w:sz="6" w:space="0" w:color="auto"/>
            </w:tcBorders>
          </w:tcPr>
          <w:p w:rsidR="00CC681C" w:rsidRPr="002A3669" w:rsidRDefault="00CC681C" w:rsidP="00B64CC5">
            <w:pPr>
              <w:rPr>
                <w:b/>
                <w:sz w:val="20"/>
                <w:szCs w:val="20"/>
              </w:rPr>
            </w:pPr>
            <w:r w:rsidRPr="009A5127">
              <w:rPr>
                <w:b/>
                <w:noProof/>
                <w:sz w:val="20"/>
                <w:szCs w:val="20"/>
              </w:rPr>
              <w:t>Full planning application</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16-Nov-2015</w:t>
            </w:r>
          </w:p>
        </w:tc>
        <w:tc>
          <w:tcPr>
            <w:tcW w:w="1893" w:type="dxa"/>
            <w:tcBorders>
              <w:top w:val="single" w:sz="6" w:space="0" w:color="auto"/>
            </w:tcBorders>
          </w:tcPr>
          <w:p w:rsidR="00CC681C" w:rsidRPr="002A3669" w:rsidRDefault="00CC681C" w:rsidP="00B64CC5">
            <w:pPr>
              <w:rPr>
                <w:b/>
                <w:sz w:val="20"/>
                <w:szCs w:val="20"/>
              </w:rPr>
            </w:pPr>
            <w:r w:rsidRPr="009A5127">
              <w:rPr>
                <w:b/>
                <w:noProof/>
                <w:sz w:val="20"/>
                <w:szCs w:val="20"/>
              </w:rPr>
              <w:t>Development Parcel 8.1, Planning Delivery Zone 8, Stratford, London</w:t>
            </w:r>
          </w:p>
        </w:tc>
        <w:tc>
          <w:tcPr>
            <w:tcW w:w="3493" w:type="dxa"/>
            <w:tcBorders>
              <w:top w:val="single" w:sz="6" w:space="0" w:color="auto"/>
            </w:tcBorders>
          </w:tcPr>
          <w:p w:rsidR="00CC681C" w:rsidRPr="002A3669" w:rsidRDefault="00CC681C" w:rsidP="00B64CC5">
            <w:pPr>
              <w:rPr>
                <w:b/>
                <w:sz w:val="20"/>
                <w:szCs w:val="20"/>
              </w:rPr>
            </w:pPr>
            <w:r w:rsidRPr="009A5127">
              <w:rPr>
                <w:b/>
                <w:noProof/>
                <w:sz w:val="20"/>
                <w:szCs w:val="20"/>
              </w:rPr>
              <w:t>Full planning application for the soil excavation, reinstatement of and improvements to the riverside towpath and construction of a stairway connecting the towpath to the Greenway.</w:t>
            </w:r>
          </w:p>
        </w:tc>
        <w:tc>
          <w:tcPr>
            <w:tcW w:w="1418" w:type="dxa"/>
            <w:tcBorders>
              <w:top w:val="single" w:sz="6" w:space="0" w:color="auto"/>
            </w:tcBorders>
          </w:tcPr>
          <w:p w:rsidR="00CC681C" w:rsidRPr="002A3669" w:rsidRDefault="00CC681C" w:rsidP="00B64CC5">
            <w:pPr>
              <w:rPr>
                <w:b/>
                <w:sz w:val="20"/>
                <w:szCs w:val="20"/>
              </w:rPr>
            </w:pPr>
            <w:r w:rsidRPr="009A5127">
              <w:rPr>
                <w:b/>
                <w:noProof/>
                <w:sz w:val="20"/>
                <w:szCs w:val="20"/>
              </w:rPr>
              <w:t>Jennifer Angus, LLDC- Development</w:t>
            </w:r>
          </w:p>
        </w:tc>
        <w:tc>
          <w:tcPr>
            <w:tcW w:w="1559" w:type="dxa"/>
            <w:tcBorders>
              <w:top w:val="single" w:sz="6" w:space="0" w:color="auto"/>
            </w:tcBorders>
          </w:tcPr>
          <w:p w:rsidR="00CC681C" w:rsidRPr="002A3669" w:rsidRDefault="00CC681C" w:rsidP="00B64CC5">
            <w:pPr>
              <w:jc w:val="center"/>
              <w:rPr>
                <w:b/>
                <w:sz w:val="20"/>
                <w:szCs w:val="20"/>
              </w:rPr>
            </w:pPr>
            <w:r w:rsidRPr="009A5127">
              <w:rPr>
                <w:b/>
                <w:noProof/>
                <w:sz w:val="20"/>
                <w:szCs w:val="20"/>
              </w:rPr>
              <w:t>31-Jan-2017</w:t>
            </w:r>
          </w:p>
        </w:tc>
        <w:tc>
          <w:tcPr>
            <w:tcW w:w="1276" w:type="dxa"/>
            <w:tcBorders>
              <w:top w:val="single" w:sz="6" w:space="0" w:color="auto"/>
            </w:tcBorders>
          </w:tcPr>
          <w:p w:rsidR="00CC681C" w:rsidRPr="002A3669" w:rsidRDefault="00CC681C" w:rsidP="00B64CC5">
            <w:pPr>
              <w:rPr>
                <w:b/>
                <w:sz w:val="20"/>
                <w:szCs w:val="20"/>
              </w:rPr>
            </w:pPr>
            <w:r w:rsidRPr="009A5127">
              <w:rPr>
                <w:b/>
                <w:noProof/>
                <w:sz w:val="20"/>
                <w:szCs w:val="20"/>
              </w:rPr>
              <w:t>Approve</w:t>
            </w:r>
          </w:p>
        </w:tc>
        <w:tc>
          <w:tcPr>
            <w:tcW w:w="1417" w:type="dxa"/>
            <w:tcBorders>
              <w:top w:val="single" w:sz="6" w:space="0" w:color="auto"/>
            </w:tcBorders>
          </w:tcPr>
          <w:p w:rsidR="00CC681C" w:rsidRPr="002A3669" w:rsidRDefault="00CC681C" w:rsidP="00B64CC5">
            <w:pPr>
              <w:rPr>
                <w:b/>
                <w:sz w:val="20"/>
                <w:szCs w:val="20"/>
              </w:rPr>
            </w:pPr>
          </w:p>
        </w:tc>
      </w:tr>
    </w:tbl>
    <w:p w:rsidR="00CC681C" w:rsidRPr="00C02615" w:rsidRDefault="00CC681C" w:rsidP="00C02615">
      <w:pPr>
        <w:tabs>
          <w:tab w:val="left" w:pos="5985"/>
        </w:tabs>
      </w:pPr>
    </w:p>
    <w:sectPr w:rsidR="00CC681C" w:rsidRPr="00C02615" w:rsidSect="00585577">
      <w:headerReference w:type="even" r:id="rId8"/>
      <w:headerReference w:type="default" r:id="rId9"/>
      <w:footerReference w:type="even" r:id="rId10"/>
      <w:footerReference w:type="default" r:id="rId11"/>
      <w:headerReference w:type="first" r:id="rId12"/>
      <w:footerReference w:type="first" r:id="rId13"/>
      <w:pgSz w:w="16838" w:h="11906" w:orient="landscape"/>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DE9" w:rsidRDefault="00970DE9" w:rsidP="006F1369">
      <w:pPr>
        <w:spacing w:after="0" w:line="240" w:lineRule="auto"/>
      </w:pPr>
      <w:r>
        <w:separator/>
      </w:r>
    </w:p>
  </w:endnote>
  <w:endnote w:type="continuationSeparator" w:id="0">
    <w:p w:rsidR="00970DE9" w:rsidRDefault="00970DE9" w:rsidP="006F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577" w:rsidRDefault="005855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6E6" w:rsidRDefault="00F846E6" w:rsidP="00F846E6">
    <w:pPr>
      <w:pStyle w:val="Footer"/>
      <w:jc w:val="center"/>
    </w:pPr>
  </w:p>
  <w:p w:rsidR="006F1369" w:rsidRDefault="006F1369" w:rsidP="006F1369">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577" w:rsidRDefault="00585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DE9" w:rsidRDefault="00970DE9" w:rsidP="006F1369">
      <w:pPr>
        <w:spacing w:after="0" w:line="240" w:lineRule="auto"/>
      </w:pPr>
      <w:r>
        <w:separator/>
      </w:r>
    </w:p>
  </w:footnote>
  <w:footnote w:type="continuationSeparator" w:id="0">
    <w:p w:rsidR="00970DE9" w:rsidRDefault="00970DE9" w:rsidP="006F1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577" w:rsidRDefault="005855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369" w:rsidRDefault="001360F1" w:rsidP="00585577">
    <w:pPr>
      <w:spacing w:after="0"/>
      <w:jc w:val="center"/>
      <w:rPr>
        <w:b/>
        <w:sz w:val="28"/>
        <w:szCs w:val="28"/>
      </w:rPr>
    </w:pPr>
    <w:r w:rsidRPr="00CD3C20">
      <w:rPr>
        <w:b/>
        <w:sz w:val="28"/>
        <w:szCs w:val="28"/>
      </w:rPr>
      <w:t>LLDC Delegated Decisions Report</w:t>
    </w:r>
    <w:r>
      <w:rPr>
        <w:b/>
        <w:sz w:val="28"/>
        <w:szCs w:val="28"/>
      </w:rPr>
      <w:t xml:space="preserve"> – January 2017</w:t>
    </w:r>
  </w:p>
  <w:tbl>
    <w:tblPr>
      <w:tblStyle w:val="TableGrid"/>
      <w:tblpPr w:leftFromText="180" w:rightFromText="180" w:vertAnchor="text" w:horzAnchor="margin" w:tblpY="346"/>
      <w:tblW w:w="0" w:type="auto"/>
      <w:tblBorders>
        <w:insideH w:val="single" w:sz="6" w:space="0" w:color="auto"/>
        <w:insideV w:val="single" w:sz="6" w:space="0" w:color="auto"/>
      </w:tblBorders>
      <w:tblLayout w:type="fixed"/>
      <w:tblLook w:val="04A0" w:firstRow="1" w:lastRow="0" w:firstColumn="1" w:lastColumn="0" w:noHBand="0" w:noVBand="1"/>
    </w:tblPr>
    <w:tblGrid>
      <w:gridCol w:w="1526"/>
      <w:gridCol w:w="1701"/>
      <w:gridCol w:w="1276"/>
      <w:gridCol w:w="1893"/>
      <w:gridCol w:w="3493"/>
      <w:gridCol w:w="1418"/>
      <w:gridCol w:w="1559"/>
      <w:gridCol w:w="1276"/>
      <w:gridCol w:w="1417"/>
    </w:tblGrid>
    <w:tr w:rsidR="00204220" w:rsidRPr="00C51729" w:rsidTr="002A3669">
      <w:trPr>
        <w:cantSplit/>
        <w:tblHeader/>
      </w:trPr>
      <w:tc>
        <w:tcPr>
          <w:tcW w:w="1526" w:type="dxa"/>
          <w:tcBorders>
            <w:top w:val="single" w:sz="6" w:space="0" w:color="auto"/>
          </w:tcBorders>
        </w:tcPr>
        <w:p w:rsidR="00204220" w:rsidRPr="00C51729" w:rsidRDefault="00204220" w:rsidP="002A3669">
          <w:pPr>
            <w:rPr>
              <w:b/>
              <w:noProof/>
              <w:sz w:val="20"/>
              <w:szCs w:val="20"/>
            </w:rPr>
          </w:pPr>
          <w:r w:rsidRPr="00C51729">
            <w:rPr>
              <w:b/>
              <w:noProof/>
              <w:sz w:val="20"/>
              <w:szCs w:val="20"/>
            </w:rPr>
            <w:t>Reference</w:t>
          </w:r>
        </w:p>
      </w:tc>
      <w:tc>
        <w:tcPr>
          <w:tcW w:w="1701" w:type="dxa"/>
          <w:tcBorders>
            <w:top w:val="single" w:sz="6" w:space="0" w:color="auto"/>
          </w:tcBorders>
        </w:tcPr>
        <w:p w:rsidR="00204220" w:rsidRPr="00C51729" w:rsidRDefault="00204220" w:rsidP="002A3669">
          <w:pPr>
            <w:rPr>
              <w:b/>
              <w:noProof/>
              <w:sz w:val="20"/>
              <w:szCs w:val="20"/>
            </w:rPr>
          </w:pPr>
          <w:r w:rsidRPr="00C51729">
            <w:rPr>
              <w:b/>
              <w:noProof/>
              <w:sz w:val="20"/>
              <w:szCs w:val="20"/>
            </w:rPr>
            <w:t>Type</w:t>
          </w:r>
        </w:p>
      </w:tc>
      <w:tc>
        <w:tcPr>
          <w:tcW w:w="1276" w:type="dxa"/>
          <w:tcBorders>
            <w:top w:val="single" w:sz="6" w:space="0" w:color="auto"/>
          </w:tcBorders>
        </w:tcPr>
        <w:p w:rsidR="00204220" w:rsidRPr="00C51729" w:rsidRDefault="00204220" w:rsidP="002A3669">
          <w:pPr>
            <w:rPr>
              <w:b/>
              <w:noProof/>
              <w:sz w:val="20"/>
              <w:szCs w:val="20"/>
            </w:rPr>
          </w:pPr>
          <w:r w:rsidRPr="00C51729">
            <w:rPr>
              <w:b/>
              <w:noProof/>
              <w:sz w:val="20"/>
              <w:szCs w:val="20"/>
            </w:rPr>
            <w:t xml:space="preserve">Valid Date </w:t>
          </w:r>
        </w:p>
      </w:tc>
      <w:tc>
        <w:tcPr>
          <w:tcW w:w="1893" w:type="dxa"/>
          <w:tcBorders>
            <w:top w:val="single" w:sz="6" w:space="0" w:color="auto"/>
          </w:tcBorders>
        </w:tcPr>
        <w:p w:rsidR="00204220" w:rsidRPr="00C51729" w:rsidRDefault="00204220" w:rsidP="002A3669">
          <w:pPr>
            <w:rPr>
              <w:b/>
              <w:noProof/>
              <w:sz w:val="20"/>
              <w:szCs w:val="20"/>
            </w:rPr>
          </w:pPr>
          <w:r w:rsidRPr="00C51729">
            <w:rPr>
              <w:b/>
              <w:noProof/>
              <w:sz w:val="20"/>
              <w:szCs w:val="20"/>
            </w:rPr>
            <w:t>Location</w:t>
          </w:r>
        </w:p>
      </w:tc>
      <w:tc>
        <w:tcPr>
          <w:tcW w:w="3493" w:type="dxa"/>
          <w:tcBorders>
            <w:top w:val="single" w:sz="6" w:space="0" w:color="auto"/>
          </w:tcBorders>
        </w:tcPr>
        <w:p w:rsidR="00204220" w:rsidRPr="00C51729" w:rsidRDefault="00204220" w:rsidP="002A3669">
          <w:pPr>
            <w:rPr>
              <w:b/>
              <w:noProof/>
              <w:sz w:val="20"/>
              <w:szCs w:val="20"/>
            </w:rPr>
          </w:pPr>
          <w:r w:rsidRPr="00C51729">
            <w:rPr>
              <w:b/>
              <w:noProof/>
              <w:sz w:val="20"/>
              <w:szCs w:val="20"/>
            </w:rPr>
            <w:t>Description</w:t>
          </w:r>
        </w:p>
      </w:tc>
      <w:tc>
        <w:tcPr>
          <w:tcW w:w="1418" w:type="dxa"/>
          <w:tcBorders>
            <w:top w:val="single" w:sz="6" w:space="0" w:color="auto"/>
          </w:tcBorders>
        </w:tcPr>
        <w:p w:rsidR="00204220" w:rsidRPr="00C51729" w:rsidRDefault="00204220" w:rsidP="002A3669">
          <w:pPr>
            <w:rPr>
              <w:b/>
              <w:noProof/>
              <w:sz w:val="20"/>
              <w:szCs w:val="20"/>
            </w:rPr>
          </w:pPr>
          <w:r w:rsidRPr="00C51729">
            <w:rPr>
              <w:b/>
              <w:noProof/>
              <w:sz w:val="20"/>
              <w:szCs w:val="20"/>
            </w:rPr>
            <w:t>Applicant</w:t>
          </w:r>
        </w:p>
      </w:tc>
      <w:tc>
        <w:tcPr>
          <w:tcW w:w="1559" w:type="dxa"/>
          <w:tcBorders>
            <w:top w:val="single" w:sz="6" w:space="0" w:color="auto"/>
          </w:tcBorders>
        </w:tcPr>
        <w:p w:rsidR="00204220" w:rsidRPr="00C51729" w:rsidRDefault="00204220" w:rsidP="002A3669">
          <w:pPr>
            <w:jc w:val="center"/>
            <w:rPr>
              <w:b/>
              <w:noProof/>
              <w:sz w:val="20"/>
              <w:szCs w:val="20"/>
            </w:rPr>
          </w:pPr>
          <w:r w:rsidRPr="00C51729">
            <w:rPr>
              <w:b/>
              <w:noProof/>
              <w:sz w:val="20"/>
              <w:szCs w:val="20"/>
            </w:rPr>
            <w:t>Decision Date</w:t>
          </w:r>
        </w:p>
      </w:tc>
      <w:tc>
        <w:tcPr>
          <w:tcW w:w="1276" w:type="dxa"/>
          <w:tcBorders>
            <w:top w:val="single" w:sz="6" w:space="0" w:color="auto"/>
          </w:tcBorders>
        </w:tcPr>
        <w:p w:rsidR="00204220" w:rsidRPr="00C51729" w:rsidRDefault="00204220" w:rsidP="002A3669">
          <w:pPr>
            <w:rPr>
              <w:b/>
              <w:noProof/>
              <w:sz w:val="20"/>
              <w:szCs w:val="20"/>
            </w:rPr>
          </w:pPr>
          <w:r w:rsidRPr="00C51729">
            <w:rPr>
              <w:b/>
              <w:noProof/>
              <w:sz w:val="20"/>
              <w:szCs w:val="20"/>
            </w:rPr>
            <w:t>Status</w:t>
          </w:r>
        </w:p>
      </w:tc>
      <w:tc>
        <w:tcPr>
          <w:tcW w:w="1417" w:type="dxa"/>
          <w:tcBorders>
            <w:top w:val="single" w:sz="6" w:space="0" w:color="auto"/>
          </w:tcBorders>
        </w:tcPr>
        <w:p w:rsidR="00204220" w:rsidRPr="00C51729" w:rsidRDefault="00003AA2" w:rsidP="002A3669">
          <w:pPr>
            <w:rPr>
              <w:b/>
              <w:noProof/>
              <w:sz w:val="20"/>
              <w:szCs w:val="20"/>
            </w:rPr>
          </w:pPr>
          <w:r>
            <w:rPr>
              <w:b/>
              <w:noProof/>
              <w:sz w:val="20"/>
              <w:szCs w:val="20"/>
            </w:rPr>
            <w:t>Comments</w:t>
          </w:r>
        </w:p>
      </w:tc>
    </w:tr>
  </w:tbl>
  <w:p w:rsidR="00C02615" w:rsidRDefault="00C02615" w:rsidP="00E2178A">
    <w:pPr>
      <w:spacing w:after="0"/>
      <w:jc w:val="center"/>
      <w:rPr>
        <w:b/>
        <w:sz w:val="28"/>
        <w:szCs w:val="28"/>
      </w:rPr>
    </w:pPr>
  </w:p>
  <w:p w:rsidR="00204220" w:rsidRDefault="00204220" w:rsidP="00E2178A">
    <w:pPr>
      <w:spacing w:after="0"/>
      <w:jc w:val="center"/>
      <w:rPr>
        <w:b/>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577" w:rsidRDefault="00585577" w:rsidP="00585577">
    <w:pPr>
      <w:spacing w:after="0"/>
      <w:jc w:val="center"/>
      <w:rPr>
        <w:rFonts w:ascii="Arial" w:hAnsi="Arial" w:cs="Arial"/>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85577">
      <w:rPr>
        <w:rFonts w:ascii="Arial" w:hAnsi="Arial" w:cs="Arial"/>
        <w:sz w:val="28"/>
        <w:szCs w:val="28"/>
      </w:rPr>
      <w:t>Appendix 1</w:t>
    </w:r>
  </w:p>
  <w:p w:rsidR="00585577" w:rsidRPr="00585577" w:rsidRDefault="00585577" w:rsidP="00585577">
    <w:pPr>
      <w:spacing w:after="0"/>
      <w:jc w:val="center"/>
      <w:rPr>
        <w:b/>
        <w:sz w:val="28"/>
        <w:szCs w:val="28"/>
      </w:rPr>
    </w:pPr>
    <w:r w:rsidRPr="00CD3C20">
      <w:rPr>
        <w:b/>
        <w:sz w:val="28"/>
        <w:szCs w:val="28"/>
      </w:rPr>
      <w:t>LLDC Delegated Decisions Report</w:t>
    </w:r>
    <w:r>
      <w:rPr>
        <w:b/>
        <w:sz w:val="28"/>
        <w:szCs w:val="28"/>
      </w:rPr>
      <w:t xml:space="preserve"> – January 2017</w:t>
    </w:r>
    <w:r>
      <w:rPr>
        <w:b/>
        <w:sz w:val="28"/>
        <w:szCs w:val="28"/>
      </w:rPr>
      <w:tab/>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69"/>
    <w:rsid w:val="00003AA2"/>
    <w:rsid w:val="00045EA1"/>
    <w:rsid w:val="00051A97"/>
    <w:rsid w:val="000B2240"/>
    <w:rsid w:val="000C30FE"/>
    <w:rsid w:val="000D1A65"/>
    <w:rsid w:val="001360F1"/>
    <w:rsid w:val="00204220"/>
    <w:rsid w:val="00214E98"/>
    <w:rsid w:val="00254A1A"/>
    <w:rsid w:val="002A3669"/>
    <w:rsid w:val="003076A3"/>
    <w:rsid w:val="003664EA"/>
    <w:rsid w:val="004472EE"/>
    <w:rsid w:val="004B41F7"/>
    <w:rsid w:val="004D63DB"/>
    <w:rsid w:val="00585577"/>
    <w:rsid w:val="005C596C"/>
    <w:rsid w:val="005E0D3C"/>
    <w:rsid w:val="006A7C7D"/>
    <w:rsid w:val="006F1369"/>
    <w:rsid w:val="007237D2"/>
    <w:rsid w:val="007347A2"/>
    <w:rsid w:val="007A693C"/>
    <w:rsid w:val="007B125F"/>
    <w:rsid w:val="007B5CA6"/>
    <w:rsid w:val="007C3F86"/>
    <w:rsid w:val="007E1EF9"/>
    <w:rsid w:val="00833399"/>
    <w:rsid w:val="008647E3"/>
    <w:rsid w:val="008C5CBB"/>
    <w:rsid w:val="008E0872"/>
    <w:rsid w:val="009075C1"/>
    <w:rsid w:val="0096467D"/>
    <w:rsid w:val="00970DE9"/>
    <w:rsid w:val="009C695E"/>
    <w:rsid w:val="00A225E3"/>
    <w:rsid w:val="00A57E54"/>
    <w:rsid w:val="00AB5E55"/>
    <w:rsid w:val="00AB68A7"/>
    <w:rsid w:val="00B466A1"/>
    <w:rsid w:val="00C02615"/>
    <w:rsid w:val="00CC681C"/>
    <w:rsid w:val="00CD3C20"/>
    <w:rsid w:val="00D02451"/>
    <w:rsid w:val="00DC5849"/>
    <w:rsid w:val="00DD4634"/>
    <w:rsid w:val="00E2178A"/>
    <w:rsid w:val="00E244BE"/>
    <w:rsid w:val="00EB447A"/>
    <w:rsid w:val="00EC66CF"/>
    <w:rsid w:val="00EE3F6E"/>
    <w:rsid w:val="00F13CA8"/>
    <w:rsid w:val="00F84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369"/>
  </w:style>
  <w:style w:type="paragraph" w:styleId="Footer">
    <w:name w:val="footer"/>
    <w:basedOn w:val="Normal"/>
    <w:link w:val="FooterChar"/>
    <w:uiPriority w:val="99"/>
    <w:unhideWhenUsed/>
    <w:rsid w:val="006F1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369"/>
  </w:style>
  <w:style w:type="paragraph" w:styleId="BalloonText">
    <w:name w:val="Balloon Text"/>
    <w:basedOn w:val="Normal"/>
    <w:link w:val="BalloonTextChar"/>
    <w:uiPriority w:val="99"/>
    <w:semiHidden/>
    <w:unhideWhenUsed/>
    <w:rsid w:val="006F1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369"/>
    <w:rPr>
      <w:rFonts w:ascii="Tahoma" w:hAnsi="Tahoma" w:cs="Tahoma"/>
      <w:sz w:val="16"/>
      <w:szCs w:val="16"/>
    </w:rPr>
  </w:style>
  <w:style w:type="table" w:styleId="TableGrid">
    <w:name w:val="Table Grid"/>
    <w:basedOn w:val="TableNormal"/>
    <w:uiPriority w:val="59"/>
    <w:rsid w:val="0021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369"/>
  </w:style>
  <w:style w:type="paragraph" w:styleId="Footer">
    <w:name w:val="footer"/>
    <w:basedOn w:val="Normal"/>
    <w:link w:val="FooterChar"/>
    <w:uiPriority w:val="99"/>
    <w:unhideWhenUsed/>
    <w:rsid w:val="006F1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369"/>
  </w:style>
  <w:style w:type="paragraph" w:styleId="BalloonText">
    <w:name w:val="Balloon Text"/>
    <w:basedOn w:val="Normal"/>
    <w:link w:val="BalloonTextChar"/>
    <w:uiPriority w:val="99"/>
    <w:semiHidden/>
    <w:unhideWhenUsed/>
    <w:rsid w:val="006F1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369"/>
    <w:rPr>
      <w:rFonts w:ascii="Tahoma" w:hAnsi="Tahoma" w:cs="Tahoma"/>
      <w:sz w:val="16"/>
      <w:szCs w:val="16"/>
    </w:rPr>
  </w:style>
  <w:style w:type="table" w:styleId="TableGrid">
    <w:name w:val="Table Grid"/>
    <w:basedOn w:val="TableNormal"/>
    <w:uiPriority w:val="59"/>
    <w:rsid w:val="0021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50DD4-C0F8-4FEF-8EE5-84294E00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UKFast</Company>
  <LinksUpToDate>false</LinksUpToDate>
  <CharactersWithSpaces>22211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Harding</dc:creator>
  <cp:lastModifiedBy>Eleanor Lloyd</cp:lastModifiedBy>
  <cp:revision>3</cp:revision>
  <dcterms:created xsi:type="dcterms:W3CDTF">2017-02-15T16:12:00Z</dcterms:created>
  <dcterms:modified xsi:type="dcterms:W3CDTF">2017-02-16T16:37:00Z</dcterms:modified>
</cp:coreProperties>
</file>

<file path=docProps/custom.xml><?xml version="1.0" encoding="utf-8"?>
<op:Properties xmlns:op="http://schemas.openxmlformats.org/officeDocument/2006/custom-properties"/>
</file>