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55F" w:rsidRDefault="0077555F">
      <w:pPr>
        <w:rPr>
          <w:rFonts w:ascii="Arial" w:hAnsi="Arial" w:cs="Arial"/>
          <w:b/>
          <w:bCs/>
        </w:rPr>
      </w:pPr>
      <w:bookmarkStart w:id="0" w:name="_GoBack"/>
      <w:bookmarkEnd w:id="0"/>
    </w:p>
    <w:p w:rsidR="0077555F" w:rsidRDefault="004E161C">
      <w:pPr>
        <w:ind w:hanging="720"/>
        <w:jc w:val="right"/>
        <w:rPr>
          <w:rFonts w:ascii="Arial" w:hAnsi="Arial" w:cs="Arial"/>
          <w:b/>
          <w:bCs/>
        </w:rPr>
      </w:pPr>
      <w:r>
        <w:rPr>
          <w:rFonts w:ascii="Arial" w:hAnsi="Arial" w:cs="Arial"/>
          <w:b/>
          <w:bCs/>
        </w:rPr>
        <w:t>11859/13 ADD 1 &amp; 2</w:t>
      </w:r>
    </w:p>
    <w:p w:rsidR="00E93DCB" w:rsidRDefault="00CC0205">
      <w:pPr>
        <w:ind w:hanging="720"/>
        <w:jc w:val="right"/>
        <w:rPr>
          <w:rFonts w:ascii="Arial" w:hAnsi="Arial" w:cs="Arial"/>
          <w:b/>
          <w:bCs/>
        </w:rPr>
      </w:pPr>
      <w:r>
        <w:rPr>
          <w:rFonts w:ascii="Arial" w:hAnsi="Arial" w:cs="Arial"/>
          <w:b/>
          <w:bCs/>
        </w:rPr>
        <w:t>COM (</w:t>
      </w:r>
      <w:r w:rsidR="004E161C">
        <w:rPr>
          <w:rFonts w:ascii="Arial" w:hAnsi="Arial" w:cs="Arial"/>
          <w:b/>
          <w:bCs/>
        </w:rPr>
        <w:t>2013) 461</w:t>
      </w:r>
      <w:r w:rsidR="00E93DCB">
        <w:rPr>
          <w:rFonts w:ascii="Arial" w:hAnsi="Arial" w:cs="Arial"/>
          <w:b/>
          <w:bCs/>
        </w:rPr>
        <w:t xml:space="preserve"> final</w:t>
      </w:r>
    </w:p>
    <w:p w:rsidR="0077555F" w:rsidRDefault="003E4398" w:rsidP="004E161C">
      <w:pPr>
        <w:jc w:val="right"/>
        <w:rPr>
          <w:rFonts w:ascii="Arial" w:hAnsi="Arial" w:cs="Arial"/>
          <w:b/>
          <w:bCs/>
        </w:rPr>
      </w:pPr>
      <w:r>
        <w:rPr>
          <w:rFonts w:ascii="Arial" w:hAnsi="Arial" w:cs="Arial"/>
          <w:b/>
          <w:bCs/>
        </w:rPr>
        <w:tab/>
      </w:r>
      <w:r w:rsidR="00CC0205">
        <w:rPr>
          <w:rFonts w:ascii="Arial" w:hAnsi="Arial" w:cs="Arial"/>
          <w:b/>
          <w:bCs/>
        </w:rPr>
        <w:t>SWD (</w:t>
      </w:r>
      <w:r w:rsidR="004E161C">
        <w:rPr>
          <w:rFonts w:ascii="Arial" w:hAnsi="Arial" w:cs="Arial"/>
          <w:b/>
          <w:bCs/>
        </w:rPr>
        <w:t>2013) 228</w:t>
      </w:r>
      <w:r w:rsidR="00E93DCB">
        <w:rPr>
          <w:rFonts w:ascii="Arial" w:hAnsi="Arial" w:cs="Arial"/>
          <w:b/>
          <w:bCs/>
        </w:rPr>
        <w:t xml:space="preserve"> final</w:t>
      </w:r>
    </w:p>
    <w:p w:rsidR="004E161C" w:rsidRDefault="004E161C" w:rsidP="004E161C">
      <w:pPr>
        <w:jc w:val="right"/>
        <w:rPr>
          <w:rFonts w:ascii="Arial" w:hAnsi="Arial" w:cs="Arial"/>
          <w:b/>
          <w:bCs/>
        </w:rPr>
      </w:pPr>
      <w:r>
        <w:rPr>
          <w:rFonts w:ascii="Arial" w:hAnsi="Arial" w:cs="Arial"/>
          <w:b/>
          <w:bCs/>
        </w:rPr>
        <w:t>SWD (2013) 229 final</w:t>
      </w:r>
    </w:p>
    <w:p w:rsidR="004E161C" w:rsidRDefault="004E161C" w:rsidP="004E161C">
      <w:pPr>
        <w:jc w:val="right"/>
        <w:rPr>
          <w:rFonts w:ascii="Arial" w:hAnsi="Arial" w:cs="Arial"/>
          <w:b/>
          <w:bCs/>
        </w:rPr>
      </w:pPr>
    </w:p>
    <w:p w:rsidR="0077555F" w:rsidRDefault="003E4398" w:rsidP="00186861">
      <w:pPr>
        <w:jc w:val="both"/>
        <w:rPr>
          <w:rFonts w:ascii="Arial" w:hAnsi="Arial" w:cs="Arial"/>
          <w:b/>
          <w:bCs/>
        </w:rPr>
      </w:pPr>
      <w:r>
        <w:rPr>
          <w:rFonts w:ascii="Arial" w:hAnsi="Arial" w:cs="Arial"/>
          <w:b/>
          <w:bCs/>
        </w:rPr>
        <w:t>EXPLANATO</w:t>
      </w:r>
      <w:r w:rsidR="00E93DCB">
        <w:rPr>
          <w:rFonts w:ascii="Arial" w:hAnsi="Arial" w:cs="Arial"/>
          <w:b/>
          <w:bCs/>
        </w:rPr>
        <w:t>RY MEMORANDUM ON EUROPEAN UNION DOCUMENT</w:t>
      </w:r>
      <w:r>
        <w:rPr>
          <w:rFonts w:ascii="Arial" w:hAnsi="Arial" w:cs="Arial"/>
          <w:b/>
          <w:bCs/>
        </w:rPr>
        <w:t xml:space="preserve"> </w:t>
      </w:r>
    </w:p>
    <w:p w:rsidR="00E93DCB" w:rsidRDefault="00E93DCB" w:rsidP="00186861">
      <w:pPr>
        <w:jc w:val="both"/>
        <w:rPr>
          <w:rFonts w:ascii="Arial" w:hAnsi="Arial" w:cs="Arial"/>
        </w:rPr>
      </w:pPr>
    </w:p>
    <w:p w:rsidR="00887059" w:rsidRDefault="00245390" w:rsidP="00186861">
      <w:pPr>
        <w:autoSpaceDE w:val="0"/>
        <w:autoSpaceDN w:val="0"/>
        <w:adjustRightInd w:val="0"/>
        <w:jc w:val="both"/>
        <w:rPr>
          <w:rFonts w:ascii="Arial" w:hAnsi="Arial" w:cs="Arial"/>
          <w:b/>
          <w:bCs/>
        </w:rPr>
      </w:pPr>
      <w:r>
        <w:rPr>
          <w:rFonts w:ascii="Arial" w:hAnsi="Arial" w:cs="Arial"/>
          <w:b/>
          <w:bCs/>
        </w:rPr>
        <w:t xml:space="preserve">REPORT FROM THE COMMISSION TO THE EUROPEAN PARLIAMENT AND THE </w:t>
      </w:r>
      <w:r w:rsidR="008B18B6">
        <w:rPr>
          <w:rFonts w:ascii="Arial" w:hAnsi="Arial" w:cs="Arial"/>
          <w:b/>
          <w:bCs/>
        </w:rPr>
        <w:t>COUNCIL</w:t>
      </w:r>
      <w:r w:rsidR="00887059" w:rsidRPr="00887059">
        <w:rPr>
          <w:rFonts w:ascii="Arial" w:hAnsi="Arial" w:cs="Arial"/>
          <w:b/>
          <w:bCs/>
        </w:rPr>
        <w:t xml:space="preserve"> </w:t>
      </w:r>
      <w:r>
        <w:rPr>
          <w:rFonts w:ascii="Arial" w:hAnsi="Arial" w:cs="Arial"/>
          <w:b/>
          <w:bCs/>
        </w:rPr>
        <w:t>ON THE EVALUATION OF THE UNION’S FINANCES BASED ON THE RESULTS ACHIEVED</w:t>
      </w:r>
      <w:r w:rsidR="00887059">
        <w:rPr>
          <w:rFonts w:ascii="Arial" w:hAnsi="Arial" w:cs="Arial"/>
          <w:b/>
          <w:bCs/>
        </w:rPr>
        <w:t xml:space="preserve"> </w:t>
      </w:r>
    </w:p>
    <w:p w:rsidR="00543259" w:rsidRDefault="00543259" w:rsidP="00186861">
      <w:pPr>
        <w:autoSpaceDE w:val="0"/>
        <w:autoSpaceDN w:val="0"/>
        <w:adjustRightInd w:val="0"/>
        <w:jc w:val="both"/>
        <w:rPr>
          <w:rFonts w:ascii="Arial" w:hAnsi="Arial" w:cs="Arial"/>
          <w:b/>
          <w:bCs/>
        </w:rPr>
      </w:pPr>
    </w:p>
    <w:p w:rsidR="004E161C" w:rsidRDefault="00887059" w:rsidP="00186861">
      <w:pPr>
        <w:autoSpaceDE w:val="0"/>
        <w:autoSpaceDN w:val="0"/>
        <w:adjustRightInd w:val="0"/>
        <w:jc w:val="both"/>
        <w:rPr>
          <w:rFonts w:ascii="Arial" w:hAnsi="Arial" w:cs="Arial"/>
          <w:b/>
          <w:bCs/>
        </w:rPr>
      </w:pPr>
      <w:r w:rsidRPr="00887059">
        <w:rPr>
          <w:rFonts w:ascii="Arial" w:hAnsi="Arial" w:cs="Arial"/>
          <w:b/>
          <w:bCs/>
        </w:rPr>
        <w:t>C</w:t>
      </w:r>
      <w:r w:rsidR="008B18B6">
        <w:rPr>
          <w:rFonts w:ascii="Arial" w:hAnsi="Arial" w:cs="Arial"/>
          <w:b/>
          <w:bCs/>
        </w:rPr>
        <w:t>OMMISSION STAFF WORKING DOCUMERNT ACCOMPANYING THE DOCUMENT FROM</w:t>
      </w:r>
      <w:r w:rsidR="008B18B6" w:rsidRPr="008B18B6">
        <w:rPr>
          <w:rFonts w:ascii="Arial" w:hAnsi="Arial" w:cs="Arial"/>
          <w:b/>
          <w:bCs/>
        </w:rPr>
        <w:t xml:space="preserve"> </w:t>
      </w:r>
      <w:r w:rsidR="008B18B6">
        <w:rPr>
          <w:rFonts w:ascii="Arial" w:hAnsi="Arial" w:cs="Arial"/>
          <w:b/>
          <w:bCs/>
        </w:rPr>
        <w:t>THE COMMISSION TO THE EUROPEAN PARLIAMENT AND THE COUNCIL</w:t>
      </w:r>
      <w:r w:rsidR="008B18B6" w:rsidRPr="00887059">
        <w:rPr>
          <w:rFonts w:ascii="Arial" w:hAnsi="Arial" w:cs="Arial"/>
          <w:b/>
          <w:bCs/>
        </w:rPr>
        <w:t xml:space="preserve"> </w:t>
      </w:r>
      <w:r w:rsidR="008B18B6">
        <w:rPr>
          <w:rFonts w:ascii="Arial" w:hAnsi="Arial" w:cs="Arial"/>
          <w:b/>
          <w:bCs/>
        </w:rPr>
        <w:t>ON THE EVALUATION OF THE UNION’S FINANCES BASED ON THE RESULTS ACHIEVED</w:t>
      </w:r>
    </w:p>
    <w:p w:rsidR="004E161C" w:rsidRDefault="004E161C" w:rsidP="00186861">
      <w:pPr>
        <w:autoSpaceDE w:val="0"/>
        <w:autoSpaceDN w:val="0"/>
        <w:adjustRightInd w:val="0"/>
        <w:jc w:val="both"/>
        <w:rPr>
          <w:rFonts w:ascii="Arial" w:hAnsi="Arial" w:cs="Arial"/>
          <w:b/>
          <w:bCs/>
        </w:rPr>
      </w:pPr>
    </w:p>
    <w:p w:rsidR="0077555F" w:rsidRPr="003A149B" w:rsidRDefault="004E161C" w:rsidP="00186861">
      <w:pPr>
        <w:autoSpaceDE w:val="0"/>
        <w:autoSpaceDN w:val="0"/>
        <w:adjustRightInd w:val="0"/>
        <w:jc w:val="both"/>
        <w:rPr>
          <w:rFonts w:ascii="Arial" w:hAnsi="Arial" w:cs="Arial"/>
          <w:b/>
          <w:bCs/>
        </w:rPr>
      </w:pPr>
      <w:r>
        <w:rPr>
          <w:rFonts w:ascii="Arial" w:hAnsi="Arial" w:cs="Arial"/>
          <w:b/>
          <w:bCs/>
        </w:rPr>
        <w:t>THE ACTION PLAN FOR THE DEVELOPMENT OF THE ART</w:t>
      </w:r>
      <w:r w:rsidR="00186861">
        <w:rPr>
          <w:rFonts w:ascii="Arial" w:hAnsi="Arial" w:cs="Arial"/>
          <w:b/>
          <w:bCs/>
        </w:rPr>
        <w:t>ICLE</w:t>
      </w:r>
      <w:r>
        <w:rPr>
          <w:rFonts w:ascii="Arial" w:hAnsi="Arial" w:cs="Arial"/>
          <w:b/>
          <w:bCs/>
        </w:rPr>
        <w:t xml:space="preserve"> 318 EVALUATION REPORT</w:t>
      </w:r>
    </w:p>
    <w:p w:rsidR="008E5AD5" w:rsidRDefault="008E5AD5" w:rsidP="00186861">
      <w:pPr>
        <w:jc w:val="both"/>
        <w:rPr>
          <w:rFonts w:ascii="Arial" w:hAnsi="Arial" w:cs="Arial"/>
        </w:rPr>
      </w:pPr>
    </w:p>
    <w:p w:rsidR="00E84209" w:rsidRPr="00CC0205" w:rsidRDefault="003E4398" w:rsidP="00E84209">
      <w:pPr>
        <w:pStyle w:val="NormalWeb"/>
        <w:spacing w:before="0" w:beforeAutospacing="0" w:after="0" w:afterAutospacing="0"/>
        <w:jc w:val="right"/>
        <w:rPr>
          <w:rFonts w:ascii="Arial" w:hAnsi="Arial" w:cs="Arial"/>
          <w:lang w:val="en-GB"/>
        </w:rPr>
      </w:pPr>
      <w:r>
        <w:rPr>
          <w:rFonts w:ascii="Arial" w:hAnsi="Arial" w:cs="Arial"/>
          <w:lang w:val="en-GB"/>
        </w:rPr>
        <w:tab/>
      </w:r>
      <w:r>
        <w:rPr>
          <w:rFonts w:ascii="Arial" w:hAnsi="Arial" w:cs="Arial"/>
          <w:lang w:val="en-GB"/>
        </w:rPr>
        <w:tab/>
      </w:r>
      <w:r>
        <w:rPr>
          <w:rFonts w:ascii="Arial" w:hAnsi="Arial" w:cs="Arial"/>
          <w:lang w:val="en-GB"/>
        </w:rPr>
        <w:tab/>
      </w:r>
      <w:r>
        <w:rPr>
          <w:rFonts w:ascii="Arial" w:hAnsi="Arial" w:cs="Arial"/>
          <w:lang w:val="en-GB"/>
        </w:rPr>
        <w:tab/>
      </w:r>
      <w:r>
        <w:rPr>
          <w:rFonts w:ascii="Arial" w:hAnsi="Arial" w:cs="Arial"/>
          <w:lang w:val="en-GB"/>
        </w:rPr>
        <w:tab/>
      </w:r>
      <w:r w:rsidR="004E161C">
        <w:rPr>
          <w:rFonts w:ascii="Arial" w:hAnsi="Arial" w:cs="Arial"/>
          <w:lang w:val="en-GB"/>
        </w:rPr>
        <w:t>July</w:t>
      </w:r>
      <w:r w:rsidR="00C65193">
        <w:rPr>
          <w:rFonts w:ascii="Arial" w:hAnsi="Arial" w:cs="Arial"/>
          <w:lang w:val="en-GB"/>
        </w:rPr>
        <w:t xml:space="preserve"> 2013</w:t>
      </w:r>
    </w:p>
    <w:p w:rsidR="0077555F" w:rsidRDefault="003E4398" w:rsidP="00E84209">
      <w:pPr>
        <w:pStyle w:val="NormalWeb"/>
        <w:spacing w:before="0" w:beforeAutospacing="0" w:after="0" w:afterAutospacing="0"/>
        <w:rPr>
          <w:rFonts w:ascii="Arial" w:hAnsi="Arial" w:cs="Arial"/>
        </w:rPr>
      </w:pPr>
      <w:r>
        <w:rPr>
          <w:rFonts w:ascii="Arial" w:hAnsi="Arial" w:cs="Arial"/>
        </w:rPr>
        <w:t>Submitted by HM Treasury</w:t>
      </w:r>
    </w:p>
    <w:p w:rsidR="00CC0205" w:rsidRDefault="00CC0205" w:rsidP="00E84209">
      <w:pPr>
        <w:pStyle w:val="NormalWeb"/>
        <w:spacing w:before="0" w:beforeAutospacing="0" w:after="0" w:afterAutospacing="0"/>
        <w:rPr>
          <w:rFonts w:ascii="Arial" w:hAnsi="Arial" w:cs="Arial"/>
        </w:rPr>
      </w:pPr>
    </w:p>
    <w:p w:rsidR="0077555F" w:rsidRDefault="003E4398">
      <w:pPr>
        <w:pStyle w:val="Heading1"/>
      </w:pPr>
      <w:r>
        <w:t>SUBJECT MATTER</w:t>
      </w:r>
    </w:p>
    <w:p w:rsidR="00F26E5E" w:rsidRPr="00685960" w:rsidRDefault="00F26E5E">
      <w:pPr>
        <w:rPr>
          <w:rFonts w:ascii="Arial" w:hAnsi="Arial" w:cs="Arial"/>
          <w:color w:val="000000" w:themeColor="text1"/>
        </w:rPr>
      </w:pPr>
    </w:p>
    <w:p w:rsidR="002C0DC0" w:rsidRPr="002C0DC0" w:rsidRDefault="00B042FB" w:rsidP="00072B21">
      <w:pPr>
        <w:numPr>
          <w:ilvl w:val="0"/>
          <w:numId w:val="1"/>
        </w:numPr>
        <w:tabs>
          <w:tab w:val="clear" w:pos="720"/>
          <w:tab w:val="num" w:pos="360"/>
        </w:tabs>
        <w:ind w:left="360"/>
        <w:jc w:val="both"/>
        <w:rPr>
          <w:rFonts w:ascii="Arial" w:hAnsi="Arial" w:cs="Arial"/>
          <w:iCs/>
          <w:color w:val="000000" w:themeColor="text1"/>
        </w:rPr>
      </w:pPr>
      <w:r>
        <w:rPr>
          <w:rFonts w:ascii="Arial" w:hAnsi="Arial" w:cs="Arial"/>
          <w:iCs/>
          <w:color w:val="000000" w:themeColor="text1"/>
        </w:rPr>
        <w:t>The</w:t>
      </w:r>
      <w:r w:rsidR="004E18B4" w:rsidRPr="00685960">
        <w:rPr>
          <w:rFonts w:ascii="Arial" w:hAnsi="Arial" w:cs="Arial"/>
          <w:iCs/>
          <w:color w:val="000000" w:themeColor="text1"/>
        </w:rPr>
        <w:t xml:space="preserve"> </w:t>
      </w:r>
      <w:r>
        <w:rPr>
          <w:rFonts w:ascii="Arial" w:hAnsi="Arial" w:cs="Arial"/>
          <w:iCs/>
          <w:color w:val="000000" w:themeColor="text1"/>
        </w:rPr>
        <w:t>Commission published its</w:t>
      </w:r>
      <w:r w:rsidR="00245390" w:rsidRPr="00685960">
        <w:rPr>
          <w:rFonts w:ascii="Arial" w:hAnsi="Arial" w:cs="Arial"/>
          <w:iCs/>
          <w:color w:val="000000" w:themeColor="text1"/>
        </w:rPr>
        <w:t xml:space="preserve"> </w:t>
      </w:r>
      <w:r w:rsidR="00BD0BF5">
        <w:rPr>
          <w:rFonts w:ascii="Arial" w:hAnsi="Arial" w:cs="Arial"/>
          <w:iCs/>
          <w:color w:val="000000" w:themeColor="text1"/>
        </w:rPr>
        <w:t xml:space="preserve">third </w:t>
      </w:r>
      <w:r w:rsidR="00DC1B98">
        <w:rPr>
          <w:rFonts w:ascii="Arial" w:hAnsi="Arial" w:cs="Arial"/>
          <w:iCs/>
          <w:color w:val="000000" w:themeColor="text1"/>
        </w:rPr>
        <w:t>r</w:t>
      </w:r>
      <w:r w:rsidR="00555241" w:rsidRPr="00685960">
        <w:rPr>
          <w:rFonts w:ascii="Arial" w:hAnsi="Arial" w:cs="Arial"/>
          <w:iCs/>
          <w:color w:val="000000" w:themeColor="text1"/>
        </w:rPr>
        <w:t>eport</w:t>
      </w:r>
      <w:r w:rsidR="00555241" w:rsidRPr="002C0DC0">
        <w:rPr>
          <w:rFonts w:ascii="Arial" w:hAnsi="Arial" w:cs="Arial"/>
          <w:iCs/>
          <w:color w:val="000000" w:themeColor="text1"/>
        </w:rPr>
        <w:t xml:space="preserve"> </w:t>
      </w:r>
      <w:r w:rsidR="002C0DC0" w:rsidRPr="002C0DC0">
        <w:rPr>
          <w:rFonts w:ascii="Arial" w:hAnsi="Arial" w:cs="Arial"/>
          <w:color w:val="000000"/>
        </w:rPr>
        <w:t xml:space="preserve">to the European Parliament and the Council </w:t>
      </w:r>
      <w:r w:rsidR="00833167" w:rsidRPr="00685960">
        <w:rPr>
          <w:rFonts w:ascii="Arial" w:hAnsi="Arial" w:cs="Arial"/>
          <w:iCs/>
          <w:color w:val="000000" w:themeColor="text1"/>
        </w:rPr>
        <w:t>on the evaluation of the Union’s finances based on the results achieved</w:t>
      </w:r>
      <w:r w:rsidR="00543259" w:rsidRPr="00685960">
        <w:rPr>
          <w:rFonts w:ascii="Arial" w:hAnsi="Arial" w:cs="Arial"/>
          <w:iCs/>
          <w:color w:val="000000" w:themeColor="text1"/>
        </w:rPr>
        <w:t>,</w:t>
      </w:r>
      <w:r w:rsidR="004E18B4" w:rsidRPr="00685960">
        <w:rPr>
          <w:rFonts w:ascii="Arial" w:hAnsi="Arial" w:cs="Arial"/>
          <w:iCs/>
          <w:color w:val="000000" w:themeColor="text1"/>
        </w:rPr>
        <w:t xml:space="preserve"> </w:t>
      </w:r>
      <w:r w:rsidR="00245390" w:rsidRPr="00685960">
        <w:rPr>
          <w:rFonts w:ascii="Arial" w:hAnsi="Arial" w:cs="Arial"/>
          <w:iCs/>
          <w:color w:val="000000" w:themeColor="text1"/>
        </w:rPr>
        <w:t>a</w:t>
      </w:r>
      <w:r w:rsidR="00543259" w:rsidRPr="00685960">
        <w:rPr>
          <w:rFonts w:ascii="Arial" w:hAnsi="Arial" w:cs="Arial"/>
          <w:iCs/>
          <w:color w:val="000000" w:themeColor="text1"/>
        </w:rPr>
        <w:t>s required</w:t>
      </w:r>
      <w:r w:rsidR="004E18B4" w:rsidRPr="00685960">
        <w:rPr>
          <w:rFonts w:ascii="Arial" w:hAnsi="Arial" w:cs="Arial"/>
          <w:iCs/>
          <w:color w:val="000000" w:themeColor="text1"/>
        </w:rPr>
        <w:t xml:space="preserve"> </w:t>
      </w:r>
      <w:r w:rsidR="00543259" w:rsidRPr="00685960">
        <w:rPr>
          <w:rFonts w:ascii="Arial" w:hAnsi="Arial" w:cs="Arial"/>
          <w:iCs/>
          <w:color w:val="000000" w:themeColor="text1"/>
        </w:rPr>
        <w:t xml:space="preserve">under </w:t>
      </w:r>
      <w:r w:rsidR="004E18B4" w:rsidRPr="00685960">
        <w:rPr>
          <w:rFonts w:ascii="Arial" w:hAnsi="Arial" w:cs="Arial"/>
          <w:iCs/>
          <w:color w:val="000000" w:themeColor="text1"/>
        </w:rPr>
        <w:t>the Lisbon Treaty</w:t>
      </w:r>
      <w:r>
        <w:rPr>
          <w:rFonts w:ascii="Arial" w:hAnsi="Arial" w:cs="Arial"/>
          <w:iCs/>
          <w:color w:val="000000" w:themeColor="text1"/>
        </w:rPr>
        <w:t>, on the 2 July 2013</w:t>
      </w:r>
      <w:r w:rsidR="00DC1B98">
        <w:rPr>
          <w:rFonts w:ascii="Arial" w:hAnsi="Arial" w:cs="Arial"/>
          <w:iCs/>
          <w:color w:val="000000" w:themeColor="text1"/>
        </w:rPr>
        <w:t xml:space="preserve">. </w:t>
      </w:r>
    </w:p>
    <w:p w:rsidR="002C0DC0" w:rsidRPr="002C0DC0" w:rsidRDefault="002C0DC0" w:rsidP="00072B21">
      <w:pPr>
        <w:ind w:left="360"/>
        <w:jc w:val="both"/>
        <w:rPr>
          <w:rFonts w:ascii="Arial" w:hAnsi="Arial" w:cs="Arial"/>
          <w:iCs/>
          <w:color w:val="000000" w:themeColor="text1"/>
        </w:rPr>
      </w:pPr>
    </w:p>
    <w:p w:rsidR="00FC1F50" w:rsidRPr="00FC1F50" w:rsidRDefault="005F217D" w:rsidP="00FC1F50">
      <w:pPr>
        <w:numPr>
          <w:ilvl w:val="0"/>
          <w:numId w:val="1"/>
        </w:numPr>
        <w:tabs>
          <w:tab w:val="clear" w:pos="720"/>
          <w:tab w:val="num" w:pos="360"/>
        </w:tabs>
        <w:ind w:left="360"/>
        <w:jc w:val="both"/>
        <w:rPr>
          <w:rFonts w:ascii="Arial" w:hAnsi="Arial" w:cs="Arial"/>
          <w:iCs/>
          <w:color w:val="000000" w:themeColor="text1"/>
        </w:rPr>
      </w:pPr>
      <w:r>
        <w:rPr>
          <w:rFonts w:ascii="Arial" w:hAnsi="Arial" w:cs="Arial"/>
        </w:rPr>
        <w:t xml:space="preserve">Based on suggestions made by the Discharge Authority and the European Court of Auditors </w:t>
      </w:r>
      <w:r w:rsidR="00EC6CDD">
        <w:rPr>
          <w:rFonts w:ascii="Arial" w:hAnsi="Arial" w:cs="Arial"/>
        </w:rPr>
        <w:t xml:space="preserve">(ECA) </w:t>
      </w:r>
      <w:r w:rsidR="006B6457">
        <w:rPr>
          <w:rFonts w:ascii="Arial" w:hAnsi="Arial" w:cs="Arial"/>
        </w:rPr>
        <w:t>in response to previous reports</w:t>
      </w:r>
      <w:r>
        <w:rPr>
          <w:rFonts w:ascii="Arial" w:hAnsi="Arial" w:cs="Arial"/>
        </w:rPr>
        <w:t xml:space="preserve">, the Commission has responded </w:t>
      </w:r>
      <w:r w:rsidR="00FF3BEB">
        <w:rPr>
          <w:rFonts w:ascii="Arial" w:hAnsi="Arial" w:cs="Arial"/>
        </w:rPr>
        <w:t xml:space="preserve">to </w:t>
      </w:r>
      <w:r>
        <w:rPr>
          <w:rFonts w:ascii="Arial" w:hAnsi="Arial" w:cs="Arial"/>
        </w:rPr>
        <w:t xml:space="preserve">the </w:t>
      </w:r>
      <w:r w:rsidR="008B34AC" w:rsidRPr="00C75686">
        <w:rPr>
          <w:rFonts w:ascii="Arial" w:hAnsi="Arial" w:cs="Arial"/>
          <w:iCs/>
          <w:color w:val="000000" w:themeColor="text1"/>
        </w:rPr>
        <w:t>monitoring and e</w:t>
      </w:r>
      <w:r w:rsidR="008B34AC">
        <w:rPr>
          <w:rFonts w:ascii="Arial" w:hAnsi="Arial" w:cs="Arial"/>
          <w:iCs/>
          <w:color w:val="000000" w:themeColor="text1"/>
        </w:rPr>
        <w:t xml:space="preserve">valuation frameworks </w:t>
      </w:r>
      <w:r w:rsidR="00EC6CDD">
        <w:rPr>
          <w:rFonts w:ascii="Arial" w:hAnsi="Arial" w:cs="Arial"/>
          <w:iCs/>
          <w:color w:val="000000" w:themeColor="text1"/>
        </w:rPr>
        <w:t>under</w:t>
      </w:r>
      <w:r w:rsidR="008B34AC">
        <w:rPr>
          <w:rFonts w:ascii="Arial" w:hAnsi="Arial" w:cs="Arial"/>
          <w:iCs/>
          <w:color w:val="000000" w:themeColor="text1"/>
        </w:rPr>
        <w:t xml:space="preserve"> </w:t>
      </w:r>
      <w:r>
        <w:rPr>
          <w:rFonts w:ascii="Arial" w:hAnsi="Arial" w:cs="Arial"/>
          <w:iCs/>
          <w:color w:val="000000" w:themeColor="text1"/>
        </w:rPr>
        <w:t xml:space="preserve">the </w:t>
      </w:r>
      <w:r w:rsidR="00FF3BEB">
        <w:rPr>
          <w:rFonts w:ascii="Arial" w:hAnsi="Arial" w:cs="Arial"/>
          <w:iCs/>
          <w:color w:val="000000" w:themeColor="text1"/>
        </w:rPr>
        <w:t xml:space="preserve">current </w:t>
      </w:r>
      <w:r>
        <w:rPr>
          <w:rFonts w:ascii="Arial" w:hAnsi="Arial" w:cs="Arial"/>
          <w:iCs/>
          <w:color w:val="000000" w:themeColor="text1"/>
        </w:rPr>
        <w:t>Multi</w:t>
      </w:r>
      <w:r w:rsidR="00FD1468">
        <w:rPr>
          <w:rFonts w:ascii="Arial" w:hAnsi="Arial" w:cs="Arial"/>
          <w:iCs/>
          <w:color w:val="000000" w:themeColor="text1"/>
        </w:rPr>
        <w:t>-annual</w:t>
      </w:r>
      <w:r w:rsidRPr="00C75686">
        <w:rPr>
          <w:rFonts w:ascii="Arial" w:hAnsi="Arial" w:cs="Arial"/>
          <w:iCs/>
          <w:color w:val="000000" w:themeColor="text1"/>
        </w:rPr>
        <w:t xml:space="preserve"> Financial Framework </w:t>
      </w:r>
      <w:r>
        <w:rPr>
          <w:rFonts w:ascii="Arial" w:hAnsi="Arial" w:cs="Arial"/>
          <w:iCs/>
          <w:color w:val="000000" w:themeColor="text1"/>
        </w:rPr>
        <w:t xml:space="preserve">(MFF) </w:t>
      </w:r>
      <w:r w:rsidR="008B34AC">
        <w:rPr>
          <w:rFonts w:ascii="Arial" w:hAnsi="Arial" w:cs="Arial"/>
          <w:iCs/>
          <w:color w:val="000000" w:themeColor="text1"/>
        </w:rPr>
        <w:t>2007-</w:t>
      </w:r>
      <w:r w:rsidR="00072B21">
        <w:rPr>
          <w:rFonts w:ascii="Arial" w:hAnsi="Arial" w:cs="Arial"/>
          <w:iCs/>
          <w:color w:val="000000" w:themeColor="text1"/>
        </w:rPr>
        <w:t>20</w:t>
      </w:r>
      <w:r w:rsidR="008B34AC">
        <w:rPr>
          <w:rFonts w:ascii="Arial" w:hAnsi="Arial" w:cs="Arial"/>
          <w:iCs/>
          <w:color w:val="000000" w:themeColor="text1"/>
        </w:rPr>
        <w:t xml:space="preserve">13 </w:t>
      </w:r>
      <w:r>
        <w:rPr>
          <w:rFonts w:ascii="Arial" w:hAnsi="Arial" w:cs="Arial"/>
          <w:iCs/>
          <w:color w:val="000000" w:themeColor="text1"/>
        </w:rPr>
        <w:t xml:space="preserve">and </w:t>
      </w:r>
      <w:r w:rsidR="008B34AC">
        <w:rPr>
          <w:rFonts w:ascii="Arial" w:hAnsi="Arial" w:cs="Arial"/>
          <w:iCs/>
          <w:color w:val="000000" w:themeColor="text1"/>
        </w:rPr>
        <w:t xml:space="preserve">also moves in the direction envisaged for </w:t>
      </w:r>
      <w:r w:rsidR="006B6457">
        <w:rPr>
          <w:rFonts w:ascii="Arial" w:hAnsi="Arial" w:cs="Arial"/>
          <w:iCs/>
          <w:color w:val="000000" w:themeColor="text1"/>
        </w:rPr>
        <w:t>the r</w:t>
      </w:r>
      <w:r w:rsidR="008B34AC">
        <w:rPr>
          <w:rFonts w:ascii="Arial" w:hAnsi="Arial" w:cs="Arial"/>
          <w:iCs/>
          <w:color w:val="000000" w:themeColor="text1"/>
        </w:rPr>
        <w:t xml:space="preserve">eport under the next </w:t>
      </w:r>
      <w:r w:rsidR="00FF3BEB">
        <w:rPr>
          <w:rFonts w:ascii="Arial" w:hAnsi="Arial" w:cs="Arial"/>
          <w:iCs/>
          <w:color w:val="000000" w:themeColor="text1"/>
        </w:rPr>
        <w:t>MF</w:t>
      </w:r>
      <w:r w:rsidR="00290197">
        <w:rPr>
          <w:rFonts w:ascii="Arial" w:hAnsi="Arial" w:cs="Arial"/>
          <w:iCs/>
          <w:color w:val="000000" w:themeColor="text1"/>
        </w:rPr>
        <w:t>F</w:t>
      </w:r>
      <w:r w:rsidR="00904A28" w:rsidRPr="00904A28">
        <w:rPr>
          <w:rFonts w:ascii="Arial" w:hAnsi="Arial" w:cs="Arial"/>
        </w:rPr>
        <w:t>.</w:t>
      </w:r>
      <w:r w:rsidR="00FC1F50">
        <w:rPr>
          <w:rFonts w:ascii="Arial" w:hAnsi="Arial" w:cs="Arial"/>
          <w:iCs/>
          <w:color w:val="000000" w:themeColor="text1"/>
        </w:rPr>
        <w:t xml:space="preserve"> </w:t>
      </w:r>
      <w:r w:rsidR="00072B21" w:rsidRPr="00FC1F50">
        <w:rPr>
          <w:rFonts w:ascii="Arial" w:hAnsi="Arial" w:cs="Arial"/>
        </w:rPr>
        <w:t>This r</w:t>
      </w:r>
      <w:r w:rsidR="00904A28" w:rsidRPr="00FC1F50">
        <w:rPr>
          <w:rFonts w:ascii="Arial" w:hAnsi="Arial" w:cs="Arial"/>
        </w:rPr>
        <w:t xml:space="preserve">eport </w:t>
      </w:r>
      <w:r w:rsidR="00186861">
        <w:rPr>
          <w:rFonts w:ascii="Arial" w:hAnsi="Arial" w:cs="Arial"/>
        </w:rPr>
        <w:t>differs</w:t>
      </w:r>
      <w:r w:rsidR="00904A28" w:rsidRPr="0062411F">
        <w:rPr>
          <w:rFonts w:ascii="Arial" w:hAnsi="Arial" w:cs="Arial"/>
        </w:rPr>
        <w:t xml:space="preserve"> from </w:t>
      </w:r>
      <w:r w:rsidR="00072B21" w:rsidRPr="0062411F">
        <w:rPr>
          <w:rFonts w:ascii="Arial" w:hAnsi="Arial" w:cs="Arial"/>
        </w:rPr>
        <w:t xml:space="preserve">the </w:t>
      </w:r>
      <w:r w:rsidR="00B63DFC" w:rsidRPr="0062411F">
        <w:rPr>
          <w:rFonts w:ascii="Arial" w:hAnsi="Arial" w:cs="Arial"/>
        </w:rPr>
        <w:t xml:space="preserve">previous </w:t>
      </w:r>
      <w:r w:rsidR="00186861">
        <w:rPr>
          <w:rFonts w:ascii="Arial" w:hAnsi="Arial" w:cs="Arial"/>
        </w:rPr>
        <w:t>a</w:t>
      </w:r>
      <w:r w:rsidR="00B529C2">
        <w:rPr>
          <w:rFonts w:ascii="Arial" w:hAnsi="Arial" w:cs="Arial"/>
        </w:rPr>
        <w:t>s</w:t>
      </w:r>
      <w:r w:rsidR="00904A28" w:rsidRPr="0062411F">
        <w:rPr>
          <w:rFonts w:ascii="Arial" w:hAnsi="Arial" w:cs="Arial"/>
        </w:rPr>
        <w:t xml:space="preserve"> it is published much earlier in the year to align it with the adoption of the Synthesis Report and to ensure that it is available </w:t>
      </w:r>
      <w:r w:rsidR="0062411F" w:rsidRPr="0062411F">
        <w:rPr>
          <w:rFonts w:ascii="Arial" w:hAnsi="Arial" w:cs="Arial"/>
        </w:rPr>
        <w:t>for</w:t>
      </w:r>
      <w:r w:rsidR="00904A28" w:rsidRPr="0062411F">
        <w:rPr>
          <w:rFonts w:ascii="Arial" w:hAnsi="Arial" w:cs="Arial"/>
        </w:rPr>
        <w:t xml:space="preserve"> the Discharge Authority and the ECA </w:t>
      </w:r>
      <w:r w:rsidR="0062411F" w:rsidRPr="0062411F">
        <w:rPr>
          <w:rFonts w:ascii="Arial" w:hAnsi="Arial" w:cs="Arial"/>
        </w:rPr>
        <w:t>ahead of the 2012 D</w:t>
      </w:r>
      <w:r w:rsidR="00904A28" w:rsidRPr="0062411F">
        <w:rPr>
          <w:rFonts w:ascii="Arial" w:hAnsi="Arial" w:cs="Arial"/>
        </w:rPr>
        <w:t xml:space="preserve">ischarge </w:t>
      </w:r>
      <w:r w:rsidR="0062411F" w:rsidRPr="0062411F">
        <w:rPr>
          <w:rFonts w:ascii="Arial" w:hAnsi="Arial" w:cs="Arial"/>
        </w:rPr>
        <w:t>process.</w:t>
      </w:r>
      <w:r w:rsidR="00FC1F50" w:rsidRPr="00FC1F50">
        <w:rPr>
          <w:rFonts w:ascii="Arial" w:hAnsi="Arial" w:cs="Arial"/>
        </w:rPr>
        <w:t xml:space="preserve"> </w:t>
      </w:r>
    </w:p>
    <w:p w:rsidR="00FC1F50" w:rsidRDefault="00FC1F50" w:rsidP="00FC1F50">
      <w:pPr>
        <w:pStyle w:val="ListParagraph"/>
        <w:rPr>
          <w:rFonts w:ascii="Arial" w:hAnsi="Arial" w:cs="Arial"/>
        </w:rPr>
      </w:pPr>
    </w:p>
    <w:p w:rsidR="00904A28" w:rsidRPr="00FC1F50" w:rsidRDefault="00FC1F50" w:rsidP="00FC1F50">
      <w:pPr>
        <w:numPr>
          <w:ilvl w:val="0"/>
          <w:numId w:val="1"/>
        </w:numPr>
        <w:tabs>
          <w:tab w:val="clear" w:pos="720"/>
          <w:tab w:val="num" w:pos="360"/>
        </w:tabs>
        <w:ind w:left="360"/>
        <w:jc w:val="both"/>
        <w:rPr>
          <w:rFonts w:ascii="Arial" w:hAnsi="Arial" w:cs="Arial"/>
          <w:iCs/>
          <w:color w:val="000000" w:themeColor="text1"/>
        </w:rPr>
      </w:pPr>
      <w:r w:rsidRPr="00FC1F50">
        <w:rPr>
          <w:rFonts w:ascii="Arial" w:hAnsi="Arial" w:cs="Arial"/>
        </w:rPr>
        <w:t>The report</w:t>
      </w:r>
      <w:r w:rsidR="00904A28" w:rsidRPr="00FC1F50">
        <w:rPr>
          <w:rFonts w:ascii="Arial" w:hAnsi="Arial" w:cs="Arial"/>
        </w:rPr>
        <w:t xml:space="preserve"> covers EU programmes from all areas of expenditure </w:t>
      </w:r>
      <w:r w:rsidR="00290197" w:rsidRPr="00FC1F50">
        <w:rPr>
          <w:rFonts w:ascii="Arial" w:hAnsi="Arial" w:cs="Arial"/>
        </w:rPr>
        <w:t>under</w:t>
      </w:r>
      <w:r w:rsidR="003F263D">
        <w:rPr>
          <w:rFonts w:ascii="Arial" w:hAnsi="Arial" w:cs="Arial"/>
        </w:rPr>
        <w:t xml:space="preserve"> the current MFF</w:t>
      </w:r>
      <w:r w:rsidR="00731498">
        <w:rPr>
          <w:rFonts w:ascii="Arial" w:hAnsi="Arial" w:cs="Arial"/>
        </w:rPr>
        <w:t xml:space="preserve"> and</w:t>
      </w:r>
      <w:r w:rsidR="003F263D">
        <w:rPr>
          <w:rFonts w:ascii="Arial" w:hAnsi="Arial" w:cs="Arial"/>
        </w:rPr>
        <w:t xml:space="preserve"> </w:t>
      </w:r>
      <w:r w:rsidR="00904A28" w:rsidRPr="00FC1F50">
        <w:rPr>
          <w:rFonts w:ascii="Arial" w:hAnsi="Arial" w:cs="Arial"/>
        </w:rPr>
        <w:t>the results of external programmes (Heading 4)</w:t>
      </w:r>
      <w:r w:rsidR="00B529C2">
        <w:rPr>
          <w:rFonts w:ascii="Arial" w:hAnsi="Arial" w:cs="Arial"/>
        </w:rPr>
        <w:t>,</w:t>
      </w:r>
      <w:r w:rsidR="00904A28" w:rsidRPr="00FC1F50">
        <w:rPr>
          <w:rFonts w:ascii="Arial" w:hAnsi="Arial" w:cs="Arial"/>
        </w:rPr>
        <w:t xml:space="preserve"> with</w:t>
      </w:r>
      <w:r w:rsidR="003F263D">
        <w:rPr>
          <w:rFonts w:ascii="Arial" w:hAnsi="Arial" w:cs="Arial"/>
        </w:rPr>
        <w:t xml:space="preserve"> information on the</w:t>
      </w:r>
      <w:r w:rsidR="00904A28" w:rsidRPr="00FC1F50">
        <w:rPr>
          <w:rFonts w:ascii="Arial" w:hAnsi="Arial" w:cs="Arial"/>
        </w:rPr>
        <w:t xml:space="preserve"> progress towards achieving EU 2020 flagship initiatives highlighted where </w:t>
      </w:r>
      <w:r w:rsidR="00904A28" w:rsidRPr="003F263D">
        <w:rPr>
          <w:rFonts w:ascii="Arial" w:hAnsi="Arial" w:cs="Arial"/>
        </w:rPr>
        <w:t>possible</w:t>
      </w:r>
      <w:r w:rsidR="003F263D" w:rsidRPr="003F263D">
        <w:rPr>
          <w:rFonts w:ascii="Arial" w:hAnsi="Arial" w:cs="Arial"/>
        </w:rPr>
        <w:t xml:space="preserve">. Other sources, such as </w:t>
      </w:r>
      <w:r w:rsidR="00904A28" w:rsidRPr="003F263D">
        <w:rPr>
          <w:rFonts w:ascii="Arial" w:hAnsi="Arial" w:cs="Arial"/>
        </w:rPr>
        <w:t>performance-related information</w:t>
      </w:r>
      <w:r w:rsidR="00B529C2">
        <w:rPr>
          <w:rFonts w:ascii="Arial" w:hAnsi="Arial" w:cs="Arial"/>
        </w:rPr>
        <w:t>,</w:t>
      </w:r>
      <w:r w:rsidR="00904A28" w:rsidRPr="003F263D">
        <w:rPr>
          <w:rFonts w:ascii="Arial" w:hAnsi="Arial" w:cs="Arial"/>
        </w:rPr>
        <w:t xml:space="preserve"> </w:t>
      </w:r>
      <w:r w:rsidR="003F263D" w:rsidRPr="003F263D">
        <w:rPr>
          <w:rFonts w:ascii="Arial" w:hAnsi="Arial" w:cs="Arial"/>
        </w:rPr>
        <w:t>and</w:t>
      </w:r>
      <w:r w:rsidR="00904A28" w:rsidRPr="003F263D">
        <w:rPr>
          <w:rFonts w:ascii="Arial" w:hAnsi="Arial" w:cs="Arial"/>
        </w:rPr>
        <w:t xml:space="preserve"> results </w:t>
      </w:r>
      <w:r w:rsidR="003F263D" w:rsidRPr="003F263D">
        <w:rPr>
          <w:rFonts w:ascii="Arial" w:hAnsi="Arial" w:cs="Arial"/>
        </w:rPr>
        <w:t xml:space="preserve">from separate </w:t>
      </w:r>
      <w:r w:rsidR="00904A28" w:rsidRPr="003F263D">
        <w:rPr>
          <w:rFonts w:ascii="Arial" w:hAnsi="Arial" w:cs="Arial"/>
        </w:rPr>
        <w:t>evaluations</w:t>
      </w:r>
      <w:r w:rsidR="003F263D" w:rsidRPr="003F263D">
        <w:rPr>
          <w:rFonts w:ascii="Arial" w:hAnsi="Arial" w:cs="Arial"/>
        </w:rPr>
        <w:t xml:space="preserve"> are also used where appropriate.</w:t>
      </w:r>
    </w:p>
    <w:p w:rsidR="00290197" w:rsidRPr="00FC1F50" w:rsidRDefault="00290197" w:rsidP="00FC1F50">
      <w:pPr>
        <w:jc w:val="both"/>
        <w:rPr>
          <w:rFonts w:ascii="Arial" w:hAnsi="Arial" w:cs="Arial"/>
        </w:rPr>
      </w:pPr>
    </w:p>
    <w:p w:rsidR="00432F4B" w:rsidRPr="00290197" w:rsidRDefault="00290197" w:rsidP="00072B21">
      <w:pPr>
        <w:numPr>
          <w:ilvl w:val="0"/>
          <w:numId w:val="1"/>
        </w:numPr>
        <w:tabs>
          <w:tab w:val="clear" w:pos="720"/>
          <w:tab w:val="num" w:pos="360"/>
        </w:tabs>
        <w:ind w:left="360"/>
        <w:jc w:val="both"/>
        <w:rPr>
          <w:rFonts w:ascii="Arial" w:hAnsi="Arial" w:cs="Arial"/>
          <w:iCs/>
          <w:color w:val="000000" w:themeColor="text1"/>
        </w:rPr>
      </w:pPr>
      <w:r>
        <w:rPr>
          <w:rFonts w:ascii="Arial" w:hAnsi="Arial" w:cs="Arial"/>
        </w:rPr>
        <w:t xml:space="preserve">The </w:t>
      </w:r>
      <w:r w:rsidR="00904A28" w:rsidRPr="00904A28">
        <w:rPr>
          <w:rFonts w:ascii="Arial" w:hAnsi="Arial" w:cs="Arial"/>
        </w:rPr>
        <w:t xml:space="preserve">Report is accompanied by two Commission Working Documents: an Action Plan setting out provisional planning for the further development of the Report; and a comprehensive overview of 130 evaluations concern expenditure programmes completed in 2012. </w:t>
      </w:r>
      <w:r w:rsidR="00731498">
        <w:rPr>
          <w:rFonts w:ascii="Arial" w:hAnsi="Arial" w:cs="Arial"/>
        </w:rPr>
        <w:t>.</w:t>
      </w:r>
    </w:p>
    <w:p w:rsidR="00290197" w:rsidRPr="00290197" w:rsidRDefault="00290197" w:rsidP="00072B21">
      <w:pPr>
        <w:jc w:val="both"/>
        <w:rPr>
          <w:rFonts w:ascii="Arial" w:hAnsi="Arial" w:cs="Arial"/>
          <w:iCs/>
          <w:color w:val="000000" w:themeColor="text1"/>
        </w:rPr>
      </w:pPr>
    </w:p>
    <w:p w:rsidR="00C54993" w:rsidRDefault="00C54993" w:rsidP="00731498">
      <w:pPr>
        <w:pStyle w:val="ListParagraph"/>
        <w:numPr>
          <w:ilvl w:val="0"/>
          <w:numId w:val="11"/>
        </w:numPr>
        <w:jc w:val="both"/>
        <w:rPr>
          <w:rFonts w:ascii="Arial" w:hAnsi="Arial" w:cs="Arial"/>
          <w:b/>
        </w:rPr>
      </w:pPr>
      <w:r w:rsidRPr="00731498">
        <w:rPr>
          <w:rFonts w:ascii="Arial" w:hAnsi="Arial" w:cs="Arial"/>
          <w:b/>
        </w:rPr>
        <w:t>Action to improve monitoring reporting and evaluation</w:t>
      </w:r>
    </w:p>
    <w:p w:rsidR="00731498" w:rsidRPr="00731498" w:rsidRDefault="00731498" w:rsidP="00731498">
      <w:pPr>
        <w:pStyle w:val="ListParagraph"/>
        <w:jc w:val="both"/>
        <w:rPr>
          <w:rFonts w:ascii="Arial" w:hAnsi="Arial" w:cs="Arial"/>
          <w:b/>
        </w:rPr>
      </w:pPr>
    </w:p>
    <w:p w:rsidR="00C20EE7" w:rsidRPr="00C20EE7" w:rsidRDefault="00290197" w:rsidP="00731498">
      <w:pPr>
        <w:numPr>
          <w:ilvl w:val="0"/>
          <w:numId w:val="12"/>
        </w:numPr>
        <w:jc w:val="both"/>
        <w:rPr>
          <w:rFonts w:ascii="Arial" w:hAnsi="Arial" w:cs="Arial"/>
          <w:iCs/>
          <w:color w:val="000000" w:themeColor="text1"/>
        </w:rPr>
      </w:pPr>
      <w:r>
        <w:rPr>
          <w:rFonts w:ascii="Arial" w:hAnsi="Arial" w:cs="Arial"/>
        </w:rPr>
        <w:t xml:space="preserve">The Commission </w:t>
      </w:r>
      <w:r w:rsidR="00981C72">
        <w:rPr>
          <w:rFonts w:ascii="Arial" w:hAnsi="Arial" w:cs="Arial"/>
        </w:rPr>
        <w:t>reiterates</w:t>
      </w:r>
      <w:r w:rsidR="001E5720">
        <w:rPr>
          <w:rFonts w:ascii="Arial" w:hAnsi="Arial" w:cs="Arial"/>
        </w:rPr>
        <w:t xml:space="preserve"> </w:t>
      </w:r>
      <w:r w:rsidR="00981C72">
        <w:rPr>
          <w:rFonts w:ascii="Arial" w:hAnsi="Arial" w:cs="Arial"/>
        </w:rPr>
        <w:t xml:space="preserve">its </w:t>
      </w:r>
      <w:r w:rsidR="00162B5C" w:rsidRPr="0092555D">
        <w:rPr>
          <w:rFonts w:ascii="Arial" w:hAnsi="Arial" w:cs="Arial"/>
        </w:rPr>
        <w:t xml:space="preserve">proposal for </w:t>
      </w:r>
      <w:r w:rsidR="00981C72">
        <w:rPr>
          <w:rFonts w:ascii="Arial" w:hAnsi="Arial" w:cs="Arial"/>
        </w:rPr>
        <w:t xml:space="preserve">performance management in </w:t>
      </w:r>
      <w:r w:rsidR="00162B5C" w:rsidRPr="0092555D">
        <w:rPr>
          <w:rFonts w:ascii="Arial" w:hAnsi="Arial" w:cs="Arial"/>
        </w:rPr>
        <w:t xml:space="preserve">the next </w:t>
      </w:r>
      <w:r w:rsidR="005E4E6D">
        <w:rPr>
          <w:rFonts w:ascii="Arial" w:hAnsi="Arial" w:cs="Arial"/>
        </w:rPr>
        <w:t xml:space="preserve">set of programmes over </w:t>
      </w:r>
      <w:r w:rsidR="003A149B">
        <w:rPr>
          <w:rFonts w:ascii="Arial" w:hAnsi="Arial" w:cs="Arial"/>
        </w:rPr>
        <w:t xml:space="preserve">the </w:t>
      </w:r>
      <w:r w:rsidR="00C20EE7">
        <w:rPr>
          <w:rFonts w:ascii="Arial" w:hAnsi="Arial" w:cs="Arial"/>
        </w:rPr>
        <w:t>new</w:t>
      </w:r>
      <w:r w:rsidR="003A149B">
        <w:rPr>
          <w:rFonts w:ascii="Arial" w:hAnsi="Arial" w:cs="Arial"/>
        </w:rPr>
        <w:t xml:space="preserve"> MFF </w:t>
      </w:r>
      <w:r w:rsidR="00C20EE7">
        <w:rPr>
          <w:rFonts w:ascii="Arial" w:hAnsi="Arial" w:cs="Arial"/>
        </w:rPr>
        <w:t xml:space="preserve">period </w:t>
      </w:r>
      <w:r w:rsidR="00162B5C" w:rsidRPr="0092555D">
        <w:rPr>
          <w:rFonts w:ascii="Arial" w:hAnsi="Arial" w:cs="Arial"/>
        </w:rPr>
        <w:t>will focus on</w:t>
      </w:r>
      <w:r w:rsidR="00C20EE7">
        <w:rPr>
          <w:rFonts w:ascii="Arial" w:hAnsi="Arial" w:cs="Arial"/>
        </w:rPr>
        <w:t>:</w:t>
      </w:r>
    </w:p>
    <w:p w:rsidR="00C20EE7" w:rsidRPr="00C20EE7" w:rsidRDefault="00C20EE7" w:rsidP="00731498">
      <w:pPr>
        <w:pStyle w:val="ListParagraph"/>
        <w:numPr>
          <w:ilvl w:val="1"/>
          <w:numId w:val="12"/>
        </w:numPr>
        <w:jc w:val="both"/>
        <w:rPr>
          <w:rFonts w:ascii="Arial" w:hAnsi="Arial" w:cs="Arial"/>
          <w:iCs/>
          <w:color w:val="000000" w:themeColor="text1"/>
        </w:rPr>
      </w:pPr>
      <w:r>
        <w:rPr>
          <w:rFonts w:ascii="Arial" w:hAnsi="Arial" w:cs="Arial"/>
        </w:rPr>
        <w:t>S</w:t>
      </w:r>
      <w:r w:rsidR="00162B5C" w:rsidRPr="00C20EE7">
        <w:rPr>
          <w:rFonts w:ascii="Arial" w:hAnsi="Arial" w:cs="Arial"/>
        </w:rPr>
        <w:t>implification to facilitate and accelerate programme implementation</w:t>
      </w:r>
      <w:r>
        <w:rPr>
          <w:rFonts w:ascii="Arial" w:hAnsi="Arial" w:cs="Arial"/>
        </w:rPr>
        <w:t>;</w:t>
      </w:r>
    </w:p>
    <w:p w:rsidR="00C20EE7" w:rsidRPr="00C20EE7" w:rsidRDefault="00C20EE7" w:rsidP="00731498">
      <w:pPr>
        <w:pStyle w:val="ListParagraph"/>
        <w:numPr>
          <w:ilvl w:val="1"/>
          <w:numId w:val="12"/>
        </w:numPr>
        <w:jc w:val="both"/>
        <w:rPr>
          <w:rFonts w:ascii="Arial" w:hAnsi="Arial" w:cs="Arial"/>
          <w:iCs/>
          <w:color w:val="000000" w:themeColor="text1"/>
        </w:rPr>
      </w:pPr>
      <w:r w:rsidRPr="00C20EE7">
        <w:rPr>
          <w:rFonts w:ascii="Arial" w:hAnsi="Arial" w:cs="Arial"/>
        </w:rPr>
        <w:t>Improvements to</w:t>
      </w:r>
      <w:r w:rsidR="00162B5C" w:rsidRPr="00C20EE7">
        <w:rPr>
          <w:rFonts w:ascii="Arial" w:hAnsi="Arial" w:cs="Arial"/>
        </w:rPr>
        <w:t xml:space="preserve"> </w:t>
      </w:r>
      <w:r w:rsidR="0092555D" w:rsidRPr="00C20EE7">
        <w:rPr>
          <w:rFonts w:ascii="Arial" w:hAnsi="Arial" w:cs="Arial"/>
        </w:rPr>
        <w:t>monitoring</w:t>
      </w:r>
      <w:r>
        <w:rPr>
          <w:rFonts w:ascii="Arial" w:hAnsi="Arial" w:cs="Arial"/>
        </w:rPr>
        <w:t xml:space="preserve"> of progress, </w:t>
      </w:r>
      <w:r w:rsidR="00162B5C" w:rsidRPr="00C20EE7">
        <w:rPr>
          <w:rFonts w:ascii="Arial" w:hAnsi="Arial" w:cs="Arial"/>
        </w:rPr>
        <w:t>to ensure improved</w:t>
      </w:r>
      <w:r>
        <w:rPr>
          <w:rFonts w:ascii="Arial" w:hAnsi="Arial" w:cs="Arial"/>
        </w:rPr>
        <w:t xml:space="preserve"> identification of delays and difficulties and q</w:t>
      </w:r>
      <w:r w:rsidR="0092555D" w:rsidRPr="00C20EE7">
        <w:rPr>
          <w:rFonts w:ascii="Arial" w:hAnsi="Arial" w:cs="Arial"/>
        </w:rPr>
        <w:t>uicker actions to remedy deficiencies</w:t>
      </w:r>
      <w:r w:rsidR="00162B5C" w:rsidRPr="00C20EE7">
        <w:rPr>
          <w:rFonts w:ascii="Arial" w:hAnsi="Arial" w:cs="Arial"/>
        </w:rPr>
        <w:t>)</w:t>
      </w:r>
      <w:r>
        <w:rPr>
          <w:rFonts w:ascii="Arial" w:hAnsi="Arial" w:cs="Arial"/>
        </w:rPr>
        <w:t>; and</w:t>
      </w:r>
    </w:p>
    <w:p w:rsidR="00C20EE7" w:rsidRPr="00C20EE7" w:rsidRDefault="00C20EE7" w:rsidP="00731498">
      <w:pPr>
        <w:pStyle w:val="ListParagraph"/>
        <w:numPr>
          <w:ilvl w:val="1"/>
          <w:numId w:val="12"/>
        </w:numPr>
        <w:jc w:val="both"/>
        <w:rPr>
          <w:rFonts w:ascii="Arial" w:hAnsi="Arial" w:cs="Arial"/>
          <w:iCs/>
          <w:color w:val="000000" w:themeColor="text1"/>
        </w:rPr>
      </w:pPr>
      <w:r>
        <w:rPr>
          <w:rFonts w:ascii="Arial" w:hAnsi="Arial" w:cs="Arial"/>
        </w:rPr>
        <w:t>I</w:t>
      </w:r>
      <w:r w:rsidR="0092555D" w:rsidRPr="00C20EE7">
        <w:rPr>
          <w:rFonts w:ascii="Arial" w:hAnsi="Arial" w:cs="Arial"/>
        </w:rPr>
        <w:t>mprove</w:t>
      </w:r>
      <w:r>
        <w:rPr>
          <w:rFonts w:ascii="Arial" w:hAnsi="Arial" w:cs="Arial"/>
        </w:rPr>
        <w:t>ments to</w:t>
      </w:r>
      <w:r w:rsidR="0092555D" w:rsidRPr="00C20EE7">
        <w:rPr>
          <w:rFonts w:ascii="Arial" w:hAnsi="Arial" w:cs="Arial"/>
        </w:rPr>
        <w:t xml:space="preserve"> evaluation and report</w:t>
      </w:r>
      <w:r>
        <w:rPr>
          <w:rFonts w:ascii="Arial" w:hAnsi="Arial" w:cs="Arial"/>
        </w:rPr>
        <w:t>ing</w:t>
      </w:r>
      <w:r w:rsidR="0092555D" w:rsidRPr="00C20EE7">
        <w:rPr>
          <w:rFonts w:ascii="Arial" w:hAnsi="Arial" w:cs="Arial"/>
        </w:rPr>
        <w:t xml:space="preserve"> on performance. </w:t>
      </w:r>
    </w:p>
    <w:p w:rsidR="00981C72" w:rsidRDefault="00981C72" w:rsidP="00C20EE7">
      <w:pPr>
        <w:jc w:val="both"/>
        <w:rPr>
          <w:rFonts w:ascii="Arial" w:hAnsi="Arial" w:cs="Arial"/>
          <w:iCs/>
          <w:color w:val="000000" w:themeColor="text1"/>
        </w:rPr>
      </w:pPr>
    </w:p>
    <w:p w:rsidR="00981C72" w:rsidRPr="00981C72" w:rsidRDefault="00981C72" w:rsidP="00731498">
      <w:pPr>
        <w:numPr>
          <w:ilvl w:val="0"/>
          <w:numId w:val="12"/>
        </w:numPr>
        <w:jc w:val="both"/>
        <w:rPr>
          <w:rFonts w:ascii="Arial" w:hAnsi="Arial" w:cs="Arial"/>
          <w:iCs/>
          <w:color w:val="000000" w:themeColor="text1"/>
        </w:rPr>
      </w:pPr>
      <w:r>
        <w:rPr>
          <w:rFonts w:ascii="Arial" w:hAnsi="Arial" w:cs="Arial"/>
        </w:rPr>
        <w:t>I</w:t>
      </w:r>
      <w:r w:rsidRPr="00981C72">
        <w:rPr>
          <w:rFonts w:ascii="Arial" w:hAnsi="Arial" w:cs="Arial"/>
        </w:rPr>
        <w:t>n the context of its Smart Regulation agenda, the Commission is working on a revi</w:t>
      </w:r>
      <w:r>
        <w:rPr>
          <w:rFonts w:ascii="Arial" w:hAnsi="Arial" w:cs="Arial"/>
        </w:rPr>
        <w:t>ew of its policy on evaluation, and plans to</w:t>
      </w:r>
      <w:r w:rsidRPr="00981C72">
        <w:rPr>
          <w:rFonts w:ascii="Arial" w:hAnsi="Arial" w:cs="Arial"/>
        </w:rPr>
        <w:t xml:space="preserve"> hold a public consultation la</w:t>
      </w:r>
      <w:r>
        <w:rPr>
          <w:rFonts w:ascii="Arial" w:hAnsi="Arial" w:cs="Arial"/>
        </w:rPr>
        <w:t>ter this year with a view to adopting</w:t>
      </w:r>
      <w:r w:rsidRPr="00981C72">
        <w:rPr>
          <w:rFonts w:ascii="Arial" w:hAnsi="Arial" w:cs="Arial"/>
        </w:rPr>
        <w:t xml:space="preserve"> conclusions reached around the end of the year. The </w:t>
      </w:r>
      <w:r>
        <w:rPr>
          <w:rFonts w:ascii="Arial" w:hAnsi="Arial" w:cs="Arial"/>
        </w:rPr>
        <w:t>Commission is of the view that the outcome of this</w:t>
      </w:r>
      <w:r w:rsidRPr="00981C72">
        <w:rPr>
          <w:rFonts w:ascii="Arial" w:hAnsi="Arial" w:cs="Arial"/>
        </w:rPr>
        <w:t xml:space="preserve"> should make a further contribution to improved reporting on the progress, efficiency, effectiveness and added value of EU actions in achieving impacts on the economy and society.</w:t>
      </w:r>
    </w:p>
    <w:p w:rsidR="005E4E6D" w:rsidRDefault="005E4E6D" w:rsidP="00072B21">
      <w:pPr>
        <w:jc w:val="both"/>
        <w:rPr>
          <w:rFonts w:ascii="Arial" w:hAnsi="Arial" w:cs="Arial"/>
          <w:iCs/>
          <w:color w:val="000000" w:themeColor="text1"/>
        </w:rPr>
      </w:pPr>
    </w:p>
    <w:p w:rsidR="00731B4B" w:rsidRDefault="005E4E6D" w:rsidP="00731498">
      <w:pPr>
        <w:pStyle w:val="ListParagraph"/>
        <w:numPr>
          <w:ilvl w:val="0"/>
          <w:numId w:val="11"/>
        </w:numPr>
        <w:jc w:val="both"/>
        <w:rPr>
          <w:rFonts w:ascii="Arial" w:hAnsi="Arial" w:cs="Arial"/>
          <w:b/>
        </w:rPr>
      </w:pPr>
      <w:r w:rsidRPr="00731498">
        <w:rPr>
          <w:rFonts w:ascii="Arial" w:hAnsi="Arial" w:cs="Arial"/>
          <w:b/>
        </w:rPr>
        <w:t>Overview of results achieved</w:t>
      </w:r>
    </w:p>
    <w:p w:rsidR="00731498" w:rsidRPr="00731498" w:rsidRDefault="00731498" w:rsidP="00731498">
      <w:pPr>
        <w:pStyle w:val="ListParagraph"/>
        <w:jc w:val="both"/>
        <w:rPr>
          <w:rFonts w:ascii="Arial" w:hAnsi="Arial" w:cs="Arial"/>
          <w:b/>
        </w:rPr>
      </w:pPr>
    </w:p>
    <w:p w:rsidR="00731B4B" w:rsidRPr="00731498" w:rsidRDefault="002720D0" w:rsidP="00731498">
      <w:pPr>
        <w:numPr>
          <w:ilvl w:val="0"/>
          <w:numId w:val="12"/>
        </w:numPr>
        <w:jc w:val="both"/>
        <w:rPr>
          <w:rFonts w:ascii="Arial" w:hAnsi="Arial" w:cs="Arial"/>
          <w:i/>
        </w:rPr>
      </w:pPr>
      <w:r w:rsidRPr="00731498">
        <w:rPr>
          <w:rFonts w:ascii="Arial" w:hAnsi="Arial" w:cs="Arial"/>
          <w:i/>
        </w:rPr>
        <w:t xml:space="preserve">The following is </w:t>
      </w:r>
      <w:r w:rsidR="00A508EC" w:rsidRPr="00731498">
        <w:rPr>
          <w:rFonts w:ascii="Arial" w:hAnsi="Arial" w:cs="Arial"/>
          <w:i/>
        </w:rPr>
        <w:t xml:space="preserve">a summary of </w:t>
      </w:r>
      <w:r w:rsidRPr="00731498">
        <w:rPr>
          <w:rFonts w:ascii="Arial" w:hAnsi="Arial" w:cs="Arial"/>
          <w:i/>
        </w:rPr>
        <w:t>t</w:t>
      </w:r>
      <w:r w:rsidR="00731B4B" w:rsidRPr="00731498">
        <w:rPr>
          <w:rFonts w:ascii="Arial" w:hAnsi="Arial" w:cs="Arial"/>
          <w:i/>
        </w:rPr>
        <w:t xml:space="preserve">he Commission’s evaluation </w:t>
      </w:r>
      <w:r w:rsidRPr="00731498">
        <w:rPr>
          <w:rFonts w:ascii="Arial" w:hAnsi="Arial" w:cs="Arial"/>
          <w:i/>
        </w:rPr>
        <w:t>of the</w:t>
      </w:r>
      <w:r w:rsidR="00731B4B" w:rsidRPr="00731498">
        <w:rPr>
          <w:rFonts w:ascii="Arial" w:hAnsi="Arial" w:cs="Arial"/>
          <w:i/>
        </w:rPr>
        <w:t xml:space="preserve"> policy areas under </w:t>
      </w:r>
      <w:r w:rsidRPr="00731498">
        <w:rPr>
          <w:rFonts w:ascii="Arial" w:hAnsi="Arial" w:cs="Arial"/>
          <w:i/>
        </w:rPr>
        <w:t>each</w:t>
      </w:r>
      <w:r w:rsidR="00731B4B" w:rsidRPr="00731498">
        <w:rPr>
          <w:rFonts w:ascii="Arial" w:hAnsi="Arial" w:cs="Arial"/>
          <w:i/>
        </w:rPr>
        <w:t xml:space="preserve"> heading</w:t>
      </w:r>
      <w:r w:rsidR="00A508EC" w:rsidRPr="00731498">
        <w:rPr>
          <w:rFonts w:ascii="Arial" w:hAnsi="Arial" w:cs="Arial"/>
          <w:i/>
        </w:rPr>
        <w:t xml:space="preserve"> as set out in the report</w:t>
      </w:r>
      <w:r w:rsidR="00731B4B" w:rsidRPr="00731498">
        <w:rPr>
          <w:rFonts w:ascii="Arial" w:hAnsi="Arial" w:cs="Arial"/>
          <w:i/>
        </w:rPr>
        <w:t>:</w:t>
      </w:r>
    </w:p>
    <w:p w:rsidR="00731B4B" w:rsidRPr="00731B4B" w:rsidRDefault="00731B4B" w:rsidP="00731B4B">
      <w:pPr>
        <w:jc w:val="both"/>
        <w:rPr>
          <w:rFonts w:ascii="Arial" w:hAnsi="Arial" w:cs="Arial"/>
          <w:iCs/>
          <w:color w:val="000000" w:themeColor="text1"/>
        </w:rPr>
      </w:pPr>
    </w:p>
    <w:p w:rsidR="005F5CB3" w:rsidRDefault="005F5CB3" w:rsidP="00731B4B">
      <w:pPr>
        <w:ind w:left="360" w:firstLine="360"/>
        <w:jc w:val="both"/>
        <w:rPr>
          <w:rFonts w:ascii="Arial" w:hAnsi="Arial" w:cs="Arial"/>
          <w:iCs/>
          <w:color w:val="000000" w:themeColor="text1"/>
        </w:rPr>
      </w:pPr>
      <w:r w:rsidRPr="003A149B">
        <w:rPr>
          <w:rFonts w:ascii="Arial" w:hAnsi="Arial" w:cs="Arial"/>
          <w:b/>
          <w:i/>
          <w:iCs/>
          <w:color w:val="000000" w:themeColor="text1"/>
        </w:rPr>
        <w:t xml:space="preserve">Heading 1A - </w:t>
      </w:r>
      <w:r w:rsidRPr="003A149B">
        <w:rPr>
          <w:rFonts w:ascii="Arial" w:hAnsi="Arial" w:cs="Arial"/>
          <w:b/>
          <w:iCs/>
          <w:color w:val="000000" w:themeColor="text1"/>
        </w:rPr>
        <w:t>Competitiveness for growth and employment</w:t>
      </w:r>
      <w:r w:rsidR="00CD4F3E">
        <w:rPr>
          <w:rFonts w:ascii="Arial" w:hAnsi="Arial" w:cs="Arial"/>
          <w:iCs/>
          <w:color w:val="000000" w:themeColor="text1"/>
        </w:rPr>
        <w:t xml:space="preserve">: </w:t>
      </w:r>
    </w:p>
    <w:p w:rsidR="005F5CB3" w:rsidRDefault="005F5CB3" w:rsidP="00072B21">
      <w:pPr>
        <w:jc w:val="both"/>
        <w:rPr>
          <w:rFonts w:ascii="Arial" w:hAnsi="Arial" w:cs="Arial"/>
          <w:iCs/>
          <w:color w:val="000000" w:themeColor="text1"/>
        </w:rPr>
      </w:pPr>
    </w:p>
    <w:p w:rsidR="005F5CB3" w:rsidRPr="005F5CB3" w:rsidRDefault="005E4E6D" w:rsidP="00072B21">
      <w:pPr>
        <w:pStyle w:val="ListParagraph"/>
        <w:numPr>
          <w:ilvl w:val="0"/>
          <w:numId w:val="2"/>
        </w:numPr>
        <w:jc w:val="both"/>
        <w:rPr>
          <w:rFonts w:ascii="Arial" w:hAnsi="Arial" w:cs="Arial"/>
          <w:iCs/>
          <w:color w:val="000000" w:themeColor="text1"/>
        </w:rPr>
      </w:pPr>
      <w:r w:rsidRPr="005F5CB3">
        <w:rPr>
          <w:rFonts w:ascii="Arial" w:hAnsi="Arial" w:cs="Arial"/>
          <w:i/>
          <w:iCs/>
          <w:color w:val="000000" w:themeColor="text1"/>
        </w:rPr>
        <w:t>Enterprise and industrial</w:t>
      </w:r>
      <w:r w:rsidRPr="005F5CB3">
        <w:rPr>
          <w:rFonts w:ascii="Arial" w:hAnsi="Arial" w:cs="Arial"/>
          <w:iCs/>
          <w:color w:val="000000" w:themeColor="text1"/>
        </w:rPr>
        <w:t xml:space="preserve">: </w:t>
      </w:r>
      <w:r w:rsidR="00D71C73">
        <w:rPr>
          <w:rFonts w:ascii="Arial" w:hAnsi="Arial" w:cs="Arial"/>
          <w:iCs/>
          <w:color w:val="000000" w:themeColor="text1"/>
        </w:rPr>
        <w:t>targets for stimulating</w:t>
      </w:r>
      <w:r w:rsidR="00D71C73" w:rsidRPr="005F5CB3">
        <w:rPr>
          <w:rFonts w:ascii="Arial" w:hAnsi="Arial" w:cs="Arial"/>
          <w:iCs/>
          <w:color w:val="000000" w:themeColor="text1"/>
        </w:rPr>
        <w:t xml:space="preserve"> growth and job creation </w:t>
      </w:r>
      <w:r w:rsidR="004E1BA5" w:rsidRPr="005F5CB3">
        <w:rPr>
          <w:rFonts w:ascii="Arial" w:hAnsi="Arial" w:cs="Arial"/>
          <w:iCs/>
          <w:color w:val="000000" w:themeColor="text1"/>
        </w:rPr>
        <w:t>could not be met</w:t>
      </w:r>
      <w:r w:rsidR="00D71C73" w:rsidRPr="00D71C73">
        <w:rPr>
          <w:rFonts w:ascii="Arial" w:hAnsi="Arial" w:cs="Arial"/>
          <w:iCs/>
          <w:color w:val="000000" w:themeColor="text1"/>
        </w:rPr>
        <w:t xml:space="preserve"> </w:t>
      </w:r>
      <w:r w:rsidR="00D71C73" w:rsidRPr="005F5CB3">
        <w:rPr>
          <w:rFonts w:ascii="Arial" w:hAnsi="Arial" w:cs="Arial"/>
          <w:iCs/>
          <w:color w:val="000000" w:themeColor="text1"/>
        </w:rPr>
        <w:t xml:space="preserve">as a result of </w:t>
      </w:r>
      <w:r w:rsidR="00D71C73">
        <w:rPr>
          <w:rFonts w:ascii="Arial" w:hAnsi="Arial" w:cs="Arial"/>
          <w:iCs/>
          <w:color w:val="000000" w:themeColor="text1"/>
        </w:rPr>
        <w:t xml:space="preserve">the </w:t>
      </w:r>
      <w:r w:rsidR="00D71C73" w:rsidRPr="005F5CB3">
        <w:rPr>
          <w:rFonts w:ascii="Arial" w:hAnsi="Arial" w:cs="Arial"/>
          <w:iCs/>
          <w:color w:val="000000" w:themeColor="text1"/>
        </w:rPr>
        <w:t>economic slowdown</w:t>
      </w:r>
      <w:r w:rsidR="004E1BA5" w:rsidRPr="005F5CB3">
        <w:rPr>
          <w:rFonts w:ascii="Arial" w:hAnsi="Arial" w:cs="Arial"/>
          <w:iCs/>
          <w:color w:val="000000" w:themeColor="text1"/>
        </w:rPr>
        <w:t xml:space="preserve">. Innovation performance on the other hand showed overall improvement, continuing convergence and higher leverage effects measured in terms of additional innovation resulting from EU support particularly that provided for the </w:t>
      </w:r>
      <w:r w:rsidR="004E1BA5" w:rsidRPr="005F5CB3">
        <w:rPr>
          <w:rFonts w:ascii="Arial" w:hAnsi="Arial" w:cs="Arial"/>
          <w:lang w:eastAsia="en-GB"/>
        </w:rPr>
        <w:t>S</w:t>
      </w:r>
      <w:r w:rsidR="004E1BA5" w:rsidRPr="005F5CB3">
        <w:rPr>
          <w:rFonts w:ascii="Arial" w:hAnsi="Arial" w:cs="Arial"/>
        </w:rPr>
        <w:t xml:space="preserve">mall and </w:t>
      </w:r>
      <w:r w:rsidR="004E1BA5" w:rsidRPr="005F5CB3">
        <w:rPr>
          <w:rFonts w:ascii="Arial" w:hAnsi="Arial" w:cs="Arial"/>
          <w:lang w:eastAsia="en-GB"/>
        </w:rPr>
        <w:t>M</w:t>
      </w:r>
      <w:r w:rsidR="004E1BA5" w:rsidRPr="005F5CB3">
        <w:rPr>
          <w:rFonts w:ascii="Arial" w:hAnsi="Arial" w:cs="Arial"/>
        </w:rPr>
        <w:t xml:space="preserve">edium </w:t>
      </w:r>
      <w:r w:rsidR="004E1BA5" w:rsidRPr="005F5CB3">
        <w:rPr>
          <w:rFonts w:ascii="Arial" w:hAnsi="Arial" w:cs="Arial"/>
          <w:lang w:eastAsia="en-GB"/>
        </w:rPr>
        <w:t>E</w:t>
      </w:r>
      <w:r w:rsidR="004E1BA5" w:rsidRPr="005F5CB3">
        <w:rPr>
          <w:rFonts w:ascii="Arial" w:hAnsi="Arial" w:cs="Arial"/>
        </w:rPr>
        <w:t>nterprises (SMEs)</w:t>
      </w:r>
      <w:r w:rsidR="00DC7BAA">
        <w:rPr>
          <w:rFonts w:ascii="Arial" w:hAnsi="Arial" w:cs="Arial"/>
          <w:iCs/>
          <w:color w:val="000000" w:themeColor="text1"/>
        </w:rPr>
        <w:t>.</w:t>
      </w:r>
      <w:r w:rsidR="004E1BA5" w:rsidRPr="005F5CB3">
        <w:rPr>
          <w:rFonts w:ascii="Arial" w:hAnsi="Arial" w:cs="Arial"/>
          <w:iCs/>
          <w:color w:val="000000" w:themeColor="text1"/>
        </w:rPr>
        <w:t xml:space="preserve"> </w:t>
      </w:r>
      <w:r w:rsidR="0098172F" w:rsidRPr="005F5CB3">
        <w:rPr>
          <w:rFonts w:ascii="Arial" w:hAnsi="Arial" w:cs="Arial"/>
          <w:lang w:eastAsia="en-GB"/>
        </w:rPr>
        <w:t>Entrepreneurship and Innovation Programme</w:t>
      </w:r>
      <w:r w:rsidR="00731B4B">
        <w:rPr>
          <w:rFonts w:ascii="Arial" w:hAnsi="Arial" w:cs="Arial"/>
          <w:lang w:eastAsia="en-GB"/>
        </w:rPr>
        <w:t>,</w:t>
      </w:r>
      <w:r w:rsidR="0098172F" w:rsidRPr="005F5CB3">
        <w:rPr>
          <w:rFonts w:ascii="Arial" w:hAnsi="Arial" w:cs="Arial"/>
          <w:lang w:eastAsia="en-GB"/>
        </w:rPr>
        <w:t xml:space="preserve"> designed to provide a direct and practical response to the core needs of </w:t>
      </w:r>
      <w:r w:rsidR="00DC7BAA">
        <w:rPr>
          <w:rFonts w:ascii="Arial" w:hAnsi="Arial" w:cs="Arial"/>
        </w:rPr>
        <w:t>SMEs,</w:t>
      </w:r>
      <w:r w:rsidR="004E1BA5" w:rsidRPr="005F5CB3">
        <w:rPr>
          <w:rFonts w:ascii="Arial" w:hAnsi="Arial" w:cs="Arial"/>
        </w:rPr>
        <w:t xml:space="preserve"> </w:t>
      </w:r>
      <w:r w:rsidR="0098172F" w:rsidRPr="005F5CB3">
        <w:rPr>
          <w:rFonts w:ascii="Arial" w:hAnsi="Arial" w:cs="Arial"/>
        </w:rPr>
        <w:t>effectively addressed their needs and had a positive effect on start-up</w:t>
      </w:r>
      <w:r w:rsidR="00D71C73">
        <w:rPr>
          <w:rFonts w:ascii="Arial" w:hAnsi="Arial" w:cs="Arial"/>
        </w:rPr>
        <w:t>s</w:t>
      </w:r>
      <w:r w:rsidR="0098172F" w:rsidRPr="005F5CB3">
        <w:rPr>
          <w:rFonts w:ascii="Arial" w:hAnsi="Arial" w:cs="Arial"/>
        </w:rPr>
        <w:t xml:space="preserve"> and growth, in terms of leverage and the developmen</w:t>
      </w:r>
      <w:r w:rsidR="004E1BA5" w:rsidRPr="005F5CB3">
        <w:rPr>
          <w:rFonts w:ascii="Arial" w:hAnsi="Arial" w:cs="Arial"/>
        </w:rPr>
        <w:t xml:space="preserve">t of eco-innovative activities. </w:t>
      </w:r>
      <w:r w:rsidR="00731B4B">
        <w:rPr>
          <w:rFonts w:ascii="Arial" w:hAnsi="Arial" w:cs="Arial"/>
        </w:rPr>
        <w:t>T</w:t>
      </w:r>
      <w:r w:rsidR="0098172F" w:rsidRPr="005F5CB3">
        <w:rPr>
          <w:rFonts w:ascii="Arial" w:hAnsi="Arial" w:cs="Arial"/>
        </w:rPr>
        <w:t xml:space="preserve">he programme objectives </w:t>
      </w:r>
      <w:r w:rsidR="00DC7BAA">
        <w:rPr>
          <w:rFonts w:ascii="Arial" w:hAnsi="Arial" w:cs="Arial"/>
        </w:rPr>
        <w:t xml:space="preserve">of </w:t>
      </w:r>
      <w:r w:rsidR="00DC7BAA" w:rsidRPr="005F5CB3">
        <w:rPr>
          <w:rFonts w:ascii="Arial" w:hAnsi="Arial" w:cs="Arial"/>
        </w:rPr>
        <w:t>Galileo</w:t>
      </w:r>
      <w:r w:rsidR="0098172F" w:rsidRPr="005F5CB3">
        <w:rPr>
          <w:rFonts w:ascii="Arial" w:hAnsi="Arial" w:cs="Arial"/>
        </w:rPr>
        <w:t xml:space="preserve"> and EGNOS have been met with the launch in October 2012 of two new satellites and the deployment of the ground infrastructure for the programme. </w:t>
      </w:r>
      <w:r w:rsidRPr="005F5CB3">
        <w:rPr>
          <w:rFonts w:ascii="Arial" w:hAnsi="Arial" w:cs="Arial"/>
          <w:iCs/>
          <w:color w:val="000000" w:themeColor="text1"/>
        </w:rPr>
        <w:t xml:space="preserve"> </w:t>
      </w:r>
    </w:p>
    <w:p w:rsidR="0098172F" w:rsidRDefault="0098172F" w:rsidP="00072B21">
      <w:pPr>
        <w:pStyle w:val="ListParagraph"/>
        <w:numPr>
          <w:ilvl w:val="0"/>
          <w:numId w:val="2"/>
        </w:numPr>
        <w:jc w:val="both"/>
        <w:rPr>
          <w:rFonts w:ascii="Arial" w:hAnsi="Arial" w:cs="Arial"/>
        </w:rPr>
      </w:pPr>
      <w:r w:rsidRPr="005F5CB3">
        <w:rPr>
          <w:rFonts w:ascii="Arial" w:hAnsi="Arial" w:cs="Arial"/>
          <w:i/>
          <w:iCs/>
          <w:color w:val="000000" w:themeColor="text1"/>
        </w:rPr>
        <w:t>Mobility and transport</w:t>
      </w:r>
      <w:r w:rsidRPr="005F5CB3">
        <w:rPr>
          <w:rFonts w:ascii="Arial" w:hAnsi="Arial" w:cs="Arial"/>
          <w:iCs/>
          <w:color w:val="000000" w:themeColor="text1"/>
        </w:rPr>
        <w:t xml:space="preserve">: </w:t>
      </w:r>
      <w:r w:rsidRPr="005F5CB3">
        <w:rPr>
          <w:rFonts w:ascii="Arial" w:hAnsi="Arial" w:cs="Arial"/>
        </w:rPr>
        <w:t xml:space="preserve">EU funding has contributed to </w:t>
      </w:r>
      <w:r w:rsidR="004E1BA5" w:rsidRPr="005F5CB3">
        <w:rPr>
          <w:rFonts w:ascii="Arial" w:hAnsi="Arial" w:cs="Arial"/>
        </w:rPr>
        <w:t xml:space="preserve">the </w:t>
      </w:r>
      <w:r w:rsidRPr="005F5CB3">
        <w:rPr>
          <w:rFonts w:ascii="Arial" w:hAnsi="Arial" w:cs="Arial"/>
        </w:rPr>
        <w:t xml:space="preserve">progress made in </w:t>
      </w:r>
      <w:r w:rsidR="004E1BA5" w:rsidRPr="005F5CB3">
        <w:rPr>
          <w:rFonts w:ascii="Arial" w:hAnsi="Arial" w:cs="Arial"/>
        </w:rPr>
        <w:t>modernising</w:t>
      </w:r>
      <w:r w:rsidRPr="005F5CB3">
        <w:rPr>
          <w:rFonts w:ascii="Arial" w:hAnsi="Arial" w:cs="Arial"/>
        </w:rPr>
        <w:t xml:space="preserve"> Eu</w:t>
      </w:r>
      <w:r w:rsidR="00A508EC">
        <w:rPr>
          <w:rFonts w:ascii="Arial" w:hAnsi="Arial" w:cs="Arial"/>
        </w:rPr>
        <w:t xml:space="preserve">rope's transport infrastructure. </w:t>
      </w:r>
      <w:r w:rsidRPr="005F5CB3">
        <w:rPr>
          <w:rFonts w:ascii="Arial" w:hAnsi="Arial" w:cs="Arial"/>
        </w:rPr>
        <w:t xml:space="preserve">However, further efforts would be </w:t>
      </w:r>
      <w:r w:rsidR="004E1BA5" w:rsidRPr="005F5CB3">
        <w:rPr>
          <w:rFonts w:ascii="Arial" w:hAnsi="Arial" w:cs="Arial"/>
        </w:rPr>
        <w:t xml:space="preserve">required </w:t>
      </w:r>
      <w:r w:rsidRPr="005F5CB3">
        <w:rPr>
          <w:rFonts w:ascii="Arial" w:hAnsi="Arial" w:cs="Arial"/>
        </w:rPr>
        <w:t>to achieve the long term targets of an efficien</w:t>
      </w:r>
      <w:r w:rsidR="00A508EC">
        <w:rPr>
          <w:rFonts w:ascii="Arial" w:hAnsi="Arial" w:cs="Arial"/>
        </w:rPr>
        <w:t>t internal market in transport (</w:t>
      </w:r>
      <w:r w:rsidRPr="005F5CB3">
        <w:rPr>
          <w:rFonts w:ascii="Arial" w:hAnsi="Arial" w:cs="Arial"/>
        </w:rPr>
        <w:t>measured for instance by p</w:t>
      </w:r>
      <w:r w:rsidR="00A508EC">
        <w:rPr>
          <w:rFonts w:ascii="Arial" w:hAnsi="Arial" w:cs="Arial"/>
        </w:rPr>
        <w:t>rices for citizens and business)</w:t>
      </w:r>
      <w:r w:rsidRPr="005F5CB3">
        <w:rPr>
          <w:rFonts w:ascii="Arial" w:hAnsi="Arial" w:cs="Arial"/>
        </w:rPr>
        <w:t xml:space="preserve"> and to ensure the transition to low-carbon and smart transport, which contribute to the Europe 2020 Strategy. </w:t>
      </w:r>
      <w:r w:rsidR="00A508EC">
        <w:rPr>
          <w:rFonts w:ascii="Arial" w:hAnsi="Arial" w:cs="Arial"/>
        </w:rPr>
        <w:t>R</w:t>
      </w:r>
      <w:r w:rsidRPr="005F5CB3">
        <w:rPr>
          <w:rFonts w:ascii="Arial" w:hAnsi="Arial" w:cs="Arial"/>
        </w:rPr>
        <w:t>ecent proposals aimed at further strengthening the internal market in the railway sector and promoting clean fuel alternatives are steps in that direction.</w:t>
      </w:r>
    </w:p>
    <w:p w:rsidR="00722A40" w:rsidRPr="003F263D" w:rsidRDefault="005F5CB3" w:rsidP="00072B21">
      <w:pPr>
        <w:pStyle w:val="ListParagraph"/>
        <w:numPr>
          <w:ilvl w:val="0"/>
          <w:numId w:val="2"/>
        </w:numPr>
        <w:jc w:val="both"/>
        <w:rPr>
          <w:rFonts w:ascii="Arial" w:hAnsi="Arial" w:cs="Arial"/>
          <w:i/>
        </w:rPr>
      </w:pPr>
      <w:r w:rsidRPr="005F5CB3">
        <w:rPr>
          <w:rFonts w:ascii="Arial" w:hAnsi="Arial" w:cs="Arial"/>
          <w:i/>
        </w:rPr>
        <w:lastRenderedPageBreak/>
        <w:t>Information and Society and Media Policy</w:t>
      </w:r>
      <w:r>
        <w:rPr>
          <w:rFonts w:ascii="Arial" w:hAnsi="Arial" w:cs="Arial"/>
          <w:i/>
        </w:rPr>
        <w:t>:</w:t>
      </w:r>
      <w:r w:rsidR="00E71885">
        <w:rPr>
          <w:rFonts w:ascii="Arial" w:hAnsi="Arial" w:cs="Arial"/>
        </w:rPr>
        <w:t xml:space="preserve"> t</w:t>
      </w:r>
      <w:r>
        <w:rPr>
          <w:rFonts w:ascii="Arial" w:hAnsi="Arial" w:cs="Arial"/>
        </w:rPr>
        <w:t xml:space="preserve">he main objectives for this policy area are set out in the Digital Agenda for Europe </w:t>
      </w:r>
      <w:r w:rsidR="0028559F">
        <w:rPr>
          <w:rFonts w:ascii="Arial" w:hAnsi="Arial" w:cs="Arial"/>
        </w:rPr>
        <w:t xml:space="preserve">(DAE) </w:t>
      </w:r>
      <w:r>
        <w:rPr>
          <w:rFonts w:ascii="Arial" w:hAnsi="Arial" w:cs="Arial"/>
        </w:rPr>
        <w:t xml:space="preserve">- </w:t>
      </w:r>
      <w:r w:rsidRPr="003F263D">
        <w:rPr>
          <w:rFonts w:ascii="Arial" w:hAnsi="Arial" w:cs="Arial"/>
        </w:rPr>
        <w:t xml:space="preserve">one of the EU 2020 flagships aimed at enabling Europe's citizens and businesses to get the most out of digital technologies. </w:t>
      </w:r>
      <w:r w:rsidR="0028559F" w:rsidRPr="003F263D">
        <w:rPr>
          <w:rFonts w:ascii="Arial" w:hAnsi="Arial" w:cs="Arial"/>
        </w:rPr>
        <w:t xml:space="preserve">A </w:t>
      </w:r>
      <w:r w:rsidRPr="003F263D">
        <w:rPr>
          <w:rFonts w:ascii="Arial" w:hAnsi="Arial" w:cs="Arial"/>
        </w:rPr>
        <w:t xml:space="preserve">Commission’s review in December 2012 showed that </w:t>
      </w:r>
      <w:r w:rsidR="0028559F" w:rsidRPr="003F263D">
        <w:rPr>
          <w:rFonts w:ascii="Arial" w:hAnsi="Arial" w:cs="Arial"/>
        </w:rPr>
        <w:t xml:space="preserve">the DAE </w:t>
      </w:r>
      <w:r w:rsidRPr="003F263D">
        <w:rPr>
          <w:rFonts w:ascii="Arial" w:hAnsi="Arial" w:cs="Arial"/>
        </w:rPr>
        <w:t>was on tra</w:t>
      </w:r>
      <w:r w:rsidR="00B80792" w:rsidRPr="003F263D">
        <w:rPr>
          <w:rFonts w:ascii="Arial" w:hAnsi="Arial" w:cs="Arial"/>
        </w:rPr>
        <w:t xml:space="preserve">ck to meet most of its targets and as a result </w:t>
      </w:r>
      <w:r w:rsidR="009321BD" w:rsidRPr="003F263D">
        <w:rPr>
          <w:rFonts w:ascii="Arial" w:hAnsi="Arial" w:cs="Arial"/>
        </w:rPr>
        <w:t>led to new digital</w:t>
      </w:r>
      <w:r w:rsidR="0028559F" w:rsidRPr="003F263D">
        <w:rPr>
          <w:rFonts w:ascii="Arial" w:hAnsi="Arial" w:cs="Arial"/>
        </w:rPr>
        <w:t xml:space="preserve"> priorities being formulated for 2013-</w:t>
      </w:r>
      <w:r w:rsidR="00E71885" w:rsidRPr="003F263D">
        <w:rPr>
          <w:rFonts w:ascii="Arial" w:hAnsi="Arial" w:cs="Arial"/>
        </w:rPr>
        <w:t>20</w:t>
      </w:r>
      <w:r w:rsidR="0028559F" w:rsidRPr="003F263D">
        <w:rPr>
          <w:rFonts w:ascii="Arial" w:hAnsi="Arial" w:cs="Arial"/>
        </w:rPr>
        <w:t xml:space="preserve">14, including the creation of a more stable broadband regulatory environment. Also </w:t>
      </w:r>
      <w:r w:rsidR="00722A40" w:rsidRPr="003F263D">
        <w:rPr>
          <w:rFonts w:ascii="Arial" w:hAnsi="Arial" w:cs="Arial"/>
        </w:rPr>
        <w:t>a</w:t>
      </w:r>
      <w:r w:rsidR="0028559F" w:rsidRPr="003F263D">
        <w:rPr>
          <w:rFonts w:ascii="Arial" w:hAnsi="Arial" w:cs="Arial"/>
        </w:rPr>
        <w:t xml:space="preserve"> study into the impact of </w:t>
      </w:r>
      <w:r w:rsidR="003F263D" w:rsidRPr="003F263D">
        <w:rPr>
          <w:rFonts w:ascii="Arial" w:hAnsi="Arial" w:cs="Arial"/>
        </w:rPr>
        <w:t>the Sixth Framework Programme (</w:t>
      </w:r>
      <w:r w:rsidR="0028559F" w:rsidRPr="003F263D">
        <w:rPr>
          <w:rFonts w:ascii="Arial" w:hAnsi="Arial" w:cs="Arial"/>
        </w:rPr>
        <w:t>FP</w:t>
      </w:r>
      <w:r w:rsidR="003F263D" w:rsidRPr="003F263D">
        <w:rPr>
          <w:rFonts w:ascii="Arial" w:hAnsi="Arial" w:cs="Arial"/>
        </w:rPr>
        <w:t>6)</w:t>
      </w:r>
      <w:r w:rsidR="000904AB" w:rsidRPr="003F263D">
        <w:rPr>
          <w:rFonts w:ascii="Arial" w:hAnsi="Arial" w:cs="Arial"/>
        </w:rPr>
        <w:t xml:space="preserve"> measures on Information Society Technologies</w:t>
      </w:r>
      <w:r w:rsidR="00722A40" w:rsidRPr="003F263D">
        <w:rPr>
          <w:rFonts w:ascii="Arial" w:hAnsi="Arial" w:cs="Arial"/>
        </w:rPr>
        <w:t>,</w:t>
      </w:r>
      <w:r w:rsidR="000904AB" w:rsidRPr="003F263D">
        <w:rPr>
          <w:rFonts w:ascii="Arial" w:hAnsi="Arial" w:cs="Arial"/>
        </w:rPr>
        <w:t xml:space="preserve"> stressed the positive value of exploring new scientific/technological areas, the strengthening of research collaboration and the increase in staff capability and expertise</w:t>
      </w:r>
      <w:r w:rsidR="00722A40" w:rsidRPr="003F263D">
        <w:rPr>
          <w:rFonts w:ascii="Arial" w:hAnsi="Arial" w:cs="Arial"/>
        </w:rPr>
        <w:t>.</w:t>
      </w:r>
    </w:p>
    <w:p w:rsidR="004677F1" w:rsidRPr="003F263D" w:rsidRDefault="007C19E5" w:rsidP="00FE4481">
      <w:pPr>
        <w:pStyle w:val="ListParagraph"/>
        <w:numPr>
          <w:ilvl w:val="0"/>
          <w:numId w:val="2"/>
        </w:numPr>
        <w:jc w:val="both"/>
        <w:rPr>
          <w:rFonts w:ascii="Arial" w:hAnsi="Arial" w:cs="Arial"/>
          <w:i/>
        </w:rPr>
      </w:pPr>
      <w:r w:rsidRPr="003F263D">
        <w:rPr>
          <w:rFonts w:ascii="Arial" w:hAnsi="Arial" w:cs="Arial"/>
          <w:i/>
        </w:rPr>
        <w:t>Energy</w:t>
      </w:r>
      <w:r w:rsidRPr="003F263D">
        <w:rPr>
          <w:rFonts w:ascii="Arial" w:hAnsi="Arial" w:cs="Arial"/>
        </w:rPr>
        <w:t xml:space="preserve">: </w:t>
      </w:r>
      <w:r w:rsidR="000904AB" w:rsidRPr="003F263D">
        <w:rPr>
          <w:rFonts w:ascii="Arial" w:hAnsi="Arial" w:cs="Arial"/>
        </w:rPr>
        <w:t xml:space="preserve"> </w:t>
      </w:r>
      <w:r w:rsidR="00055DD6" w:rsidRPr="003F263D">
        <w:rPr>
          <w:rFonts w:ascii="Arial" w:hAnsi="Arial" w:cs="Arial"/>
        </w:rPr>
        <w:t>t</w:t>
      </w:r>
      <w:r w:rsidR="00E71885" w:rsidRPr="003F263D">
        <w:rPr>
          <w:rFonts w:ascii="Arial" w:hAnsi="Arial" w:cs="Arial"/>
        </w:rPr>
        <w:t>h</w:t>
      </w:r>
      <w:r w:rsidR="00581D0D" w:rsidRPr="003F263D">
        <w:rPr>
          <w:rFonts w:ascii="Arial" w:hAnsi="Arial" w:cs="Arial"/>
        </w:rPr>
        <w:t xml:space="preserve">e </w:t>
      </w:r>
      <w:r w:rsidR="00581D0D" w:rsidRPr="003F263D">
        <w:rPr>
          <w:rFonts w:ascii="Arial" w:hAnsi="Arial" w:cs="Arial"/>
          <w:lang w:eastAsia="en-GB"/>
        </w:rPr>
        <w:t xml:space="preserve">Trans-European Networks-Energy </w:t>
      </w:r>
      <w:r w:rsidR="00581D0D" w:rsidRPr="003F263D">
        <w:rPr>
          <w:rFonts w:ascii="Arial" w:hAnsi="Arial" w:cs="Arial"/>
        </w:rPr>
        <w:t xml:space="preserve">(TEN-E) work programme for 2012 was successfully implemented with </w:t>
      </w:r>
      <w:r w:rsidR="0099623D" w:rsidRPr="003F263D">
        <w:rPr>
          <w:rFonts w:ascii="Arial" w:hAnsi="Arial" w:cs="Arial"/>
        </w:rPr>
        <w:t xml:space="preserve">financial </w:t>
      </w:r>
      <w:r w:rsidR="00581D0D" w:rsidRPr="003F263D">
        <w:rPr>
          <w:rFonts w:ascii="Arial" w:hAnsi="Arial" w:cs="Arial"/>
        </w:rPr>
        <w:t xml:space="preserve">commitments made </w:t>
      </w:r>
      <w:r w:rsidR="0099623D" w:rsidRPr="003F263D">
        <w:rPr>
          <w:rFonts w:ascii="Arial" w:hAnsi="Arial" w:cs="Arial"/>
        </w:rPr>
        <w:t>for</w:t>
      </w:r>
      <w:r w:rsidR="00581D0D" w:rsidRPr="003F263D">
        <w:rPr>
          <w:rFonts w:ascii="Arial" w:hAnsi="Arial" w:cs="Arial"/>
        </w:rPr>
        <w:t xml:space="preserve"> 19 electricity and gas projects during the year. The ex-post </w:t>
      </w:r>
      <w:r w:rsidR="00581D0D" w:rsidRPr="003F263D">
        <w:rPr>
          <w:rFonts w:ascii="Arial" w:hAnsi="Arial" w:cs="Arial"/>
          <w:lang w:eastAsia="en-GB"/>
        </w:rPr>
        <w:t xml:space="preserve">evaluation of five projects funded under the </w:t>
      </w:r>
      <w:r w:rsidR="00581D0D" w:rsidRPr="003F263D">
        <w:rPr>
          <w:rFonts w:ascii="Arial" w:hAnsi="Arial" w:cs="Arial"/>
        </w:rPr>
        <w:t>programme</w:t>
      </w:r>
      <w:r w:rsidR="00581D0D" w:rsidRPr="003F263D">
        <w:rPr>
          <w:rFonts w:ascii="Arial" w:hAnsi="Arial" w:cs="Arial"/>
          <w:lang w:eastAsia="en-GB"/>
        </w:rPr>
        <w:t xml:space="preserve"> </w:t>
      </w:r>
      <w:r w:rsidR="0099623D" w:rsidRPr="003F263D">
        <w:rPr>
          <w:rFonts w:ascii="Arial" w:hAnsi="Arial" w:cs="Arial"/>
          <w:lang w:eastAsia="en-GB"/>
        </w:rPr>
        <w:t>indicated</w:t>
      </w:r>
      <w:r w:rsidR="00581D0D" w:rsidRPr="003F263D">
        <w:rPr>
          <w:rFonts w:ascii="Arial" w:hAnsi="Arial" w:cs="Arial"/>
          <w:lang w:eastAsia="en-GB"/>
        </w:rPr>
        <w:t xml:space="preserve"> that the projects were successful as they increased energy capacities between regions in Europe, contributed to the integration of energy markets within the EU and allowed for transportation of energy from locations with low cost production to the locations of the consumers. The Commission adds t</w:t>
      </w:r>
      <w:r w:rsidR="00D43ABB" w:rsidRPr="003F263D">
        <w:rPr>
          <w:rFonts w:ascii="Arial" w:hAnsi="Arial" w:cs="Arial"/>
          <w:lang w:eastAsia="en-GB"/>
        </w:rPr>
        <w:t>hat such integration activities contribute</w:t>
      </w:r>
      <w:r w:rsidR="00581D0D" w:rsidRPr="003F263D">
        <w:rPr>
          <w:rFonts w:ascii="Arial" w:hAnsi="Arial" w:cs="Arial"/>
          <w:lang w:eastAsia="en-GB"/>
        </w:rPr>
        <w:t xml:space="preserve"> to the more competitive wholesale and retail pricing of energy, which has the potential of de</w:t>
      </w:r>
      <w:r w:rsidR="0058737A" w:rsidRPr="003F263D">
        <w:rPr>
          <w:rFonts w:ascii="Arial" w:hAnsi="Arial" w:cs="Arial"/>
          <w:lang w:eastAsia="en-GB"/>
        </w:rPr>
        <w:t>creasing overall energy costs.</w:t>
      </w:r>
      <w:r w:rsidR="00FE4481" w:rsidRPr="003F263D">
        <w:rPr>
          <w:rFonts w:ascii="Arial" w:hAnsi="Arial" w:cs="Arial"/>
          <w:lang w:eastAsia="en-GB"/>
        </w:rPr>
        <w:t xml:space="preserve"> </w:t>
      </w:r>
      <w:r w:rsidR="00581D0D" w:rsidRPr="003F263D">
        <w:rPr>
          <w:rFonts w:ascii="Arial" w:hAnsi="Arial" w:cs="Arial"/>
        </w:rPr>
        <w:t>In 2012, the ECA special report on EU financial assistance for the decommissioning of nuclear plants in three Member Sates</w:t>
      </w:r>
      <w:r w:rsidR="00581D0D" w:rsidRPr="003F263D">
        <w:rPr>
          <w:rStyle w:val="FootnoteReference"/>
          <w:rFonts w:ascii="Arial" w:hAnsi="Arial" w:cs="Arial"/>
        </w:rPr>
        <w:footnoteReference w:id="1"/>
      </w:r>
      <w:r w:rsidR="00581D0D" w:rsidRPr="003F263D">
        <w:rPr>
          <w:rFonts w:ascii="Arial" w:hAnsi="Arial" w:cs="Arial"/>
        </w:rPr>
        <w:t xml:space="preserve"> recommended that a detailed needs assessment, an analysis of available resources, expected benefits and more meaningful performance indicators be prepared before further spending is made. These recommendations have been taken up in the Commission's recent proposal for a Council regulation on Union support for the nuclear decommissioning assistance programme for the three Member States.</w:t>
      </w:r>
    </w:p>
    <w:p w:rsidR="00223E74" w:rsidRPr="003F263D" w:rsidRDefault="004677F1" w:rsidP="00072B21">
      <w:pPr>
        <w:pStyle w:val="ListParagraph"/>
        <w:numPr>
          <w:ilvl w:val="0"/>
          <w:numId w:val="2"/>
        </w:numPr>
        <w:jc w:val="both"/>
        <w:rPr>
          <w:rFonts w:ascii="Arial" w:hAnsi="Arial" w:cs="Arial"/>
          <w:i/>
        </w:rPr>
      </w:pPr>
      <w:r w:rsidRPr="003F263D">
        <w:rPr>
          <w:rFonts w:ascii="Arial" w:hAnsi="Arial" w:cs="Arial"/>
          <w:i/>
        </w:rPr>
        <w:t>Research</w:t>
      </w:r>
      <w:r w:rsidRPr="003F263D">
        <w:rPr>
          <w:rFonts w:ascii="Arial" w:hAnsi="Arial" w:cs="Arial"/>
        </w:rPr>
        <w:t xml:space="preserve">: </w:t>
      </w:r>
      <w:r w:rsidR="00055DD6" w:rsidRPr="003F263D">
        <w:rPr>
          <w:rFonts w:ascii="Arial" w:hAnsi="Arial" w:cs="Arial"/>
        </w:rPr>
        <w:t>A</w:t>
      </w:r>
      <w:r w:rsidR="006008CF" w:rsidRPr="003F263D">
        <w:rPr>
          <w:rFonts w:ascii="Arial" w:hAnsi="Arial" w:cs="Arial"/>
        </w:rPr>
        <w:t xml:space="preserve">s at March 2013, over 13,000 grant agreements had been signed </w:t>
      </w:r>
      <w:r w:rsidRPr="003F263D">
        <w:rPr>
          <w:rFonts w:ascii="Arial" w:hAnsi="Arial" w:cs="Arial"/>
        </w:rPr>
        <w:t xml:space="preserve">under the </w:t>
      </w:r>
      <w:r w:rsidR="003F263D" w:rsidRPr="003F263D">
        <w:rPr>
          <w:rFonts w:ascii="Arial" w:hAnsi="Arial" w:cs="Arial"/>
        </w:rPr>
        <w:t>Seventh Framework Programme (</w:t>
      </w:r>
      <w:r w:rsidRPr="003F263D">
        <w:rPr>
          <w:rFonts w:ascii="Arial" w:hAnsi="Arial" w:cs="Arial"/>
        </w:rPr>
        <w:t>FP7</w:t>
      </w:r>
      <w:r w:rsidR="003F263D" w:rsidRPr="003F263D">
        <w:rPr>
          <w:rFonts w:ascii="Arial" w:hAnsi="Arial" w:cs="Arial"/>
        </w:rPr>
        <w:t>)</w:t>
      </w:r>
      <w:r w:rsidRPr="003F263D">
        <w:rPr>
          <w:rFonts w:ascii="Arial" w:hAnsi="Arial" w:cs="Arial"/>
        </w:rPr>
        <w:t xml:space="preserve">, with </w:t>
      </w:r>
      <w:r w:rsidR="006008CF" w:rsidRPr="003F263D">
        <w:rPr>
          <w:rFonts w:ascii="Arial" w:hAnsi="Arial" w:cs="Arial"/>
        </w:rPr>
        <w:t xml:space="preserve">2,800 projects completed </w:t>
      </w:r>
      <w:r w:rsidRPr="003F263D">
        <w:rPr>
          <w:rFonts w:ascii="Arial" w:hAnsi="Arial" w:cs="Arial"/>
        </w:rPr>
        <w:t>(</w:t>
      </w:r>
      <w:r w:rsidR="006008CF" w:rsidRPr="003F263D">
        <w:rPr>
          <w:rFonts w:ascii="Arial" w:hAnsi="Arial" w:cs="Arial"/>
        </w:rPr>
        <w:t>with 98% achieving their initial objectives</w:t>
      </w:r>
      <w:r w:rsidRPr="003F263D">
        <w:rPr>
          <w:rFonts w:ascii="Arial" w:hAnsi="Arial" w:cs="Arial"/>
        </w:rPr>
        <w:t>)</w:t>
      </w:r>
      <w:r w:rsidR="006008CF" w:rsidRPr="003F263D">
        <w:rPr>
          <w:rFonts w:ascii="Arial" w:hAnsi="Arial" w:cs="Arial"/>
        </w:rPr>
        <w:t xml:space="preserve">. Based on final reports, completed </w:t>
      </w:r>
      <w:r w:rsidRPr="003F263D">
        <w:rPr>
          <w:rFonts w:ascii="Arial" w:hAnsi="Arial" w:cs="Arial"/>
        </w:rPr>
        <w:t xml:space="preserve">research </w:t>
      </w:r>
      <w:r w:rsidR="006008CF" w:rsidRPr="003F263D">
        <w:rPr>
          <w:rFonts w:ascii="Arial" w:hAnsi="Arial" w:cs="Arial"/>
        </w:rPr>
        <w:t xml:space="preserve">projects each produced an average of 4.5 publications and recorded a total of 531 Intellectual property rights. By the end of 2012, 76 European Research Council </w:t>
      </w:r>
      <w:r w:rsidRPr="003F263D">
        <w:rPr>
          <w:rFonts w:ascii="Arial" w:hAnsi="Arial" w:cs="Arial"/>
        </w:rPr>
        <w:t xml:space="preserve">(ERC) </w:t>
      </w:r>
      <w:r w:rsidR="006008CF" w:rsidRPr="003F263D">
        <w:rPr>
          <w:rFonts w:ascii="Arial" w:hAnsi="Arial" w:cs="Arial"/>
        </w:rPr>
        <w:t>grantees had won prestigious international prizes (up from 36 by the end of 2011), including five Nobel Prize winners and three Field Medallists. During the same period, more than 7,900 peer-reviewed journal articles acknowledging ERC funding were identified, an increase from the 3,396 identified by the end of 2011.</w:t>
      </w:r>
    </w:p>
    <w:p w:rsidR="00141ECB" w:rsidRPr="003F263D" w:rsidRDefault="004677F1" w:rsidP="00072B21">
      <w:pPr>
        <w:pStyle w:val="ListParagraph"/>
        <w:numPr>
          <w:ilvl w:val="0"/>
          <w:numId w:val="2"/>
        </w:numPr>
        <w:jc w:val="both"/>
        <w:rPr>
          <w:rFonts w:ascii="Arial" w:hAnsi="Arial" w:cs="Arial"/>
          <w:i/>
        </w:rPr>
      </w:pPr>
      <w:r w:rsidRPr="003F263D">
        <w:rPr>
          <w:rFonts w:ascii="Arial" w:hAnsi="Arial" w:cs="Arial"/>
          <w:i/>
        </w:rPr>
        <w:t xml:space="preserve">Education Policy: </w:t>
      </w:r>
      <w:r w:rsidR="00055DD6" w:rsidRPr="003F263D">
        <w:rPr>
          <w:rFonts w:ascii="Arial" w:hAnsi="Arial" w:cs="Arial"/>
        </w:rPr>
        <w:t>t</w:t>
      </w:r>
      <w:r w:rsidR="00141ECB" w:rsidRPr="003F263D">
        <w:rPr>
          <w:rFonts w:ascii="Arial" w:hAnsi="Arial" w:cs="Arial"/>
        </w:rPr>
        <w:t xml:space="preserve">he evaluation carried out on the Erasmus Mundus II </w:t>
      </w:r>
      <w:r w:rsidR="00DE3431" w:rsidRPr="003F263D">
        <w:rPr>
          <w:rFonts w:ascii="Arial" w:hAnsi="Arial" w:cs="Arial"/>
        </w:rPr>
        <w:t xml:space="preserve">(EM II) </w:t>
      </w:r>
      <w:r w:rsidR="00223E74" w:rsidRPr="003F263D">
        <w:rPr>
          <w:rFonts w:ascii="Arial" w:hAnsi="Arial" w:cs="Arial"/>
        </w:rPr>
        <w:t>for the period 2009-</w:t>
      </w:r>
      <w:r w:rsidR="00055DD6" w:rsidRPr="003F263D">
        <w:rPr>
          <w:rFonts w:ascii="Arial" w:hAnsi="Arial" w:cs="Arial"/>
        </w:rPr>
        <w:t>20</w:t>
      </w:r>
      <w:r w:rsidR="00223E74" w:rsidRPr="003F263D">
        <w:rPr>
          <w:rFonts w:ascii="Arial" w:hAnsi="Arial" w:cs="Arial"/>
        </w:rPr>
        <w:t>11</w:t>
      </w:r>
      <w:r w:rsidR="00141ECB" w:rsidRPr="003F263D">
        <w:rPr>
          <w:rFonts w:ascii="Arial" w:hAnsi="Arial" w:cs="Arial"/>
        </w:rPr>
        <w:t xml:space="preserve"> conclu</w:t>
      </w:r>
      <w:r w:rsidR="00223E74" w:rsidRPr="003F263D">
        <w:rPr>
          <w:rFonts w:ascii="Arial" w:hAnsi="Arial" w:cs="Arial"/>
        </w:rPr>
        <w:t xml:space="preserve">ded that the programme </w:t>
      </w:r>
      <w:r w:rsidR="00141ECB" w:rsidRPr="003F263D">
        <w:rPr>
          <w:rFonts w:ascii="Arial" w:hAnsi="Arial" w:cs="Arial"/>
        </w:rPr>
        <w:t>support</w:t>
      </w:r>
      <w:r w:rsidR="00963529" w:rsidRPr="003F263D">
        <w:rPr>
          <w:rFonts w:ascii="Arial" w:hAnsi="Arial" w:cs="Arial"/>
        </w:rPr>
        <w:t>ed and made</w:t>
      </w:r>
      <w:r w:rsidR="00141ECB" w:rsidRPr="003F263D">
        <w:rPr>
          <w:rFonts w:ascii="Arial" w:hAnsi="Arial" w:cs="Arial"/>
        </w:rPr>
        <w:t xml:space="preserve"> important contribution to the </w:t>
      </w:r>
      <w:r w:rsidR="00141ECB" w:rsidRPr="003F263D">
        <w:rPr>
          <w:rFonts w:ascii="Arial" w:hAnsi="Arial" w:cs="Arial"/>
        </w:rPr>
        <w:lastRenderedPageBreak/>
        <w:t>internalisation process of the Europe</w:t>
      </w:r>
      <w:r w:rsidR="00223E74" w:rsidRPr="003F263D">
        <w:rPr>
          <w:rFonts w:ascii="Arial" w:hAnsi="Arial" w:cs="Arial"/>
        </w:rPr>
        <w:t xml:space="preserve">an higher education area, and </w:t>
      </w:r>
      <w:r w:rsidR="00963529" w:rsidRPr="003F263D">
        <w:rPr>
          <w:rFonts w:ascii="Arial" w:hAnsi="Arial" w:cs="Arial"/>
        </w:rPr>
        <w:t>promoted</w:t>
      </w:r>
      <w:r w:rsidR="00223E74" w:rsidRPr="003F263D">
        <w:rPr>
          <w:rFonts w:ascii="Arial" w:hAnsi="Arial" w:cs="Arial"/>
        </w:rPr>
        <w:t xml:space="preserve"> the development of skills relevant in the labour market, but that this does not fully serve the needs of the EU. </w:t>
      </w:r>
      <w:r w:rsidR="00963529" w:rsidRPr="003F263D">
        <w:rPr>
          <w:rFonts w:ascii="Arial" w:hAnsi="Arial" w:cs="Arial"/>
        </w:rPr>
        <w:t>The evaluation</w:t>
      </w:r>
      <w:r w:rsidR="00223E74" w:rsidRPr="003F263D">
        <w:rPr>
          <w:rFonts w:ascii="Arial" w:hAnsi="Arial" w:cs="Arial"/>
        </w:rPr>
        <w:t xml:space="preserve"> </w:t>
      </w:r>
      <w:r w:rsidR="00DE3431" w:rsidRPr="003F263D">
        <w:rPr>
          <w:rFonts w:ascii="Arial" w:hAnsi="Arial" w:cs="Arial"/>
        </w:rPr>
        <w:t>highlighted</w:t>
      </w:r>
      <w:r w:rsidR="00963529" w:rsidRPr="003F263D">
        <w:rPr>
          <w:rFonts w:ascii="Arial" w:hAnsi="Arial" w:cs="Arial"/>
        </w:rPr>
        <w:t xml:space="preserve"> </w:t>
      </w:r>
      <w:r w:rsidR="00223E74" w:rsidRPr="003F263D">
        <w:rPr>
          <w:rFonts w:ascii="Arial" w:hAnsi="Arial" w:cs="Arial"/>
        </w:rPr>
        <w:t xml:space="preserve">that activities could be more open to international mobility and cooperation in the field of vocational education and training, and suggested strengthening links with related programmes in order to increase synergies and avoid identified overlaps. </w:t>
      </w:r>
      <w:r w:rsidR="00DE3431" w:rsidRPr="003F263D">
        <w:rPr>
          <w:rFonts w:ascii="Arial" w:hAnsi="Arial" w:cs="Arial"/>
        </w:rPr>
        <w:t>In addition, m</w:t>
      </w:r>
      <w:r w:rsidR="00141ECB" w:rsidRPr="003F263D">
        <w:rPr>
          <w:rFonts w:ascii="Arial" w:hAnsi="Arial" w:cs="Arial"/>
        </w:rPr>
        <w:t xml:space="preserve">anagement </w:t>
      </w:r>
      <w:r w:rsidR="00DE3431" w:rsidRPr="003F263D">
        <w:rPr>
          <w:rFonts w:ascii="Arial" w:hAnsi="Arial" w:cs="Arial"/>
        </w:rPr>
        <w:t xml:space="preserve">was </w:t>
      </w:r>
      <w:r w:rsidR="00223E74" w:rsidRPr="003F263D">
        <w:rPr>
          <w:rFonts w:ascii="Arial" w:hAnsi="Arial" w:cs="Arial"/>
        </w:rPr>
        <w:t>found to be problematic and lacked coordination at strategic level</w:t>
      </w:r>
      <w:r w:rsidR="00565A46" w:rsidRPr="003F263D">
        <w:rPr>
          <w:rFonts w:ascii="Arial" w:hAnsi="Arial" w:cs="Arial"/>
        </w:rPr>
        <w:t>.</w:t>
      </w:r>
      <w:r w:rsidR="00223E74" w:rsidRPr="003F263D">
        <w:rPr>
          <w:rFonts w:ascii="Arial" w:hAnsi="Arial" w:cs="Arial"/>
        </w:rPr>
        <w:t xml:space="preserve"> </w:t>
      </w:r>
      <w:r w:rsidR="00565A46" w:rsidRPr="003F263D">
        <w:rPr>
          <w:rFonts w:ascii="Arial" w:hAnsi="Arial" w:cs="Arial"/>
        </w:rPr>
        <w:t xml:space="preserve"> </w:t>
      </w:r>
    </w:p>
    <w:p w:rsidR="00223E74" w:rsidRPr="003F263D" w:rsidRDefault="00565A46" w:rsidP="00072B21">
      <w:pPr>
        <w:pStyle w:val="ListParagraph"/>
        <w:numPr>
          <w:ilvl w:val="0"/>
          <w:numId w:val="2"/>
        </w:numPr>
        <w:jc w:val="both"/>
        <w:rPr>
          <w:rFonts w:ascii="Arial" w:hAnsi="Arial" w:cs="Arial"/>
          <w:i/>
        </w:rPr>
      </w:pPr>
      <w:r w:rsidRPr="003F263D">
        <w:rPr>
          <w:rFonts w:ascii="Arial" w:hAnsi="Arial" w:cs="Arial"/>
          <w:i/>
        </w:rPr>
        <w:t xml:space="preserve">Taxation and customs policy: </w:t>
      </w:r>
      <w:r w:rsidRPr="003F263D">
        <w:rPr>
          <w:rFonts w:ascii="Arial" w:hAnsi="Arial" w:cs="Arial"/>
        </w:rPr>
        <w:t>The EU's taxation and customs policy is supported by two expenditure programmes 'Fiscalis 2013' and 'Customs 2013'</w:t>
      </w:r>
      <w:r w:rsidR="00CE1EA0" w:rsidRPr="003F263D">
        <w:rPr>
          <w:rFonts w:ascii="Arial" w:hAnsi="Arial" w:cs="Arial"/>
        </w:rPr>
        <w:t>, which aim</w:t>
      </w:r>
      <w:r w:rsidRPr="003F263D">
        <w:rPr>
          <w:rFonts w:ascii="Arial" w:hAnsi="Arial" w:cs="Arial"/>
        </w:rPr>
        <w:t xml:space="preserve"> to improve cooperation between Member States and support the exchange of information. According to the Commission, feedback from participants in programme activities confirms that these activities systematically attain their objectives. The programmes also contribute to the improved functioning of the European Information Systems for taxation and customs.</w:t>
      </w:r>
    </w:p>
    <w:p w:rsidR="00565A46" w:rsidRPr="003F263D" w:rsidRDefault="00565A46" w:rsidP="00072B21">
      <w:pPr>
        <w:jc w:val="both"/>
        <w:rPr>
          <w:rFonts w:ascii="Arial" w:hAnsi="Arial" w:cs="Arial"/>
        </w:rPr>
      </w:pPr>
    </w:p>
    <w:p w:rsidR="00565A46" w:rsidRPr="003F263D" w:rsidRDefault="00565A46" w:rsidP="00CE1EA0">
      <w:pPr>
        <w:ind w:left="360" w:firstLine="360"/>
        <w:jc w:val="both"/>
        <w:rPr>
          <w:rFonts w:ascii="Arial" w:hAnsi="Arial" w:cs="Arial"/>
          <w:b/>
          <w:i/>
          <w:iCs/>
          <w:color w:val="000000" w:themeColor="text1"/>
        </w:rPr>
      </w:pPr>
      <w:r w:rsidRPr="003F263D">
        <w:rPr>
          <w:rFonts w:ascii="Arial" w:hAnsi="Arial" w:cs="Arial"/>
          <w:b/>
          <w:i/>
          <w:iCs/>
          <w:color w:val="000000" w:themeColor="text1"/>
        </w:rPr>
        <w:t>Heading 1B Cohesion for growth and employment</w:t>
      </w:r>
      <w:r w:rsidR="00A022B1" w:rsidRPr="003F263D">
        <w:rPr>
          <w:rFonts w:ascii="Arial" w:hAnsi="Arial" w:cs="Arial"/>
          <w:b/>
          <w:i/>
          <w:iCs/>
          <w:color w:val="000000" w:themeColor="text1"/>
        </w:rPr>
        <w:t>:</w:t>
      </w:r>
    </w:p>
    <w:p w:rsidR="00D7387B" w:rsidRPr="003F263D" w:rsidRDefault="00D7387B" w:rsidP="00072B21">
      <w:pPr>
        <w:jc w:val="both"/>
        <w:rPr>
          <w:rFonts w:ascii="Arial" w:hAnsi="Arial" w:cs="Arial"/>
          <w:i/>
        </w:rPr>
      </w:pPr>
    </w:p>
    <w:p w:rsidR="00FB1157" w:rsidRPr="00FB1157" w:rsidRDefault="00A022B1" w:rsidP="00072B21">
      <w:pPr>
        <w:pStyle w:val="ListParagraph"/>
        <w:numPr>
          <w:ilvl w:val="0"/>
          <w:numId w:val="5"/>
        </w:numPr>
        <w:jc w:val="both"/>
        <w:rPr>
          <w:rFonts w:ascii="Arial" w:hAnsi="Arial" w:cs="Arial"/>
        </w:rPr>
      </w:pPr>
      <w:r w:rsidRPr="003F263D">
        <w:rPr>
          <w:rFonts w:ascii="Arial" w:hAnsi="Arial" w:cs="Arial"/>
          <w:i/>
        </w:rPr>
        <w:t>Employment and Social Affairs</w:t>
      </w:r>
      <w:r w:rsidR="00D7387B" w:rsidRPr="003F263D">
        <w:rPr>
          <w:rFonts w:ascii="Arial" w:hAnsi="Arial" w:cs="Arial"/>
          <w:i/>
        </w:rPr>
        <w:t xml:space="preserve"> (ESF)</w:t>
      </w:r>
      <w:r w:rsidRPr="003F263D">
        <w:rPr>
          <w:rFonts w:ascii="Arial" w:hAnsi="Arial" w:cs="Arial"/>
          <w:i/>
        </w:rPr>
        <w:t xml:space="preserve">: </w:t>
      </w:r>
      <w:r w:rsidR="00CE1EA0" w:rsidRPr="003F263D">
        <w:rPr>
          <w:rFonts w:ascii="Arial" w:hAnsi="Arial" w:cs="Arial"/>
        </w:rPr>
        <w:t>in 2012</w:t>
      </w:r>
      <w:r w:rsidR="00D7387B" w:rsidRPr="003F263D">
        <w:rPr>
          <w:rFonts w:ascii="Arial" w:hAnsi="Arial" w:cs="Arial"/>
        </w:rPr>
        <w:t xml:space="preserve"> </w:t>
      </w:r>
      <w:r w:rsidR="00532F84" w:rsidRPr="003F263D">
        <w:rPr>
          <w:rFonts w:ascii="Arial" w:hAnsi="Arial" w:cs="Arial"/>
        </w:rPr>
        <w:t xml:space="preserve">the employment </w:t>
      </w:r>
      <w:r w:rsidR="00CE1EA0" w:rsidRPr="003F263D">
        <w:rPr>
          <w:rFonts w:ascii="Arial" w:hAnsi="Arial" w:cs="Arial"/>
        </w:rPr>
        <w:t xml:space="preserve">and </w:t>
      </w:r>
      <w:r w:rsidR="00532F84" w:rsidRPr="003F263D">
        <w:rPr>
          <w:rFonts w:ascii="Arial" w:hAnsi="Arial" w:cs="Arial"/>
        </w:rPr>
        <w:t xml:space="preserve">poverty </w:t>
      </w:r>
      <w:r w:rsidR="00CE1EA0" w:rsidRPr="003F263D">
        <w:rPr>
          <w:rFonts w:ascii="Arial" w:hAnsi="Arial" w:cs="Arial"/>
        </w:rPr>
        <w:t xml:space="preserve">reduction </w:t>
      </w:r>
      <w:r w:rsidR="00532F84" w:rsidRPr="003F263D">
        <w:rPr>
          <w:rFonts w:ascii="Arial" w:hAnsi="Arial" w:cs="Arial"/>
        </w:rPr>
        <w:t xml:space="preserve">targets set out under the EU 2020 strategy </w:t>
      </w:r>
      <w:r w:rsidR="00D7387B" w:rsidRPr="003F263D">
        <w:rPr>
          <w:rFonts w:ascii="Arial" w:hAnsi="Arial" w:cs="Arial"/>
        </w:rPr>
        <w:t xml:space="preserve">were </w:t>
      </w:r>
      <w:r w:rsidR="00CE1EA0" w:rsidRPr="003F263D">
        <w:rPr>
          <w:rFonts w:ascii="Arial" w:hAnsi="Arial" w:cs="Arial"/>
        </w:rPr>
        <w:t xml:space="preserve">not </w:t>
      </w:r>
      <w:r w:rsidR="00D7387B" w:rsidRPr="003F263D">
        <w:rPr>
          <w:rFonts w:ascii="Arial" w:hAnsi="Arial" w:cs="Arial"/>
        </w:rPr>
        <w:t>met</w:t>
      </w:r>
      <w:r w:rsidR="00B6618C" w:rsidRPr="003F263D">
        <w:rPr>
          <w:rFonts w:ascii="Arial" w:hAnsi="Arial" w:cs="Arial"/>
        </w:rPr>
        <w:t>.</w:t>
      </w:r>
      <w:r w:rsidR="004D4E4F" w:rsidRPr="003F263D">
        <w:rPr>
          <w:rFonts w:ascii="Arial" w:hAnsi="Arial" w:cs="Arial"/>
        </w:rPr>
        <w:t xml:space="preserve"> </w:t>
      </w:r>
      <w:r w:rsidR="00B6618C" w:rsidRPr="003F263D">
        <w:rPr>
          <w:rFonts w:ascii="Arial" w:hAnsi="Arial" w:cs="Arial"/>
        </w:rPr>
        <w:t>E</w:t>
      </w:r>
      <w:r w:rsidR="00B6618C" w:rsidRPr="003F263D">
        <w:rPr>
          <w:rFonts w:ascii="Arial" w:hAnsi="Arial" w:cs="Arial"/>
          <w:color w:val="000000"/>
        </w:rPr>
        <w:t xml:space="preserve">valuations </w:t>
      </w:r>
      <w:r w:rsidR="00CE1EA0" w:rsidRPr="003F263D">
        <w:rPr>
          <w:rFonts w:ascii="Arial" w:hAnsi="Arial" w:cs="Arial"/>
          <w:color w:val="000000"/>
        </w:rPr>
        <w:t xml:space="preserve">did find </w:t>
      </w:r>
      <w:r w:rsidR="00B6618C" w:rsidRPr="003F263D">
        <w:rPr>
          <w:rFonts w:ascii="Arial" w:hAnsi="Arial" w:cs="Arial"/>
          <w:color w:val="000000"/>
        </w:rPr>
        <w:t>evidence that instruments such as the ESF had positive</w:t>
      </w:r>
      <w:r w:rsidR="00B6618C" w:rsidRPr="00B6618C">
        <w:rPr>
          <w:rFonts w:ascii="Arial" w:hAnsi="Arial" w:cs="Arial"/>
          <w:color w:val="000000"/>
        </w:rPr>
        <w:t xml:space="preserve"> results</w:t>
      </w:r>
      <w:r w:rsidR="00963529">
        <w:rPr>
          <w:rFonts w:ascii="Arial" w:hAnsi="Arial" w:cs="Arial"/>
          <w:color w:val="000000"/>
        </w:rPr>
        <w:t>,</w:t>
      </w:r>
      <w:r w:rsidR="00CE1EA0">
        <w:rPr>
          <w:rFonts w:ascii="Arial" w:hAnsi="Arial" w:cs="Arial"/>
          <w:color w:val="000000"/>
        </w:rPr>
        <w:t xml:space="preserve"> contributing</w:t>
      </w:r>
      <w:r w:rsidR="00B6618C" w:rsidRPr="00B6618C">
        <w:rPr>
          <w:rFonts w:ascii="Arial" w:hAnsi="Arial" w:cs="Arial"/>
          <w:color w:val="000000"/>
        </w:rPr>
        <w:t xml:space="preserve"> to addressing challenges related to the economic crisis. The most</w:t>
      </w:r>
      <w:r w:rsidR="008D4F15">
        <w:rPr>
          <w:rFonts w:ascii="Arial" w:hAnsi="Arial" w:cs="Arial"/>
          <w:color w:val="000000"/>
        </w:rPr>
        <w:t xml:space="preserve"> effective ESF social inclusion</w:t>
      </w:r>
      <w:r w:rsidR="00B6618C" w:rsidRPr="00B6618C">
        <w:rPr>
          <w:rFonts w:ascii="Arial" w:hAnsi="Arial" w:cs="Arial"/>
          <w:color w:val="000000"/>
        </w:rPr>
        <w:t xml:space="preserve"> interventions were with young people at risk of leaving school early or at the point of </w:t>
      </w:r>
      <w:r w:rsidR="008D4F15">
        <w:rPr>
          <w:rFonts w:ascii="Arial" w:hAnsi="Arial" w:cs="Arial"/>
          <w:color w:val="000000"/>
        </w:rPr>
        <w:t>transition from school to work</w:t>
      </w:r>
      <w:r w:rsidR="00B6618C" w:rsidRPr="00B6618C">
        <w:rPr>
          <w:rFonts w:ascii="Arial" w:hAnsi="Arial" w:cs="Arial"/>
          <w:color w:val="000000"/>
        </w:rPr>
        <w:t xml:space="preserve"> and in activities to bring adults back into the education system. However there was little evidence on the sustainability of employment. Administration costs were reasonable when compared with similar programmes, but there was scope to reduce costs in areas such as information and publicity. Mid-term evaluations of </w:t>
      </w:r>
      <w:r w:rsidR="00B513C1">
        <w:rPr>
          <w:rFonts w:ascii="Arial" w:hAnsi="Arial" w:cs="Arial"/>
          <w:color w:val="000000"/>
        </w:rPr>
        <w:t xml:space="preserve">the </w:t>
      </w:r>
      <w:r w:rsidR="00B513C1" w:rsidRPr="00B6618C">
        <w:rPr>
          <w:rFonts w:ascii="Arial" w:hAnsi="Arial" w:cs="Arial"/>
          <w:color w:val="000000"/>
        </w:rPr>
        <w:t xml:space="preserve">European Globalisation Fund </w:t>
      </w:r>
      <w:r w:rsidR="00B513C1">
        <w:rPr>
          <w:rFonts w:ascii="Arial" w:hAnsi="Arial" w:cs="Arial"/>
          <w:color w:val="000000"/>
        </w:rPr>
        <w:t xml:space="preserve">(EGF) </w:t>
      </w:r>
      <w:r w:rsidR="00B6618C" w:rsidRPr="00B6618C">
        <w:rPr>
          <w:rFonts w:ascii="Arial" w:hAnsi="Arial" w:cs="Arial"/>
          <w:color w:val="000000"/>
        </w:rPr>
        <w:t>and PROGRESS indicated they had positive impacts, although suggestions were made to improve the administration of the EGF</w:t>
      </w:r>
      <w:r w:rsidR="00963529">
        <w:rPr>
          <w:rFonts w:ascii="Arial" w:hAnsi="Arial" w:cs="Arial"/>
          <w:color w:val="000000"/>
        </w:rPr>
        <w:t xml:space="preserve">, including strengthening monitoring and sharing best </w:t>
      </w:r>
      <w:r w:rsidR="00A82372">
        <w:rPr>
          <w:rFonts w:ascii="Arial" w:hAnsi="Arial" w:cs="Arial"/>
          <w:color w:val="000000"/>
        </w:rPr>
        <w:t>practice.</w:t>
      </w:r>
      <w:r w:rsidR="00963529">
        <w:rPr>
          <w:rFonts w:ascii="Arial" w:hAnsi="Arial" w:cs="Arial"/>
          <w:color w:val="000000"/>
        </w:rPr>
        <w:t xml:space="preserve"> </w:t>
      </w:r>
    </w:p>
    <w:p w:rsidR="00FB1157" w:rsidRPr="00FB1157" w:rsidRDefault="00A13CB9" w:rsidP="00072B21">
      <w:pPr>
        <w:pStyle w:val="ListParagraph"/>
        <w:numPr>
          <w:ilvl w:val="0"/>
          <w:numId w:val="5"/>
        </w:numPr>
        <w:jc w:val="both"/>
        <w:rPr>
          <w:rFonts w:ascii="Arial" w:hAnsi="Arial" w:cs="Arial"/>
        </w:rPr>
      </w:pPr>
      <w:r w:rsidRPr="00FB1157">
        <w:rPr>
          <w:rFonts w:ascii="Arial" w:hAnsi="Arial" w:cs="Arial"/>
        </w:rPr>
        <w:t xml:space="preserve">Regional Policy:  </w:t>
      </w:r>
      <w:r w:rsidR="004D4E4F" w:rsidRPr="00FB1157">
        <w:rPr>
          <w:rFonts w:ascii="Arial" w:hAnsi="Arial" w:cs="Arial"/>
        </w:rPr>
        <w:t xml:space="preserve">the two ex-post evaluations </w:t>
      </w:r>
      <w:r w:rsidR="008D4F15">
        <w:rPr>
          <w:rFonts w:ascii="Arial" w:hAnsi="Arial" w:cs="Arial"/>
        </w:rPr>
        <w:t xml:space="preserve">carried out </w:t>
      </w:r>
      <w:r w:rsidR="004D4E4F" w:rsidRPr="00FB1157">
        <w:rPr>
          <w:rFonts w:ascii="Arial" w:hAnsi="Arial" w:cs="Arial"/>
        </w:rPr>
        <w:t>on ten major projects co-financed by European Regional Development Fund</w:t>
      </w:r>
      <w:r w:rsidR="00957D7A" w:rsidRPr="00FB1157">
        <w:rPr>
          <w:rFonts w:ascii="Arial" w:hAnsi="Arial" w:cs="Arial"/>
        </w:rPr>
        <w:t xml:space="preserve"> </w:t>
      </w:r>
      <w:r w:rsidR="00A82372">
        <w:rPr>
          <w:rFonts w:ascii="Arial" w:hAnsi="Arial" w:cs="Arial"/>
        </w:rPr>
        <w:t xml:space="preserve">(ERDF) </w:t>
      </w:r>
      <w:r w:rsidR="00957D7A" w:rsidRPr="00FB1157">
        <w:rPr>
          <w:rFonts w:ascii="Arial" w:hAnsi="Arial" w:cs="Arial"/>
        </w:rPr>
        <w:t>and Cohesion Funds in 1994-</w:t>
      </w:r>
      <w:r w:rsidR="008D4F15">
        <w:rPr>
          <w:rFonts w:ascii="Arial" w:hAnsi="Arial" w:cs="Arial"/>
        </w:rPr>
        <w:t>19</w:t>
      </w:r>
      <w:r w:rsidR="004D4E4F" w:rsidRPr="00FB1157">
        <w:rPr>
          <w:rFonts w:ascii="Arial" w:hAnsi="Arial" w:cs="Arial"/>
        </w:rPr>
        <w:t>99 and financed</w:t>
      </w:r>
      <w:r w:rsidR="00957D7A" w:rsidRPr="00FB1157">
        <w:rPr>
          <w:rFonts w:ascii="Arial" w:hAnsi="Arial" w:cs="Arial"/>
        </w:rPr>
        <w:t xml:space="preserve"> by the Cohesion Fund in 2000-</w:t>
      </w:r>
      <w:r w:rsidR="008D4F15">
        <w:rPr>
          <w:rFonts w:ascii="Arial" w:hAnsi="Arial" w:cs="Arial"/>
        </w:rPr>
        <w:t>20</w:t>
      </w:r>
      <w:r w:rsidR="004D4E4F" w:rsidRPr="00FB1157">
        <w:rPr>
          <w:rFonts w:ascii="Arial" w:hAnsi="Arial" w:cs="Arial"/>
        </w:rPr>
        <w:t>06 provided evidence on the impact and added value of the Funds' infrastructure investment in transport and environment; the findings of which are being translated into program</w:t>
      </w:r>
      <w:r w:rsidR="00957D7A" w:rsidRPr="00FB1157">
        <w:rPr>
          <w:rFonts w:ascii="Arial" w:hAnsi="Arial" w:cs="Arial"/>
        </w:rPr>
        <w:t xml:space="preserve">me guidance </w:t>
      </w:r>
      <w:r w:rsidR="00A82372">
        <w:rPr>
          <w:rFonts w:ascii="Arial" w:hAnsi="Arial" w:cs="Arial"/>
        </w:rPr>
        <w:t>over the next MFF</w:t>
      </w:r>
      <w:r w:rsidR="00957D7A" w:rsidRPr="00FB1157">
        <w:rPr>
          <w:rFonts w:ascii="Arial" w:hAnsi="Arial" w:cs="Arial"/>
        </w:rPr>
        <w:t xml:space="preserve">. </w:t>
      </w:r>
      <w:r w:rsidR="00FB1157" w:rsidRPr="00FB1157">
        <w:rPr>
          <w:rFonts w:ascii="Arial" w:hAnsi="Arial" w:cs="Arial"/>
        </w:rPr>
        <w:t>The Commission believes that the eviden</w:t>
      </w:r>
      <w:r w:rsidR="00A82372">
        <w:rPr>
          <w:rFonts w:ascii="Arial" w:hAnsi="Arial" w:cs="Arial"/>
        </w:rPr>
        <w:t>ce from these evaluations and the</w:t>
      </w:r>
      <w:r w:rsidR="00FB1157" w:rsidRPr="00FB1157">
        <w:rPr>
          <w:rFonts w:ascii="Arial" w:hAnsi="Arial" w:cs="Arial"/>
        </w:rPr>
        <w:t xml:space="preserve"> ECA </w:t>
      </w:r>
      <w:r w:rsidR="00A82372">
        <w:rPr>
          <w:rFonts w:ascii="Arial" w:hAnsi="Arial" w:cs="Arial"/>
        </w:rPr>
        <w:t>performance audit of</w:t>
      </w:r>
      <w:r w:rsidR="00FB1157" w:rsidRPr="00FB1157">
        <w:rPr>
          <w:rFonts w:ascii="Arial" w:hAnsi="Arial" w:cs="Arial"/>
        </w:rPr>
        <w:t xml:space="preserve"> F</w:t>
      </w:r>
      <w:r w:rsidR="00FB1157">
        <w:rPr>
          <w:rFonts w:ascii="Arial" w:hAnsi="Arial" w:cs="Arial"/>
        </w:rPr>
        <w:t xml:space="preserve">inancial </w:t>
      </w:r>
      <w:r w:rsidR="00FB1157" w:rsidRPr="00FB1157">
        <w:rPr>
          <w:rFonts w:ascii="Arial" w:hAnsi="Arial" w:cs="Arial"/>
        </w:rPr>
        <w:t>E</w:t>
      </w:r>
      <w:r w:rsidR="00FB1157">
        <w:rPr>
          <w:rFonts w:ascii="Arial" w:hAnsi="Arial" w:cs="Arial"/>
        </w:rPr>
        <w:t xml:space="preserve">ngineering </w:t>
      </w:r>
      <w:r w:rsidR="00FB1157" w:rsidRPr="00FB1157">
        <w:rPr>
          <w:rFonts w:ascii="Arial" w:hAnsi="Arial" w:cs="Arial"/>
        </w:rPr>
        <w:t>I</w:t>
      </w:r>
      <w:r w:rsidR="00FB1157">
        <w:rPr>
          <w:rFonts w:ascii="Arial" w:hAnsi="Arial" w:cs="Arial"/>
        </w:rPr>
        <w:t>nstrument</w:t>
      </w:r>
      <w:r w:rsidR="008D4F15">
        <w:rPr>
          <w:rFonts w:ascii="Arial" w:hAnsi="Arial" w:cs="Arial"/>
        </w:rPr>
        <w:t>s</w:t>
      </w:r>
      <w:r w:rsidR="00FB1157" w:rsidRPr="00FB1157">
        <w:rPr>
          <w:rFonts w:ascii="Arial" w:hAnsi="Arial" w:cs="Arial"/>
        </w:rPr>
        <w:t xml:space="preserve"> has validat</w:t>
      </w:r>
      <w:r w:rsidR="00DC7BAA">
        <w:rPr>
          <w:rFonts w:ascii="Arial" w:hAnsi="Arial" w:cs="Arial"/>
        </w:rPr>
        <w:t>ed </w:t>
      </w:r>
      <w:r w:rsidR="00A82372">
        <w:rPr>
          <w:rFonts w:ascii="Arial" w:hAnsi="Arial" w:cs="Arial"/>
        </w:rPr>
        <w:t>its</w:t>
      </w:r>
      <w:r w:rsidR="00DC7BAA">
        <w:rPr>
          <w:rFonts w:ascii="Arial" w:hAnsi="Arial" w:cs="Arial"/>
        </w:rPr>
        <w:t xml:space="preserve"> proposals for </w:t>
      </w:r>
      <w:r w:rsidR="008D4F15">
        <w:rPr>
          <w:rFonts w:ascii="Arial" w:hAnsi="Arial" w:cs="Arial"/>
        </w:rPr>
        <w:t>the next programming period; in particular</w:t>
      </w:r>
      <w:r w:rsidR="00A82372">
        <w:rPr>
          <w:rFonts w:ascii="Arial" w:hAnsi="Arial" w:cs="Arial"/>
        </w:rPr>
        <w:t xml:space="preserve"> on </w:t>
      </w:r>
      <w:r w:rsidR="00FB1157" w:rsidRPr="00FB1157">
        <w:rPr>
          <w:rFonts w:ascii="Arial" w:hAnsi="Arial" w:cs="Arial"/>
        </w:rPr>
        <w:t>better programming and monitoring, common indicators, a performance framework with milestones and targets and evaluation and accountability for results achieved as well as resources utilised.</w:t>
      </w:r>
    </w:p>
    <w:p w:rsidR="00957D7A" w:rsidRDefault="00957D7A" w:rsidP="00072B21">
      <w:pPr>
        <w:pStyle w:val="Default"/>
        <w:jc w:val="both"/>
        <w:rPr>
          <w:sz w:val="23"/>
          <w:szCs w:val="23"/>
        </w:rPr>
      </w:pPr>
    </w:p>
    <w:p w:rsidR="000508E3" w:rsidRPr="008D4F15" w:rsidRDefault="000561A1" w:rsidP="008D4F15">
      <w:pPr>
        <w:ind w:left="360" w:firstLine="360"/>
        <w:jc w:val="both"/>
        <w:rPr>
          <w:rFonts w:ascii="Arial" w:hAnsi="Arial" w:cs="Arial"/>
          <w:b/>
          <w:i/>
          <w:iCs/>
          <w:color w:val="000000" w:themeColor="text1"/>
        </w:rPr>
      </w:pPr>
      <w:r w:rsidRPr="008D4F15">
        <w:rPr>
          <w:rFonts w:ascii="Arial" w:hAnsi="Arial" w:cs="Arial"/>
          <w:b/>
          <w:i/>
          <w:iCs/>
          <w:color w:val="000000" w:themeColor="text1"/>
        </w:rPr>
        <w:t>Heading 2</w:t>
      </w:r>
      <w:r w:rsidR="00CB5F60" w:rsidRPr="008D4F15">
        <w:rPr>
          <w:rFonts w:ascii="Arial" w:hAnsi="Arial" w:cs="Arial"/>
          <w:b/>
          <w:i/>
          <w:iCs/>
          <w:color w:val="000000" w:themeColor="text1"/>
        </w:rPr>
        <w:t xml:space="preserve"> – Preservation and management of natural resources</w:t>
      </w:r>
      <w:r w:rsidRPr="008D4F15">
        <w:rPr>
          <w:rFonts w:ascii="Arial" w:hAnsi="Arial" w:cs="Arial"/>
          <w:b/>
          <w:i/>
          <w:iCs/>
          <w:color w:val="000000" w:themeColor="text1"/>
        </w:rPr>
        <w:t>:</w:t>
      </w:r>
    </w:p>
    <w:p w:rsidR="000508E3" w:rsidRPr="000508E3" w:rsidRDefault="000508E3" w:rsidP="00072B21">
      <w:pPr>
        <w:jc w:val="both"/>
        <w:rPr>
          <w:rFonts w:ascii="Arial" w:hAnsi="Arial" w:cs="Arial"/>
          <w:iCs/>
          <w:color w:val="000000" w:themeColor="text1"/>
        </w:rPr>
      </w:pPr>
    </w:p>
    <w:p w:rsidR="003D5E82" w:rsidRPr="003D5E82" w:rsidRDefault="00ED0586" w:rsidP="00072B21">
      <w:pPr>
        <w:pStyle w:val="ListParagraph"/>
        <w:numPr>
          <w:ilvl w:val="0"/>
          <w:numId w:val="3"/>
        </w:numPr>
        <w:jc w:val="both"/>
        <w:rPr>
          <w:rFonts w:ascii="Arial" w:hAnsi="Arial" w:cs="Arial"/>
          <w:iCs/>
          <w:color w:val="000000" w:themeColor="text1"/>
        </w:rPr>
      </w:pPr>
      <w:r w:rsidRPr="00ED0586">
        <w:rPr>
          <w:rFonts w:ascii="Arial" w:hAnsi="Arial" w:cs="Arial"/>
          <w:i/>
        </w:rPr>
        <w:t>Environmental policy</w:t>
      </w:r>
      <w:r>
        <w:rPr>
          <w:rFonts w:ascii="Arial" w:hAnsi="Arial" w:cs="Arial"/>
        </w:rPr>
        <w:t xml:space="preserve">: </w:t>
      </w:r>
      <w:r w:rsidR="000508E3" w:rsidRPr="000508E3">
        <w:rPr>
          <w:rFonts w:ascii="Arial" w:hAnsi="Arial" w:cs="Arial"/>
        </w:rPr>
        <w:t xml:space="preserve">evaluation of the LIFE programme </w:t>
      </w:r>
      <w:r w:rsidR="008D4F15">
        <w:rPr>
          <w:rFonts w:ascii="Arial" w:hAnsi="Arial" w:cs="Arial"/>
        </w:rPr>
        <w:t xml:space="preserve">concluded it demonstrated </w:t>
      </w:r>
      <w:r w:rsidR="000508E3" w:rsidRPr="000508E3">
        <w:rPr>
          <w:rFonts w:ascii="Arial" w:hAnsi="Arial" w:cs="Arial"/>
        </w:rPr>
        <w:t xml:space="preserve">EU added value, </w:t>
      </w:r>
      <w:r w:rsidR="008D4F15">
        <w:rPr>
          <w:rFonts w:ascii="Arial" w:hAnsi="Arial" w:cs="Arial"/>
        </w:rPr>
        <w:t>noting its</w:t>
      </w:r>
      <w:r w:rsidR="000508E3" w:rsidRPr="000508E3">
        <w:rPr>
          <w:rFonts w:ascii="Arial" w:hAnsi="Arial" w:cs="Arial"/>
        </w:rPr>
        <w:t xml:space="preserve"> ability to act as a platform for exchange of </w:t>
      </w:r>
      <w:r w:rsidR="008D4F15">
        <w:rPr>
          <w:rFonts w:ascii="Arial" w:hAnsi="Arial" w:cs="Arial"/>
        </w:rPr>
        <w:t xml:space="preserve">practice and knowledge-sharing. </w:t>
      </w:r>
      <w:r w:rsidR="000508E3" w:rsidRPr="000508E3">
        <w:rPr>
          <w:rFonts w:ascii="Arial" w:hAnsi="Arial" w:cs="Arial"/>
        </w:rPr>
        <w:t>The evaluation found improvements in some areas of programme implementation compared to earlier evaluations. For example, more weight has been given to EU a</w:t>
      </w:r>
      <w:r w:rsidR="006D2036">
        <w:rPr>
          <w:rFonts w:ascii="Arial" w:hAnsi="Arial" w:cs="Arial"/>
        </w:rPr>
        <w:t>dded value in project selection.</w:t>
      </w:r>
      <w:r w:rsidR="000508E3" w:rsidRPr="000508E3">
        <w:rPr>
          <w:rFonts w:ascii="Arial" w:hAnsi="Arial" w:cs="Arial"/>
        </w:rPr>
        <w:t xml:space="preserve"> </w:t>
      </w:r>
      <w:r w:rsidR="006D2036">
        <w:rPr>
          <w:rFonts w:ascii="Arial" w:hAnsi="Arial" w:cs="Arial"/>
        </w:rPr>
        <w:t>However</w:t>
      </w:r>
      <w:r w:rsidR="00B529C2">
        <w:rPr>
          <w:rFonts w:ascii="Arial" w:hAnsi="Arial" w:cs="Arial"/>
        </w:rPr>
        <w:t>,</w:t>
      </w:r>
      <w:r w:rsidR="000508E3" w:rsidRPr="000508E3">
        <w:rPr>
          <w:rFonts w:ascii="Arial" w:hAnsi="Arial" w:cs="Arial"/>
        </w:rPr>
        <w:t xml:space="preserve"> beneficiaries remain largely focussed on their individual projects and profiles. Whilst the electronic application process has reduced the administrative burden for applications, this burden is slightly higher than for other EU programmes. There is potential to expand the use of electronic reporting in project monitoring to further reduce the burden. Evidence from evaluations and consultations has contri</w:t>
      </w:r>
      <w:r w:rsidR="00CB5F60">
        <w:rPr>
          <w:rFonts w:ascii="Arial" w:hAnsi="Arial" w:cs="Arial"/>
        </w:rPr>
        <w:t>buted to the design of the new p</w:t>
      </w:r>
      <w:r w:rsidR="000508E3" w:rsidRPr="000508E3">
        <w:rPr>
          <w:rFonts w:ascii="Arial" w:hAnsi="Arial" w:cs="Arial"/>
        </w:rPr>
        <w:t>rogramme for the next MFF, which includes the objectives of: establishing a better link with EU policy priorities, including climate action; promoting the use of integrated projects; developi</w:t>
      </w:r>
      <w:r w:rsidR="006D2036">
        <w:rPr>
          <w:rFonts w:ascii="Arial" w:hAnsi="Arial" w:cs="Arial"/>
        </w:rPr>
        <w:t>ng synergies and complementarities</w:t>
      </w:r>
      <w:r w:rsidR="000508E3" w:rsidRPr="000508E3">
        <w:rPr>
          <w:rFonts w:ascii="Arial" w:hAnsi="Arial" w:cs="Arial"/>
        </w:rPr>
        <w:t xml:space="preserve"> with other EU Funds; promotin</w:t>
      </w:r>
      <w:r w:rsidR="006D2036">
        <w:rPr>
          <w:rFonts w:ascii="Arial" w:hAnsi="Arial" w:cs="Arial"/>
        </w:rPr>
        <w:t>g EU added value, solidarity and effort-sharing</w:t>
      </w:r>
      <w:r w:rsidR="000508E3" w:rsidRPr="000508E3">
        <w:rPr>
          <w:rFonts w:ascii="Arial" w:hAnsi="Arial" w:cs="Arial"/>
        </w:rPr>
        <w:t xml:space="preserve"> and simplifying the programme.</w:t>
      </w:r>
    </w:p>
    <w:p w:rsidR="00D33F03" w:rsidRPr="007A7B50" w:rsidRDefault="003D5E82" w:rsidP="007A7B50">
      <w:pPr>
        <w:pStyle w:val="ListParagraph"/>
        <w:numPr>
          <w:ilvl w:val="0"/>
          <w:numId w:val="3"/>
        </w:numPr>
        <w:jc w:val="both"/>
        <w:rPr>
          <w:rFonts w:ascii="Arial" w:hAnsi="Arial" w:cs="Arial"/>
          <w:iCs/>
          <w:color w:val="000000" w:themeColor="text1"/>
        </w:rPr>
      </w:pPr>
      <w:r w:rsidRPr="007A7B50">
        <w:rPr>
          <w:rFonts w:ascii="Arial" w:hAnsi="Arial" w:cs="Arial"/>
          <w:i/>
        </w:rPr>
        <w:t>Agriculture and rural development policies</w:t>
      </w:r>
      <w:r w:rsidRPr="007A7B50">
        <w:rPr>
          <w:rFonts w:ascii="Arial" w:hAnsi="Arial" w:cs="Arial"/>
        </w:rPr>
        <w:t>:</w:t>
      </w:r>
      <w:r w:rsidR="000731B4" w:rsidRPr="007A7B50">
        <w:rPr>
          <w:rFonts w:ascii="Arial" w:hAnsi="Arial" w:cs="Arial"/>
        </w:rPr>
        <w:t xml:space="preserve"> Common Agricultural policy (CAP)</w:t>
      </w:r>
      <w:r w:rsidR="006D2036" w:rsidRPr="007A7B50">
        <w:rPr>
          <w:rFonts w:ascii="Arial" w:hAnsi="Arial" w:cs="Arial"/>
        </w:rPr>
        <w:t xml:space="preserve"> Pillar 1 data on direct aid</w:t>
      </w:r>
      <w:r w:rsidR="000731B4" w:rsidRPr="007A7B50">
        <w:rPr>
          <w:rFonts w:ascii="Arial" w:hAnsi="Arial" w:cs="Arial"/>
        </w:rPr>
        <w:t xml:space="preserve"> indicates that decoupled payments </w:t>
      </w:r>
      <w:r w:rsidR="006D2036" w:rsidRPr="007A7B50">
        <w:rPr>
          <w:rFonts w:ascii="Arial" w:hAnsi="Arial" w:cs="Arial"/>
        </w:rPr>
        <w:t xml:space="preserve">do </w:t>
      </w:r>
      <w:r w:rsidR="000731B4" w:rsidRPr="007A7B50">
        <w:rPr>
          <w:rFonts w:ascii="Arial" w:hAnsi="Arial" w:cs="Arial"/>
        </w:rPr>
        <w:t xml:space="preserve">stabilise farm incomes and as such contribute to the economic viability of farms. </w:t>
      </w:r>
      <w:r w:rsidR="006D2036" w:rsidRPr="007A7B50">
        <w:rPr>
          <w:rFonts w:ascii="Arial" w:hAnsi="Arial" w:cs="Arial"/>
        </w:rPr>
        <w:t>F</w:t>
      </w:r>
      <w:r w:rsidR="000731B4" w:rsidRPr="007A7B50">
        <w:rPr>
          <w:rFonts w:ascii="Arial" w:hAnsi="Arial" w:cs="Arial"/>
        </w:rPr>
        <w:t>urther progress has been made in closing the programmes covering the 2000-</w:t>
      </w:r>
      <w:r w:rsidR="006D2036" w:rsidRPr="007A7B50">
        <w:rPr>
          <w:rFonts w:ascii="Arial" w:hAnsi="Arial" w:cs="Arial"/>
        </w:rPr>
        <w:t>20</w:t>
      </w:r>
      <w:r w:rsidR="000731B4" w:rsidRPr="007A7B50">
        <w:rPr>
          <w:rFonts w:ascii="Arial" w:hAnsi="Arial" w:cs="Arial"/>
        </w:rPr>
        <w:t xml:space="preserve">06 </w:t>
      </w:r>
      <w:r w:rsidR="006D2036" w:rsidRPr="007A7B50">
        <w:rPr>
          <w:rFonts w:ascii="Arial" w:hAnsi="Arial" w:cs="Arial"/>
        </w:rPr>
        <w:t>period</w:t>
      </w:r>
      <w:r w:rsidR="000731B4" w:rsidRPr="007A7B50">
        <w:rPr>
          <w:rFonts w:ascii="Arial" w:hAnsi="Arial" w:cs="Arial"/>
        </w:rPr>
        <w:t xml:space="preserve"> and in the implementation of the rural development programmes </w:t>
      </w:r>
      <w:r w:rsidR="006D2036" w:rsidRPr="007A7B50">
        <w:rPr>
          <w:rFonts w:ascii="Arial" w:hAnsi="Arial" w:cs="Arial"/>
        </w:rPr>
        <w:t xml:space="preserve">in </w:t>
      </w:r>
      <w:r w:rsidR="000731B4" w:rsidRPr="007A7B50">
        <w:rPr>
          <w:rFonts w:ascii="Arial" w:hAnsi="Arial" w:cs="Arial"/>
        </w:rPr>
        <w:t>2007-</w:t>
      </w:r>
      <w:r w:rsidR="006D2036" w:rsidRPr="007A7B50">
        <w:rPr>
          <w:rFonts w:ascii="Arial" w:hAnsi="Arial" w:cs="Arial"/>
        </w:rPr>
        <w:t>20</w:t>
      </w:r>
      <w:r w:rsidR="000731B4" w:rsidRPr="007A7B50">
        <w:rPr>
          <w:rFonts w:ascii="Arial" w:hAnsi="Arial" w:cs="Arial"/>
        </w:rPr>
        <w:t xml:space="preserve">13. </w:t>
      </w:r>
      <w:r w:rsidR="006D2036" w:rsidRPr="007A7B50">
        <w:rPr>
          <w:rFonts w:ascii="Arial" w:hAnsi="Arial" w:cs="Arial"/>
        </w:rPr>
        <w:t>In 2012</w:t>
      </w:r>
      <w:r w:rsidR="000B24B1" w:rsidRPr="007A7B50">
        <w:rPr>
          <w:rFonts w:ascii="Arial" w:hAnsi="Arial" w:cs="Arial"/>
        </w:rPr>
        <w:t xml:space="preserve"> six evaluations on different elements of </w:t>
      </w:r>
      <w:r w:rsidR="000731B4" w:rsidRPr="007A7B50">
        <w:rPr>
          <w:rFonts w:ascii="Arial" w:hAnsi="Arial" w:cs="Arial"/>
        </w:rPr>
        <w:t>CAP</w:t>
      </w:r>
      <w:r w:rsidR="000B24B1" w:rsidRPr="007A7B50">
        <w:rPr>
          <w:rFonts w:ascii="Arial" w:hAnsi="Arial" w:cs="Arial"/>
        </w:rPr>
        <w:t xml:space="preserve"> were conducted</w:t>
      </w:r>
      <w:r w:rsidR="006D2036" w:rsidRPr="007A7B50">
        <w:rPr>
          <w:rFonts w:ascii="Arial" w:hAnsi="Arial" w:cs="Arial"/>
        </w:rPr>
        <w:t>,</w:t>
      </w:r>
      <w:r w:rsidR="000B24B1" w:rsidRPr="007A7B50">
        <w:rPr>
          <w:rFonts w:ascii="Arial" w:hAnsi="Arial" w:cs="Arial"/>
        </w:rPr>
        <w:t xml:space="preserve"> examining in particular the impacts of its measures on markets, farm income, production structures, competitiveness, the environme</w:t>
      </w:r>
      <w:r w:rsidR="006D2036" w:rsidRPr="007A7B50">
        <w:rPr>
          <w:rFonts w:ascii="Arial" w:hAnsi="Arial" w:cs="Arial"/>
        </w:rPr>
        <w:t xml:space="preserve">nt and rural development. The ECA also produced </w:t>
      </w:r>
      <w:r w:rsidR="000B24B1" w:rsidRPr="007A7B50">
        <w:rPr>
          <w:rFonts w:ascii="Arial" w:hAnsi="Arial" w:cs="Arial"/>
        </w:rPr>
        <w:t xml:space="preserve">eight special reports </w:t>
      </w:r>
      <w:r w:rsidR="006D2036" w:rsidRPr="007A7B50">
        <w:rPr>
          <w:rFonts w:ascii="Arial" w:hAnsi="Arial" w:cs="Arial"/>
        </w:rPr>
        <w:t xml:space="preserve">with </w:t>
      </w:r>
      <w:r w:rsidR="000B24B1" w:rsidRPr="007A7B50">
        <w:rPr>
          <w:rFonts w:ascii="Arial" w:hAnsi="Arial" w:cs="Arial"/>
        </w:rPr>
        <w:t>performance-related feedback on targeted measures.</w:t>
      </w:r>
      <w:r w:rsidR="000731B4" w:rsidRPr="007A7B50">
        <w:rPr>
          <w:rFonts w:ascii="Arial" w:hAnsi="Arial" w:cs="Arial"/>
        </w:rPr>
        <w:t xml:space="preserve"> </w:t>
      </w:r>
      <w:r w:rsidR="007A7B50">
        <w:rPr>
          <w:rFonts w:ascii="Arial" w:hAnsi="Arial" w:cs="Arial"/>
        </w:rPr>
        <w:t>For example, the e</w:t>
      </w:r>
      <w:r w:rsidR="00306404" w:rsidRPr="007A7B50">
        <w:rPr>
          <w:rFonts w:ascii="Arial" w:hAnsi="Arial" w:cs="Arial"/>
        </w:rPr>
        <w:t xml:space="preserve">valuation of the wine sector found that the implementation of measures through national support programmes has been effective. However, some problems </w:t>
      </w:r>
      <w:r w:rsidR="007A7B50" w:rsidRPr="007A7B50">
        <w:rPr>
          <w:rFonts w:ascii="Arial" w:hAnsi="Arial" w:cs="Arial"/>
        </w:rPr>
        <w:t xml:space="preserve">were identified in </w:t>
      </w:r>
      <w:r w:rsidR="00306404" w:rsidRPr="007A7B50">
        <w:rPr>
          <w:rFonts w:ascii="Arial" w:hAnsi="Arial" w:cs="Arial"/>
        </w:rPr>
        <w:t>policy m</w:t>
      </w:r>
      <w:r w:rsidR="007A7B50" w:rsidRPr="007A7B50">
        <w:rPr>
          <w:rFonts w:ascii="Arial" w:hAnsi="Arial" w:cs="Arial"/>
        </w:rPr>
        <w:t xml:space="preserve">anagement and achieving </w:t>
      </w:r>
      <w:r w:rsidR="000731B4" w:rsidRPr="007A7B50">
        <w:rPr>
          <w:rFonts w:ascii="Arial" w:hAnsi="Arial" w:cs="Arial"/>
        </w:rPr>
        <w:t>s</w:t>
      </w:r>
      <w:r w:rsidR="007A7B50" w:rsidRPr="007A7B50">
        <w:rPr>
          <w:rFonts w:ascii="Arial" w:hAnsi="Arial" w:cs="Arial"/>
        </w:rPr>
        <w:t xml:space="preserve">implification. </w:t>
      </w:r>
      <w:r w:rsidR="007A7B50">
        <w:rPr>
          <w:rFonts w:ascii="Arial" w:hAnsi="Arial" w:cs="Arial"/>
        </w:rPr>
        <w:t>The e</w:t>
      </w:r>
      <w:r w:rsidR="00306404" w:rsidRPr="007A7B50">
        <w:rPr>
          <w:rFonts w:ascii="Arial" w:hAnsi="Arial" w:cs="Arial"/>
        </w:rPr>
        <w:t xml:space="preserve">valuation of the cereals sector confirmed that, while aid is needed to support producers' income, the switch to decoupling limits distorting effects and ensures coherence </w:t>
      </w:r>
      <w:r w:rsidRPr="007A7B50">
        <w:rPr>
          <w:rFonts w:ascii="Arial" w:hAnsi="Arial" w:cs="Arial"/>
        </w:rPr>
        <w:t>with the overall CAP objectives</w:t>
      </w:r>
      <w:r w:rsidR="00306404" w:rsidRPr="007A7B50">
        <w:rPr>
          <w:rFonts w:ascii="Arial" w:hAnsi="Arial" w:cs="Arial"/>
        </w:rPr>
        <w:t>.</w:t>
      </w:r>
      <w:r w:rsidR="007A7B50" w:rsidRPr="007A7B50">
        <w:rPr>
          <w:rFonts w:ascii="Arial" w:hAnsi="Arial" w:cs="Arial"/>
        </w:rPr>
        <w:t xml:space="preserve"> </w:t>
      </w:r>
      <w:r w:rsidR="007A7B50">
        <w:rPr>
          <w:rFonts w:ascii="Arial" w:hAnsi="Arial" w:cs="Arial"/>
        </w:rPr>
        <w:t>Finally, e</w:t>
      </w:r>
      <w:r w:rsidR="00306404" w:rsidRPr="007A7B50">
        <w:rPr>
          <w:rFonts w:ascii="Arial" w:hAnsi="Arial" w:cs="Arial"/>
        </w:rPr>
        <w:t>valua</w:t>
      </w:r>
      <w:r w:rsidR="000731B4" w:rsidRPr="007A7B50">
        <w:rPr>
          <w:rFonts w:ascii="Arial" w:hAnsi="Arial" w:cs="Arial"/>
        </w:rPr>
        <w:t xml:space="preserve">tion of the School Fruit Scheme </w:t>
      </w:r>
      <w:r w:rsidR="00B63DFC" w:rsidRPr="007A7B50">
        <w:rPr>
          <w:rFonts w:ascii="Arial" w:hAnsi="Arial" w:cs="Arial"/>
        </w:rPr>
        <w:t>showed</w:t>
      </w:r>
      <w:r w:rsidR="00306404" w:rsidRPr="007A7B50">
        <w:rPr>
          <w:rFonts w:ascii="Arial" w:hAnsi="Arial" w:cs="Arial"/>
        </w:rPr>
        <w:t xml:space="preserve"> that </w:t>
      </w:r>
      <w:r w:rsidRPr="007A7B50">
        <w:rPr>
          <w:rFonts w:ascii="Arial" w:hAnsi="Arial" w:cs="Arial"/>
        </w:rPr>
        <w:t>it</w:t>
      </w:r>
      <w:r w:rsidR="00306404" w:rsidRPr="007A7B50">
        <w:rPr>
          <w:rFonts w:ascii="Arial" w:hAnsi="Arial" w:cs="Arial"/>
        </w:rPr>
        <w:t xml:space="preserve"> was effective in increasing children's fruit and vegetable consumption in the short term, whilst the brief implementation period would not </w:t>
      </w:r>
      <w:r w:rsidRPr="007A7B50">
        <w:rPr>
          <w:rFonts w:ascii="Arial" w:hAnsi="Arial" w:cs="Arial"/>
        </w:rPr>
        <w:t>permit</w:t>
      </w:r>
      <w:r w:rsidR="00306404" w:rsidRPr="007A7B50">
        <w:rPr>
          <w:rFonts w:ascii="Arial" w:hAnsi="Arial" w:cs="Arial"/>
        </w:rPr>
        <w:t xml:space="preserve"> evaluation of the impact on improved ea</w:t>
      </w:r>
      <w:r w:rsidR="007A7B50" w:rsidRPr="007A7B50">
        <w:rPr>
          <w:rFonts w:ascii="Arial" w:hAnsi="Arial" w:cs="Arial"/>
        </w:rPr>
        <w:t>ting habits in the longer term.</w:t>
      </w:r>
    </w:p>
    <w:p w:rsidR="000508E3" w:rsidRPr="00ED39EB" w:rsidRDefault="003D5E82" w:rsidP="00072B21">
      <w:pPr>
        <w:pStyle w:val="ListParagraph"/>
        <w:numPr>
          <w:ilvl w:val="0"/>
          <w:numId w:val="7"/>
        </w:numPr>
        <w:jc w:val="both"/>
        <w:rPr>
          <w:rFonts w:ascii="Arial" w:hAnsi="Arial" w:cs="Arial"/>
          <w:iCs/>
          <w:color w:val="000000" w:themeColor="text1"/>
        </w:rPr>
      </w:pPr>
      <w:r w:rsidRPr="003D5E82">
        <w:rPr>
          <w:rFonts w:ascii="Arial" w:hAnsi="Arial" w:cs="Arial"/>
          <w:i/>
          <w:iCs/>
          <w:color w:val="000000" w:themeColor="text1"/>
        </w:rPr>
        <w:t>Maritime and Fisheries policies</w:t>
      </w:r>
      <w:r w:rsidRPr="003D5E82">
        <w:rPr>
          <w:rFonts w:ascii="Arial" w:hAnsi="Arial" w:cs="Arial"/>
          <w:iCs/>
          <w:color w:val="000000" w:themeColor="text1"/>
        </w:rPr>
        <w:t xml:space="preserve">: </w:t>
      </w:r>
      <w:r w:rsidR="006B2BD4" w:rsidRPr="008358B5">
        <w:rPr>
          <w:rFonts w:ascii="Arial" w:hAnsi="Arial" w:cs="Arial"/>
        </w:rPr>
        <w:t xml:space="preserve">decommissioning </w:t>
      </w:r>
      <w:r w:rsidR="006B2BD4">
        <w:rPr>
          <w:rFonts w:ascii="Arial" w:hAnsi="Arial" w:cs="Arial"/>
        </w:rPr>
        <w:t xml:space="preserve">of fishing vessels </w:t>
      </w:r>
      <w:r w:rsidR="006B2BD4" w:rsidRPr="008358B5">
        <w:rPr>
          <w:rFonts w:ascii="Arial" w:hAnsi="Arial" w:cs="Arial"/>
        </w:rPr>
        <w:t xml:space="preserve">has had limited impact on fishing capacity and effort, </w:t>
      </w:r>
      <w:r w:rsidR="00983D95">
        <w:rPr>
          <w:rFonts w:ascii="Arial" w:hAnsi="Arial" w:cs="Arial"/>
        </w:rPr>
        <w:t xml:space="preserve">and </w:t>
      </w:r>
      <w:r w:rsidR="006B2BD4" w:rsidRPr="008358B5">
        <w:rPr>
          <w:rFonts w:ascii="Arial" w:hAnsi="Arial" w:cs="Arial"/>
        </w:rPr>
        <w:t xml:space="preserve">better indicators </w:t>
      </w:r>
      <w:r w:rsidR="007A7B50">
        <w:rPr>
          <w:rFonts w:ascii="Arial" w:hAnsi="Arial" w:cs="Arial"/>
        </w:rPr>
        <w:t>are</w:t>
      </w:r>
      <w:r w:rsidR="006B2BD4" w:rsidRPr="008358B5">
        <w:rPr>
          <w:rFonts w:ascii="Arial" w:hAnsi="Arial" w:cs="Arial"/>
        </w:rPr>
        <w:t xml:space="preserve"> needed for the European</w:t>
      </w:r>
      <w:r w:rsidR="006B2BD4">
        <w:rPr>
          <w:rFonts w:ascii="Arial" w:hAnsi="Arial" w:cs="Arial"/>
        </w:rPr>
        <w:t xml:space="preserve"> Maritime and Fisheries Fund</w:t>
      </w:r>
      <w:r w:rsidR="007A7B50">
        <w:rPr>
          <w:rFonts w:ascii="Arial" w:hAnsi="Arial" w:cs="Arial"/>
        </w:rPr>
        <w:t xml:space="preserve"> from January 2014</w:t>
      </w:r>
      <w:r w:rsidR="00983D95">
        <w:rPr>
          <w:rFonts w:ascii="Arial" w:hAnsi="Arial" w:cs="Arial"/>
        </w:rPr>
        <w:t xml:space="preserve">. The synthesis report showed that although progress made in most priority areas (Axes) were satisfactory; </w:t>
      </w:r>
      <w:r w:rsidR="006B2BD4" w:rsidRPr="008358B5">
        <w:rPr>
          <w:rFonts w:ascii="Arial" w:hAnsi="Arial" w:cs="Arial"/>
        </w:rPr>
        <w:t xml:space="preserve">Axis 4 (community led local development) </w:t>
      </w:r>
      <w:r w:rsidR="006B2BD4" w:rsidRPr="008358B5">
        <w:rPr>
          <w:rFonts w:ascii="Arial" w:hAnsi="Arial" w:cs="Arial"/>
        </w:rPr>
        <w:lastRenderedPageBreak/>
        <w:t>implementation had been slow due to late implementation across Member States.</w:t>
      </w:r>
      <w:r w:rsidR="00983D95">
        <w:rPr>
          <w:rFonts w:ascii="Arial" w:hAnsi="Arial" w:cs="Arial"/>
        </w:rPr>
        <w:t xml:space="preserve"> The Commission’s</w:t>
      </w:r>
      <w:r w:rsidR="0039567B">
        <w:rPr>
          <w:rFonts w:ascii="Arial" w:hAnsi="Arial" w:cs="Arial"/>
        </w:rPr>
        <w:t xml:space="preserve"> internal audit of </w:t>
      </w:r>
      <w:r w:rsidR="00ED39EB">
        <w:rPr>
          <w:rFonts w:ascii="Arial" w:hAnsi="Arial" w:cs="Arial"/>
        </w:rPr>
        <w:t xml:space="preserve">several </w:t>
      </w:r>
      <w:r w:rsidR="008A73AD">
        <w:rPr>
          <w:rFonts w:ascii="Arial" w:hAnsi="Arial" w:cs="Arial"/>
        </w:rPr>
        <w:t>F</w:t>
      </w:r>
      <w:r w:rsidR="00ED39EB">
        <w:rPr>
          <w:rFonts w:ascii="Arial" w:hAnsi="Arial" w:cs="Arial"/>
        </w:rPr>
        <w:t xml:space="preserve">isheries </w:t>
      </w:r>
      <w:r w:rsidR="008A73AD">
        <w:rPr>
          <w:rFonts w:ascii="Arial" w:hAnsi="Arial" w:cs="Arial"/>
        </w:rPr>
        <w:t>P</w:t>
      </w:r>
      <w:r w:rsidR="00ED39EB" w:rsidRPr="00ED39EB">
        <w:rPr>
          <w:rFonts w:ascii="Arial" w:hAnsi="Arial" w:cs="Arial"/>
        </w:rPr>
        <w:t>artnership</w:t>
      </w:r>
      <w:r w:rsidR="008A73AD">
        <w:rPr>
          <w:rFonts w:ascii="Arial" w:hAnsi="Arial" w:cs="Arial"/>
        </w:rPr>
        <w:t>,</w:t>
      </w:r>
      <w:r w:rsidR="00ED39EB" w:rsidRPr="00ED39EB">
        <w:rPr>
          <w:rFonts w:ascii="Arial" w:hAnsi="Arial" w:cs="Arial"/>
        </w:rPr>
        <w:t xml:space="preserve"> considered that there were weaknesses in the current process of evaluating individual agreements, and recommended developing and implementing a standard methodology with a coherent and systematic approach to conduct both the ex-post and ex-ante evaluations.</w:t>
      </w:r>
      <w:r w:rsidR="00ED39EB" w:rsidRPr="00ED39EB">
        <w:rPr>
          <w:sz w:val="23"/>
          <w:szCs w:val="23"/>
        </w:rPr>
        <w:t xml:space="preserve"> </w:t>
      </w:r>
    </w:p>
    <w:p w:rsidR="00ED39EB" w:rsidRPr="00ED39EB" w:rsidRDefault="00ED39EB" w:rsidP="00072B21">
      <w:pPr>
        <w:pStyle w:val="ListParagraph"/>
        <w:jc w:val="both"/>
        <w:rPr>
          <w:rFonts w:ascii="Arial" w:hAnsi="Arial" w:cs="Arial"/>
          <w:iCs/>
          <w:color w:val="000000" w:themeColor="text1"/>
        </w:rPr>
      </w:pPr>
    </w:p>
    <w:p w:rsidR="00ED39EB" w:rsidRPr="007A7B50" w:rsidRDefault="00ED39EB" w:rsidP="007A7B50">
      <w:pPr>
        <w:ind w:left="360" w:firstLine="360"/>
        <w:jc w:val="both"/>
        <w:rPr>
          <w:rFonts w:ascii="Arial" w:hAnsi="Arial" w:cs="Arial"/>
          <w:b/>
          <w:i/>
          <w:iCs/>
          <w:color w:val="000000" w:themeColor="text1"/>
        </w:rPr>
      </w:pPr>
      <w:r w:rsidRPr="007A7B50">
        <w:rPr>
          <w:rFonts w:ascii="Arial" w:hAnsi="Arial" w:cs="Arial"/>
          <w:b/>
          <w:i/>
          <w:iCs/>
          <w:color w:val="000000" w:themeColor="text1"/>
        </w:rPr>
        <w:t>Heading 3A – Freedom, Security and Justice:</w:t>
      </w:r>
    </w:p>
    <w:p w:rsidR="003D5E82" w:rsidRDefault="003D5E82" w:rsidP="00072B21">
      <w:pPr>
        <w:jc w:val="both"/>
        <w:rPr>
          <w:rFonts w:ascii="Arial" w:hAnsi="Arial" w:cs="Arial"/>
          <w:iCs/>
          <w:color w:val="000000" w:themeColor="text1"/>
        </w:rPr>
      </w:pPr>
    </w:p>
    <w:p w:rsidR="00ED39EB" w:rsidRPr="007A7B50" w:rsidRDefault="00ED39EB" w:rsidP="007A7B50">
      <w:pPr>
        <w:pStyle w:val="ListParagraph"/>
        <w:numPr>
          <w:ilvl w:val="0"/>
          <w:numId w:val="7"/>
        </w:numPr>
        <w:jc w:val="both"/>
        <w:rPr>
          <w:rFonts w:ascii="Arial" w:hAnsi="Arial" w:cs="Arial"/>
          <w:iCs/>
          <w:color w:val="000000" w:themeColor="text1"/>
        </w:rPr>
      </w:pPr>
      <w:r w:rsidRPr="00FD6FDA">
        <w:rPr>
          <w:rFonts w:ascii="Arial" w:hAnsi="Arial" w:cs="Arial"/>
        </w:rPr>
        <w:t xml:space="preserve">The 2012 evaluation of the </w:t>
      </w:r>
      <w:r w:rsidRPr="00FD6FDA">
        <w:rPr>
          <w:rFonts w:ascii="Arial" w:hAnsi="Arial" w:cs="Arial"/>
          <w:i/>
        </w:rPr>
        <w:t>EU Crime Prevention Network</w:t>
      </w:r>
      <w:r w:rsidRPr="00FD6FDA">
        <w:rPr>
          <w:rFonts w:ascii="Arial" w:hAnsi="Arial" w:cs="Arial"/>
        </w:rPr>
        <w:t xml:space="preserve"> </w:t>
      </w:r>
      <w:r w:rsidR="00FD6FDA" w:rsidRPr="00FD6FDA">
        <w:rPr>
          <w:rFonts w:ascii="Arial" w:hAnsi="Arial" w:cs="Arial"/>
        </w:rPr>
        <w:t xml:space="preserve">highlighted </w:t>
      </w:r>
      <w:r w:rsidR="00983D95">
        <w:rPr>
          <w:rFonts w:ascii="Arial" w:hAnsi="Arial" w:cs="Arial"/>
        </w:rPr>
        <w:t>its</w:t>
      </w:r>
      <w:r w:rsidRPr="00FD6FDA">
        <w:rPr>
          <w:rFonts w:ascii="Arial" w:hAnsi="Arial" w:cs="Arial"/>
        </w:rPr>
        <w:t xml:space="preserve"> added value</w:t>
      </w:r>
      <w:r w:rsidR="007A7B50">
        <w:rPr>
          <w:rFonts w:ascii="Arial" w:hAnsi="Arial" w:cs="Arial"/>
        </w:rPr>
        <w:t>. The</w:t>
      </w:r>
      <w:r w:rsidRPr="00FD6FDA">
        <w:rPr>
          <w:rFonts w:ascii="Arial" w:hAnsi="Arial" w:cs="Arial"/>
        </w:rPr>
        <w:t xml:space="preserve"> European Council </w:t>
      </w:r>
      <w:r w:rsidR="007A7B50">
        <w:rPr>
          <w:rFonts w:ascii="Arial" w:hAnsi="Arial" w:cs="Arial"/>
        </w:rPr>
        <w:t xml:space="preserve">requested a </w:t>
      </w:r>
      <w:r w:rsidRPr="00FD6FDA">
        <w:rPr>
          <w:rFonts w:ascii="Arial" w:hAnsi="Arial" w:cs="Arial"/>
        </w:rPr>
        <w:t xml:space="preserve">study </w:t>
      </w:r>
      <w:r w:rsidR="007A7B50">
        <w:rPr>
          <w:rFonts w:ascii="Arial" w:hAnsi="Arial" w:cs="Arial"/>
        </w:rPr>
        <w:t xml:space="preserve">of </w:t>
      </w:r>
      <w:r w:rsidRPr="00FD6FDA">
        <w:rPr>
          <w:rFonts w:ascii="Arial" w:hAnsi="Arial" w:cs="Arial"/>
        </w:rPr>
        <w:t>the possibility for establishing</w:t>
      </w:r>
      <w:r w:rsidR="007A7B50">
        <w:rPr>
          <w:rFonts w:ascii="Arial" w:hAnsi="Arial" w:cs="Arial"/>
        </w:rPr>
        <w:t xml:space="preserve"> a Crime Prevention Observatory;</w:t>
      </w:r>
      <w:r w:rsidRPr="00FD6FDA">
        <w:rPr>
          <w:rFonts w:ascii="Arial" w:hAnsi="Arial" w:cs="Arial"/>
        </w:rPr>
        <w:t xml:space="preserve"> </w:t>
      </w:r>
      <w:r w:rsidR="007A7B50">
        <w:rPr>
          <w:rFonts w:ascii="Arial" w:hAnsi="Arial" w:cs="Arial"/>
        </w:rPr>
        <w:t xml:space="preserve">however </w:t>
      </w:r>
      <w:r w:rsidRPr="00FD6FDA">
        <w:rPr>
          <w:rFonts w:ascii="Arial" w:hAnsi="Arial" w:cs="Arial"/>
        </w:rPr>
        <w:t xml:space="preserve">the Commission recommended consolidating </w:t>
      </w:r>
      <w:r w:rsidR="00983D95">
        <w:rPr>
          <w:rFonts w:ascii="Arial" w:hAnsi="Arial" w:cs="Arial"/>
        </w:rPr>
        <w:t xml:space="preserve">the </w:t>
      </w:r>
      <w:r w:rsidRPr="00FD6FDA">
        <w:rPr>
          <w:rFonts w:ascii="Arial" w:hAnsi="Arial" w:cs="Arial"/>
        </w:rPr>
        <w:t xml:space="preserve">progress made and improving the functioning of the Network rather than establishing an Observatory. The evaluation </w:t>
      </w:r>
      <w:r w:rsidR="00F11D19">
        <w:rPr>
          <w:rFonts w:ascii="Arial" w:hAnsi="Arial" w:cs="Arial"/>
        </w:rPr>
        <w:t>highlighted</w:t>
      </w:r>
      <w:r w:rsidRPr="00FD6FDA">
        <w:rPr>
          <w:rFonts w:ascii="Arial" w:hAnsi="Arial" w:cs="Arial"/>
        </w:rPr>
        <w:t xml:space="preserve"> a number of weaknesses, including on organisation and governance, </w:t>
      </w:r>
      <w:r w:rsidR="00F11D19">
        <w:rPr>
          <w:rFonts w:ascii="Arial" w:hAnsi="Arial" w:cs="Arial"/>
        </w:rPr>
        <w:t xml:space="preserve">which </w:t>
      </w:r>
      <w:r w:rsidRPr="00FD6FDA">
        <w:rPr>
          <w:rFonts w:ascii="Arial" w:hAnsi="Arial" w:cs="Arial"/>
        </w:rPr>
        <w:t xml:space="preserve">would need to be corrected through a more systematic alignment of the Network with agreed EU priorities, a stronger role in making inputs to EU and Member State policymaking and a more strategic approach to determining activities. </w:t>
      </w:r>
      <w:r w:rsidR="007A7B50">
        <w:rPr>
          <w:rFonts w:ascii="Arial" w:hAnsi="Arial" w:cs="Arial"/>
        </w:rPr>
        <w:t xml:space="preserve">ECA evaluation of </w:t>
      </w:r>
      <w:r w:rsidR="00D27446" w:rsidRPr="007A7B50">
        <w:rPr>
          <w:rFonts w:ascii="Arial" w:hAnsi="Arial" w:cs="Arial"/>
        </w:rPr>
        <w:t>the European Integration Fun</w:t>
      </w:r>
      <w:r w:rsidR="001911DA">
        <w:rPr>
          <w:rFonts w:ascii="Arial" w:hAnsi="Arial" w:cs="Arial"/>
        </w:rPr>
        <w:t>d and the European Refugee Fund’s effectiveness in integrati</w:t>
      </w:r>
      <w:r w:rsidR="00D27446" w:rsidRPr="007A7B50">
        <w:rPr>
          <w:rFonts w:ascii="Arial" w:hAnsi="Arial" w:cs="Arial"/>
        </w:rPr>
        <w:t>n</w:t>
      </w:r>
      <w:r w:rsidR="001911DA">
        <w:rPr>
          <w:rFonts w:ascii="Arial" w:hAnsi="Arial" w:cs="Arial"/>
        </w:rPr>
        <w:t>g</w:t>
      </w:r>
      <w:r w:rsidR="00D27446" w:rsidRPr="007A7B50">
        <w:rPr>
          <w:rFonts w:ascii="Arial" w:hAnsi="Arial" w:cs="Arial"/>
        </w:rPr>
        <w:t xml:space="preserve"> third-country nationals highlighted actions and projects </w:t>
      </w:r>
      <w:r w:rsidR="00FD6FDA" w:rsidRPr="007A7B50">
        <w:rPr>
          <w:rFonts w:ascii="Arial" w:hAnsi="Arial" w:cs="Arial"/>
        </w:rPr>
        <w:t>that showed</w:t>
      </w:r>
      <w:r w:rsidR="00D27446" w:rsidRPr="007A7B50">
        <w:rPr>
          <w:rFonts w:ascii="Arial" w:hAnsi="Arial" w:cs="Arial"/>
        </w:rPr>
        <w:t xml:space="preserve"> positive results</w:t>
      </w:r>
      <w:r w:rsidR="00FD6FDA" w:rsidRPr="007A7B50">
        <w:rPr>
          <w:rFonts w:ascii="Arial" w:hAnsi="Arial" w:cs="Arial"/>
        </w:rPr>
        <w:t>.</w:t>
      </w:r>
      <w:r w:rsidR="001911DA">
        <w:rPr>
          <w:rFonts w:ascii="Arial" w:hAnsi="Arial" w:cs="Arial"/>
        </w:rPr>
        <w:t xml:space="preserve"> However, i</w:t>
      </w:r>
      <w:r w:rsidR="00FD6FDA" w:rsidRPr="007A7B50">
        <w:rPr>
          <w:rFonts w:ascii="Arial" w:hAnsi="Arial" w:cs="Arial"/>
        </w:rPr>
        <w:t>t was critical of</w:t>
      </w:r>
      <w:r w:rsidR="00D27446" w:rsidRPr="007A7B50">
        <w:rPr>
          <w:rFonts w:ascii="Arial" w:hAnsi="Arial" w:cs="Arial"/>
        </w:rPr>
        <w:t xml:space="preserve"> the general effectiveness of the Funds</w:t>
      </w:r>
      <w:r w:rsidR="00FD6FDA" w:rsidRPr="007A7B50">
        <w:rPr>
          <w:rFonts w:ascii="Arial" w:hAnsi="Arial" w:cs="Arial"/>
        </w:rPr>
        <w:t>,</w:t>
      </w:r>
      <w:r w:rsidR="00D27446" w:rsidRPr="007A7B50">
        <w:rPr>
          <w:rFonts w:ascii="Arial" w:hAnsi="Arial" w:cs="Arial"/>
        </w:rPr>
        <w:t xml:space="preserve"> and made a number of recommendations including the need for </w:t>
      </w:r>
      <w:r w:rsidR="001911DA">
        <w:rPr>
          <w:rFonts w:ascii="Arial" w:hAnsi="Arial" w:cs="Arial"/>
        </w:rPr>
        <w:t xml:space="preserve">having </w:t>
      </w:r>
      <w:r w:rsidR="001911DA" w:rsidRPr="007A7B50">
        <w:rPr>
          <w:rFonts w:ascii="Arial" w:hAnsi="Arial" w:cs="Arial"/>
        </w:rPr>
        <w:t>management and control systems</w:t>
      </w:r>
      <w:r w:rsidR="001911DA">
        <w:rPr>
          <w:rFonts w:ascii="Arial" w:hAnsi="Arial" w:cs="Arial"/>
        </w:rPr>
        <w:t xml:space="preserve"> in place and</w:t>
      </w:r>
      <w:r w:rsidR="001911DA" w:rsidRPr="007A7B50">
        <w:rPr>
          <w:rFonts w:ascii="Arial" w:hAnsi="Arial" w:cs="Arial"/>
        </w:rPr>
        <w:t xml:space="preserve"> </w:t>
      </w:r>
      <w:r w:rsidR="001911DA">
        <w:rPr>
          <w:rFonts w:ascii="Arial" w:hAnsi="Arial" w:cs="Arial"/>
        </w:rPr>
        <w:t>simplifying</w:t>
      </w:r>
      <w:r w:rsidR="00D27446" w:rsidRPr="007A7B50">
        <w:rPr>
          <w:rFonts w:ascii="Arial" w:hAnsi="Arial" w:cs="Arial"/>
        </w:rPr>
        <w:t xml:space="preserve"> the programming arrangements. The Commission</w:t>
      </w:r>
      <w:r w:rsidR="00453C38" w:rsidRPr="007A7B50">
        <w:rPr>
          <w:rFonts w:ascii="Arial" w:hAnsi="Arial" w:cs="Arial"/>
        </w:rPr>
        <w:t>’s</w:t>
      </w:r>
      <w:r w:rsidR="001911DA">
        <w:rPr>
          <w:rFonts w:ascii="Arial" w:hAnsi="Arial" w:cs="Arial"/>
        </w:rPr>
        <w:t xml:space="preserve"> proposal</w:t>
      </w:r>
      <w:r w:rsidR="00D27446" w:rsidRPr="007A7B50">
        <w:rPr>
          <w:rFonts w:ascii="Arial" w:hAnsi="Arial" w:cs="Arial"/>
        </w:rPr>
        <w:t xml:space="preserve"> for the programmes in the next </w:t>
      </w:r>
      <w:r w:rsidR="00983D95" w:rsidRPr="007A7B50">
        <w:rPr>
          <w:rFonts w:ascii="Arial" w:hAnsi="Arial" w:cs="Arial"/>
        </w:rPr>
        <w:t>MFF</w:t>
      </w:r>
      <w:r w:rsidR="00D27446" w:rsidRPr="007A7B50">
        <w:rPr>
          <w:rFonts w:ascii="Arial" w:hAnsi="Arial" w:cs="Arial"/>
        </w:rPr>
        <w:t xml:space="preserve"> on the Asylum and Migration Fund and Internal Security Fund took the ECA’s recommendations on board. </w:t>
      </w:r>
    </w:p>
    <w:p w:rsidR="00ED39EB" w:rsidRPr="000508E3" w:rsidRDefault="00ED39EB" w:rsidP="00072B21">
      <w:pPr>
        <w:jc w:val="both"/>
        <w:rPr>
          <w:rFonts w:ascii="Arial" w:hAnsi="Arial" w:cs="Arial"/>
          <w:iCs/>
          <w:color w:val="000000" w:themeColor="text1"/>
        </w:rPr>
      </w:pPr>
    </w:p>
    <w:p w:rsidR="00D27446" w:rsidRPr="001911DA" w:rsidRDefault="00D27446" w:rsidP="001911DA">
      <w:pPr>
        <w:ind w:left="360" w:firstLine="360"/>
        <w:jc w:val="both"/>
        <w:rPr>
          <w:rFonts w:ascii="Arial" w:hAnsi="Arial" w:cs="Arial"/>
          <w:b/>
          <w:i/>
          <w:iCs/>
          <w:color w:val="000000" w:themeColor="text1"/>
        </w:rPr>
      </w:pPr>
      <w:r w:rsidRPr="001911DA">
        <w:rPr>
          <w:rFonts w:ascii="Arial" w:hAnsi="Arial" w:cs="Arial"/>
          <w:b/>
          <w:i/>
          <w:iCs/>
          <w:color w:val="000000" w:themeColor="text1"/>
        </w:rPr>
        <w:t>Heading 3B – Citizenship</w:t>
      </w:r>
      <w:r w:rsidR="001911DA">
        <w:rPr>
          <w:rFonts w:ascii="Arial" w:hAnsi="Arial" w:cs="Arial"/>
          <w:b/>
          <w:i/>
          <w:iCs/>
          <w:color w:val="000000" w:themeColor="text1"/>
        </w:rPr>
        <w:t>:</w:t>
      </w:r>
    </w:p>
    <w:p w:rsidR="00D27446" w:rsidRPr="002B1D96" w:rsidRDefault="00D27446" w:rsidP="00072B21">
      <w:pPr>
        <w:ind w:left="360"/>
        <w:jc w:val="both"/>
        <w:rPr>
          <w:rFonts w:ascii="Arial" w:hAnsi="Arial" w:cs="Arial"/>
          <w:iCs/>
          <w:color w:val="000000" w:themeColor="text1"/>
        </w:rPr>
      </w:pPr>
    </w:p>
    <w:p w:rsidR="002B1D96" w:rsidRDefault="002B1D96" w:rsidP="00072B21">
      <w:pPr>
        <w:pStyle w:val="Default"/>
        <w:numPr>
          <w:ilvl w:val="0"/>
          <w:numId w:val="8"/>
        </w:numPr>
        <w:jc w:val="both"/>
        <w:rPr>
          <w:rFonts w:ascii="Arial" w:hAnsi="Arial" w:cs="Arial"/>
        </w:rPr>
      </w:pPr>
      <w:r w:rsidRPr="002B1D96">
        <w:rPr>
          <w:rFonts w:ascii="Arial" w:hAnsi="Arial" w:cs="Arial"/>
          <w:i/>
        </w:rPr>
        <w:t>Communication policy</w:t>
      </w:r>
      <w:r>
        <w:rPr>
          <w:rFonts w:ascii="Arial" w:hAnsi="Arial" w:cs="Arial"/>
        </w:rPr>
        <w:t xml:space="preserve">: </w:t>
      </w:r>
      <w:r w:rsidR="00D27446" w:rsidRPr="002B1D96">
        <w:rPr>
          <w:rFonts w:ascii="Arial" w:hAnsi="Arial" w:cs="Arial"/>
        </w:rPr>
        <w:t>evaluation</w:t>
      </w:r>
      <w:r w:rsidRPr="002B1D96">
        <w:rPr>
          <w:rFonts w:ascii="Arial" w:hAnsi="Arial" w:cs="Arial"/>
        </w:rPr>
        <w:t xml:space="preserve"> of the </w:t>
      </w:r>
      <w:r w:rsidR="00D27446" w:rsidRPr="002B1D96">
        <w:rPr>
          <w:rFonts w:ascii="Arial" w:hAnsi="Arial" w:cs="Arial"/>
        </w:rPr>
        <w:t xml:space="preserve">European Year of </w:t>
      </w:r>
      <w:r w:rsidRPr="002B1D96">
        <w:rPr>
          <w:rFonts w:ascii="Arial" w:hAnsi="Arial" w:cs="Arial"/>
        </w:rPr>
        <w:t>Volunteering 2011 concluded that its objectives and activities were relevant and targeted, and that the results-oriented approaches have been successful in reaching the object</w:t>
      </w:r>
      <w:r w:rsidR="004C28CB">
        <w:rPr>
          <w:rFonts w:ascii="Arial" w:hAnsi="Arial" w:cs="Arial"/>
        </w:rPr>
        <w:t>ives in all Member States</w:t>
      </w:r>
      <w:r w:rsidR="00F11D19">
        <w:rPr>
          <w:rFonts w:ascii="Arial" w:hAnsi="Arial" w:cs="Arial"/>
        </w:rPr>
        <w:t>,</w:t>
      </w:r>
      <w:r w:rsidR="004C28CB">
        <w:rPr>
          <w:rFonts w:ascii="Arial" w:hAnsi="Arial" w:cs="Arial"/>
        </w:rPr>
        <w:t xml:space="preserve"> al</w:t>
      </w:r>
      <w:r w:rsidRPr="002B1D96">
        <w:rPr>
          <w:rFonts w:ascii="Arial" w:hAnsi="Arial" w:cs="Arial"/>
        </w:rPr>
        <w:t>though the impact varied according to specific national situations.</w:t>
      </w:r>
    </w:p>
    <w:p w:rsidR="00D27446" w:rsidRPr="00794777" w:rsidRDefault="002B1D96" w:rsidP="00072B21">
      <w:pPr>
        <w:pStyle w:val="Default"/>
        <w:numPr>
          <w:ilvl w:val="0"/>
          <w:numId w:val="8"/>
        </w:numPr>
        <w:jc w:val="both"/>
        <w:rPr>
          <w:rFonts w:ascii="Arial" w:hAnsi="Arial" w:cs="Arial"/>
        </w:rPr>
      </w:pPr>
      <w:r w:rsidRPr="002B1D96">
        <w:rPr>
          <w:rFonts w:ascii="Arial" w:hAnsi="Arial" w:cs="Arial"/>
          <w:i/>
        </w:rPr>
        <w:t>Cultural policy</w:t>
      </w:r>
      <w:r>
        <w:rPr>
          <w:rFonts w:ascii="Arial" w:hAnsi="Arial" w:cs="Arial"/>
        </w:rPr>
        <w:t xml:space="preserve">: </w:t>
      </w:r>
      <w:r w:rsidRPr="002B1D96">
        <w:rPr>
          <w:rFonts w:ascii="Arial" w:hAnsi="Arial" w:cs="Arial"/>
        </w:rPr>
        <w:t xml:space="preserve"> the Youth in Act</w:t>
      </w:r>
      <w:r w:rsidR="00507C8C">
        <w:rPr>
          <w:rFonts w:ascii="Arial" w:hAnsi="Arial" w:cs="Arial"/>
        </w:rPr>
        <w:t xml:space="preserve">ion programme (YiA), MEDIA 2007-2013, </w:t>
      </w:r>
      <w:r w:rsidRPr="002B1D96">
        <w:rPr>
          <w:rFonts w:ascii="Arial" w:hAnsi="Arial" w:cs="Arial"/>
        </w:rPr>
        <w:t>MEDIA Mu</w:t>
      </w:r>
      <w:r w:rsidR="00507C8C">
        <w:rPr>
          <w:rFonts w:ascii="Arial" w:hAnsi="Arial" w:cs="Arial"/>
        </w:rPr>
        <w:t xml:space="preserve">ndus and the Culture Programmes were </w:t>
      </w:r>
      <w:r>
        <w:rPr>
          <w:rFonts w:ascii="Arial" w:hAnsi="Arial" w:cs="Arial"/>
        </w:rPr>
        <w:t xml:space="preserve">all </w:t>
      </w:r>
      <w:r w:rsidR="00507C8C">
        <w:rPr>
          <w:rFonts w:ascii="Arial" w:hAnsi="Arial" w:cs="Arial"/>
        </w:rPr>
        <w:t>implemented</w:t>
      </w:r>
      <w:r w:rsidR="004C28CB">
        <w:rPr>
          <w:rFonts w:ascii="Arial" w:hAnsi="Arial" w:cs="Arial"/>
        </w:rPr>
        <w:t xml:space="preserve"> as foreseen, on schedule </w:t>
      </w:r>
      <w:r w:rsidRPr="002B1D96">
        <w:rPr>
          <w:rFonts w:ascii="Arial" w:hAnsi="Arial" w:cs="Arial"/>
        </w:rPr>
        <w:t>and in all participating countries</w:t>
      </w:r>
      <w:r w:rsidR="00F92F88">
        <w:rPr>
          <w:rFonts w:ascii="Arial" w:hAnsi="Arial" w:cs="Arial"/>
        </w:rPr>
        <w:t>.</w:t>
      </w:r>
      <w:r w:rsidR="00F92F88" w:rsidRPr="00F92F88">
        <w:rPr>
          <w:sz w:val="23"/>
          <w:szCs w:val="23"/>
        </w:rPr>
        <w:t xml:space="preserve"> </w:t>
      </w:r>
      <w:r w:rsidR="00507C8C">
        <w:rPr>
          <w:rFonts w:ascii="Arial" w:hAnsi="Arial" w:cs="Arial"/>
        </w:rPr>
        <w:t>In 2012</w:t>
      </w:r>
      <w:r w:rsidR="00F92F88" w:rsidRPr="00F92F88">
        <w:rPr>
          <w:rFonts w:ascii="Arial" w:hAnsi="Arial" w:cs="Arial"/>
        </w:rPr>
        <w:t xml:space="preserve"> YiA supported </w:t>
      </w:r>
      <w:r w:rsidR="00507C8C">
        <w:rPr>
          <w:rFonts w:ascii="Arial" w:hAnsi="Arial" w:cs="Arial"/>
        </w:rPr>
        <w:t xml:space="preserve">a </w:t>
      </w:r>
      <w:r w:rsidR="00F92F88" w:rsidRPr="00F92F88">
        <w:rPr>
          <w:rFonts w:ascii="Arial" w:hAnsi="Arial" w:cs="Arial"/>
        </w:rPr>
        <w:t xml:space="preserve">greater number of young people and youth workers; </w:t>
      </w:r>
      <w:r w:rsidR="004C28CB">
        <w:rPr>
          <w:rFonts w:ascii="Arial" w:hAnsi="Arial" w:cs="Arial"/>
        </w:rPr>
        <w:t xml:space="preserve">and </w:t>
      </w:r>
      <w:r w:rsidR="00F92F88" w:rsidRPr="00F92F88">
        <w:rPr>
          <w:rFonts w:ascii="Arial" w:hAnsi="Arial" w:cs="Arial"/>
        </w:rPr>
        <w:t xml:space="preserve">with 200,000 participants, the programme has proven to be increasingly attractive </w:t>
      </w:r>
      <w:r w:rsidR="004C28CB">
        <w:rPr>
          <w:rFonts w:ascii="Arial" w:hAnsi="Arial" w:cs="Arial"/>
        </w:rPr>
        <w:t>as</w:t>
      </w:r>
      <w:r w:rsidR="00F92F88" w:rsidRPr="00F92F88">
        <w:rPr>
          <w:rFonts w:ascii="Arial" w:hAnsi="Arial" w:cs="Arial"/>
        </w:rPr>
        <w:t xml:space="preserve"> </w:t>
      </w:r>
      <w:r w:rsidR="004C28CB">
        <w:rPr>
          <w:rFonts w:ascii="Arial" w:hAnsi="Arial" w:cs="Arial"/>
        </w:rPr>
        <w:t>it</w:t>
      </w:r>
      <w:r w:rsidR="00F92F88" w:rsidRPr="00F92F88">
        <w:rPr>
          <w:rFonts w:ascii="Arial" w:hAnsi="Arial" w:cs="Arial"/>
        </w:rPr>
        <w:t xml:space="preserve"> contributes to the recognition of non-formal learning.</w:t>
      </w:r>
      <w:r w:rsidR="00F92F88">
        <w:t xml:space="preserve"> </w:t>
      </w:r>
      <w:r w:rsidR="00F92F88" w:rsidRPr="00F92F88">
        <w:rPr>
          <w:rFonts w:ascii="Arial" w:hAnsi="Arial" w:cs="Arial"/>
        </w:rPr>
        <w:t xml:space="preserve">According to the latest available monitoring survey, 67% of participants believe that their job chances have increased </w:t>
      </w:r>
      <w:r w:rsidR="00507C8C">
        <w:rPr>
          <w:rFonts w:ascii="Arial" w:hAnsi="Arial" w:cs="Arial"/>
        </w:rPr>
        <w:t>as a result of thei</w:t>
      </w:r>
      <w:r w:rsidR="00F92F88" w:rsidRPr="00F92F88">
        <w:rPr>
          <w:rFonts w:ascii="Arial" w:hAnsi="Arial" w:cs="Arial"/>
        </w:rPr>
        <w:t>r YiA experience (61% in previous survey).</w:t>
      </w:r>
    </w:p>
    <w:p w:rsidR="00D27446" w:rsidRPr="00D27446" w:rsidRDefault="00D27446" w:rsidP="00072B21">
      <w:pPr>
        <w:ind w:left="360"/>
        <w:jc w:val="both"/>
        <w:rPr>
          <w:rFonts w:ascii="Arial" w:hAnsi="Arial" w:cs="Arial"/>
          <w:iCs/>
          <w:color w:val="000000" w:themeColor="text1"/>
        </w:rPr>
      </w:pPr>
    </w:p>
    <w:p w:rsidR="00F92F88" w:rsidRPr="00507C8C" w:rsidRDefault="00F92F88" w:rsidP="00507C8C">
      <w:pPr>
        <w:ind w:left="360" w:firstLine="360"/>
        <w:jc w:val="both"/>
        <w:rPr>
          <w:rFonts w:ascii="Arial" w:hAnsi="Arial" w:cs="Arial"/>
          <w:b/>
          <w:i/>
          <w:iCs/>
          <w:color w:val="000000" w:themeColor="text1"/>
        </w:rPr>
      </w:pPr>
      <w:r w:rsidRPr="00507C8C">
        <w:rPr>
          <w:rFonts w:ascii="Arial" w:hAnsi="Arial" w:cs="Arial"/>
          <w:b/>
          <w:i/>
          <w:iCs/>
          <w:color w:val="000000" w:themeColor="text1"/>
        </w:rPr>
        <w:t xml:space="preserve">Heading 4 – </w:t>
      </w:r>
      <w:r w:rsidR="00507C8C">
        <w:rPr>
          <w:rFonts w:ascii="Arial" w:hAnsi="Arial" w:cs="Arial"/>
          <w:b/>
          <w:i/>
          <w:iCs/>
          <w:color w:val="000000" w:themeColor="text1"/>
        </w:rPr>
        <w:t>EU as a global player:</w:t>
      </w:r>
    </w:p>
    <w:p w:rsidR="00F92F88" w:rsidRDefault="00F92F88" w:rsidP="00072B21">
      <w:pPr>
        <w:jc w:val="both"/>
        <w:rPr>
          <w:rFonts w:ascii="Arial" w:hAnsi="Arial" w:cs="Arial"/>
          <w:i/>
        </w:rPr>
      </w:pPr>
    </w:p>
    <w:p w:rsidR="000E7278" w:rsidRPr="006A3E39" w:rsidRDefault="00F92F88" w:rsidP="00072B21">
      <w:pPr>
        <w:pStyle w:val="ListParagraph"/>
        <w:numPr>
          <w:ilvl w:val="0"/>
          <w:numId w:val="9"/>
        </w:numPr>
        <w:jc w:val="both"/>
        <w:rPr>
          <w:rFonts w:ascii="Arial" w:hAnsi="Arial" w:cs="Arial"/>
          <w:iCs/>
          <w:color w:val="000000" w:themeColor="text1"/>
        </w:rPr>
      </w:pPr>
      <w:r w:rsidRPr="006A3E39">
        <w:rPr>
          <w:rFonts w:ascii="Arial" w:hAnsi="Arial" w:cs="Arial"/>
          <w:i/>
        </w:rPr>
        <w:t xml:space="preserve">Development and external relations: </w:t>
      </w:r>
      <w:r w:rsidR="00B11717" w:rsidRPr="006A3E39">
        <w:rPr>
          <w:rFonts w:ascii="Arial" w:hAnsi="Arial" w:cs="Arial"/>
        </w:rPr>
        <w:t>evaluation</w:t>
      </w:r>
      <w:r w:rsidRPr="006A3E39">
        <w:rPr>
          <w:rFonts w:ascii="Arial" w:hAnsi="Arial" w:cs="Arial"/>
        </w:rPr>
        <w:t xml:space="preserve"> showed that </w:t>
      </w:r>
      <w:r w:rsidR="00B11717" w:rsidRPr="006A3E39">
        <w:rPr>
          <w:rFonts w:ascii="Arial" w:hAnsi="Arial" w:cs="Arial"/>
        </w:rPr>
        <w:t xml:space="preserve">in general </w:t>
      </w:r>
      <w:r w:rsidRPr="006A3E39">
        <w:rPr>
          <w:rFonts w:ascii="Arial" w:hAnsi="Arial" w:cs="Arial"/>
        </w:rPr>
        <w:t>at the strategic level, EU interventions address</w:t>
      </w:r>
      <w:r w:rsidR="004C28CB" w:rsidRPr="006A3E39">
        <w:rPr>
          <w:rFonts w:ascii="Arial" w:hAnsi="Arial" w:cs="Arial"/>
        </w:rPr>
        <w:t>ed</w:t>
      </w:r>
      <w:r w:rsidRPr="006A3E39">
        <w:rPr>
          <w:rFonts w:ascii="Arial" w:hAnsi="Arial" w:cs="Arial"/>
        </w:rPr>
        <w:t xml:space="preserve"> the needs of partner countries and </w:t>
      </w:r>
      <w:r w:rsidR="006A3E39" w:rsidRPr="006A3E39">
        <w:rPr>
          <w:rFonts w:ascii="Arial" w:hAnsi="Arial" w:cs="Arial"/>
        </w:rPr>
        <w:t xml:space="preserve">their population, but should be </w:t>
      </w:r>
      <w:r w:rsidRPr="006A3E39">
        <w:rPr>
          <w:rFonts w:ascii="Arial" w:hAnsi="Arial" w:cs="Arial"/>
        </w:rPr>
        <w:t xml:space="preserve">flexible </w:t>
      </w:r>
      <w:r w:rsidR="006A3E39" w:rsidRPr="006A3E39">
        <w:rPr>
          <w:rFonts w:ascii="Arial" w:hAnsi="Arial" w:cs="Arial"/>
        </w:rPr>
        <w:t xml:space="preserve">enough </w:t>
      </w:r>
      <w:r w:rsidRPr="006A3E39">
        <w:rPr>
          <w:rFonts w:ascii="Arial" w:hAnsi="Arial" w:cs="Arial"/>
        </w:rPr>
        <w:t>to anticipate and adjust to a changing context. In fragile states, it recommends that the EU should focus more on development and good governance, and that civil society organisations can act as a catalyst for improving the relevance of EU strategies and for holding governments accountable.</w:t>
      </w:r>
    </w:p>
    <w:p w:rsidR="008A73AD" w:rsidRPr="008A73AD" w:rsidRDefault="000E7278" w:rsidP="00072B21">
      <w:pPr>
        <w:pStyle w:val="ListParagraph"/>
        <w:numPr>
          <w:ilvl w:val="0"/>
          <w:numId w:val="9"/>
        </w:numPr>
        <w:jc w:val="both"/>
        <w:rPr>
          <w:rFonts w:ascii="Arial" w:hAnsi="Arial" w:cs="Arial"/>
          <w:iCs/>
          <w:color w:val="000000" w:themeColor="text1"/>
        </w:rPr>
      </w:pPr>
      <w:r>
        <w:rPr>
          <w:rFonts w:ascii="Arial" w:hAnsi="Arial" w:cs="Arial"/>
          <w:i/>
        </w:rPr>
        <w:t>Economic and financial affairs:</w:t>
      </w:r>
      <w:r>
        <w:rPr>
          <w:rFonts w:ascii="Arial" w:hAnsi="Arial" w:cs="Arial"/>
          <w:iCs/>
          <w:color w:val="000000" w:themeColor="text1"/>
        </w:rPr>
        <w:t xml:space="preserve"> evaluation of the </w:t>
      </w:r>
      <w:r w:rsidRPr="000E7278">
        <w:rPr>
          <w:rFonts w:ascii="Arial" w:hAnsi="Arial" w:cs="Arial"/>
        </w:rPr>
        <w:t xml:space="preserve">Macro Financial Assistance </w:t>
      </w:r>
      <w:r w:rsidR="004C28CB">
        <w:rPr>
          <w:rFonts w:ascii="Arial" w:hAnsi="Arial" w:cs="Arial"/>
        </w:rPr>
        <w:t xml:space="preserve">(MFA) </w:t>
      </w:r>
      <w:r w:rsidRPr="000E7278">
        <w:rPr>
          <w:rFonts w:ascii="Arial" w:hAnsi="Arial" w:cs="Arial"/>
        </w:rPr>
        <w:t>to Georgia and Kosovo suggested that the Commission should be more specific in formulating conditionality, especially in the case of developing action plans. It should also improve the vi</w:t>
      </w:r>
      <w:r>
        <w:rPr>
          <w:rFonts w:ascii="Arial" w:hAnsi="Arial" w:cs="Arial"/>
        </w:rPr>
        <w:t>sibility of the MFA instrument as it creates</w:t>
      </w:r>
      <w:r w:rsidRPr="000E7278">
        <w:rPr>
          <w:rFonts w:ascii="Arial" w:hAnsi="Arial" w:cs="Arial"/>
        </w:rPr>
        <w:t xml:space="preserve"> added value through its confidence-boosting effect</w:t>
      </w:r>
      <w:r w:rsidR="00B529C2">
        <w:rPr>
          <w:rFonts w:ascii="Arial" w:hAnsi="Arial" w:cs="Arial"/>
        </w:rPr>
        <w:t>.</w:t>
      </w:r>
    </w:p>
    <w:p w:rsidR="00BD5387" w:rsidRPr="003A149B" w:rsidRDefault="004337C1" w:rsidP="00072B21">
      <w:pPr>
        <w:pStyle w:val="ListParagraph"/>
        <w:numPr>
          <w:ilvl w:val="0"/>
          <w:numId w:val="9"/>
        </w:numPr>
        <w:jc w:val="both"/>
        <w:rPr>
          <w:rFonts w:ascii="Arial" w:hAnsi="Arial" w:cs="Arial"/>
          <w:iCs/>
          <w:color w:val="000000" w:themeColor="text1"/>
        </w:rPr>
      </w:pPr>
      <w:r w:rsidRPr="009C38E3">
        <w:rPr>
          <w:rFonts w:ascii="Arial" w:hAnsi="Arial" w:cs="Arial"/>
          <w:i/>
        </w:rPr>
        <w:t>Humanitarian Aid and Civil Protection</w:t>
      </w:r>
      <w:r w:rsidRPr="008A73AD">
        <w:rPr>
          <w:rFonts w:ascii="Arial" w:hAnsi="Arial" w:cs="Arial"/>
        </w:rPr>
        <w:t xml:space="preserve">: </w:t>
      </w:r>
      <w:r w:rsidR="009C38E3">
        <w:rPr>
          <w:rFonts w:ascii="Arial" w:hAnsi="Arial" w:cs="Arial"/>
        </w:rPr>
        <w:t xml:space="preserve">EU humanitarian assistance </w:t>
      </w:r>
      <w:r w:rsidR="00F11D19">
        <w:rPr>
          <w:rFonts w:ascii="Arial" w:hAnsi="Arial" w:cs="Arial"/>
        </w:rPr>
        <w:t xml:space="preserve">was shown to be </w:t>
      </w:r>
      <w:r w:rsidR="009C38E3">
        <w:rPr>
          <w:rFonts w:ascii="Arial" w:hAnsi="Arial" w:cs="Arial"/>
        </w:rPr>
        <w:t>effective and</w:t>
      </w:r>
      <w:r w:rsidRPr="008A73AD">
        <w:rPr>
          <w:rFonts w:ascii="Arial" w:hAnsi="Arial" w:cs="Arial"/>
        </w:rPr>
        <w:t xml:space="preserve"> the 'bottom-up' approach has proven its ability to respond rapidly to crises. </w:t>
      </w:r>
      <w:r w:rsidR="009C38E3">
        <w:rPr>
          <w:rFonts w:ascii="Arial" w:hAnsi="Arial" w:cs="Arial"/>
        </w:rPr>
        <w:t xml:space="preserve">It made </w:t>
      </w:r>
      <w:r w:rsidR="006A3E39">
        <w:rPr>
          <w:rFonts w:ascii="Arial" w:hAnsi="Arial" w:cs="Arial"/>
        </w:rPr>
        <w:t xml:space="preserve">a number of </w:t>
      </w:r>
      <w:r w:rsidR="009C38E3">
        <w:rPr>
          <w:rFonts w:ascii="Arial" w:hAnsi="Arial" w:cs="Arial"/>
        </w:rPr>
        <w:t>r</w:t>
      </w:r>
      <w:r w:rsidRPr="008A73AD">
        <w:rPr>
          <w:rFonts w:ascii="Arial" w:hAnsi="Arial" w:cs="Arial"/>
        </w:rPr>
        <w:t xml:space="preserve">ecommendations to improve </w:t>
      </w:r>
      <w:r w:rsidR="006A3E39">
        <w:rPr>
          <w:rFonts w:ascii="Arial" w:hAnsi="Arial" w:cs="Arial"/>
        </w:rPr>
        <w:t xml:space="preserve">the programmes’ </w:t>
      </w:r>
      <w:r w:rsidRPr="008A73AD">
        <w:rPr>
          <w:rFonts w:ascii="Arial" w:hAnsi="Arial" w:cs="Arial"/>
        </w:rPr>
        <w:t>effectiveness</w:t>
      </w:r>
      <w:r w:rsidR="006A3E39">
        <w:rPr>
          <w:rFonts w:ascii="Arial" w:hAnsi="Arial" w:cs="Arial"/>
        </w:rPr>
        <w:t xml:space="preserve"> including</w:t>
      </w:r>
      <w:r w:rsidR="009C38E3">
        <w:rPr>
          <w:rFonts w:ascii="Arial" w:hAnsi="Arial" w:cs="Arial"/>
        </w:rPr>
        <w:t>:</w:t>
      </w:r>
      <w:r w:rsidRPr="008A73AD">
        <w:rPr>
          <w:rFonts w:ascii="Arial" w:hAnsi="Arial" w:cs="Arial"/>
        </w:rPr>
        <w:t xml:space="preserve"> </w:t>
      </w:r>
      <w:r w:rsidR="006A3E39">
        <w:rPr>
          <w:rFonts w:ascii="Arial" w:hAnsi="Arial" w:cs="Arial"/>
        </w:rPr>
        <w:t xml:space="preserve">having </w:t>
      </w:r>
      <w:r w:rsidRPr="008A73AD">
        <w:rPr>
          <w:rFonts w:ascii="Arial" w:hAnsi="Arial" w:cs="Arial"/>
        </w:rPr>
        <w:t>a greater emphasis on measuring longer term effects and impacts</w:t>
      </w:r>
      <w:r w:rsidR="009C38E3">
        <w:rPr>
          <w:rFonts w:ascii="Arial" w:hAnsi="Arial" w:cs="Arial"/>
        </w:rPr>
        <w:t xml:space="preserve">; </w:t>
      </w:r>
      <w:r w:rsidR="006A3E39">
        <w:rPr>
          <w:rFonts w:ascii="Arial" w:hAnsi="Arial" w:cs="Arial"/>
        </w:rPr>
        <w:t xml:space="preserve">continue </w:t>
      </w:r>
      <w:r w:rsidRPr="008A73AD">
        <w:rPr>
          <w:rFonts w:ascii="Arial" w:hAnsi="Arial" w:cs="Arial"/>
        </w:rPr>
        <w:t xml:space="preserve">efforts to </w:t>
      </w:r>
      <w:r w:rsidR="006A3E39">
        <w:rPr>
          <w:rFonts w:ascii="Arial" w:hAnsi="Arial" w:cs="Arial"/>
        </w:rPr>
        <w:t xml:space="preserve">drive coordination </w:t>
      </w:r>
      <w:r w:rsidR="009C38E3">
        <w:rPr>
          <w:rFonts w:ascii="Arial" w:hAnsi="Arial" w:cs="Arial"/>
        </w:rPr>
        <w:t xml:space="preserve">between donors; </w:t>
      </w:r>
      <w:r w:rsidR="001B12A5">
        <w:rPr>
          <w:rFonts w:ascii="Arial" w:hAnsi="Arial" w:cs="Arial"/>
        </w:rPr>
        <w:t xml:space="preserve">further </w:t>
      </w:r>
      <w:r w:rsidRPr="008A73AD">
        <w:rPr>
          <w:rFonts w:ascii="Arial" w:hAnsi="Arial" w:cs="Arial"/>
        </w:rPr>
        <w:t>innovation</w:t>
      </w:r>
      <w:r w:rsidR="009C38E3">
        <w:rPr>
          <w:rFonts w:ascii="Arial" w:hAnsi="Arial" w:cs="Arial"/>
        </w:rPr>
        <w:t xml:space="preserve">; </w:t>
      </w:r>
      <w:r w:rsidR="001B12A5">
        <w:rPr>
          <w:rFonts w:ascii="Arial" w:hAnsi="Arial" w:cs="Arial"/>
        </w:rPr>
        <w:t>longer</w:t>
      </w:r>
      <w:r w:rsidR="009C38E3">
        <w:rPr>
          <w:rFonts w:ascii="Arial" w:hAnsi="Arial" w:cs="Arial"/>
        </w:rPr>
        <w:t xml:space="preserve"> </w:t>
      </w:r>
      <w:r w:rsidRPr="008A73AD">
        <w:rPr>
          <w:rFonts w:ascii="Arial" w:hAnsi="Arial" w:cs="Arial"/>
        </w:rPr>
        <w:t xml:space="preserve"> </w:t>
      </w:r>
      <w:r w:rsidR="009C38E3" w:rsidRPr="008A73AD">
        <w:rPr>
          <w:rFonts w:ascii="Arial" w:hAnsi="Arial" w:cs="Arial"/>
        </w:rPr>
        <w:t xml:space="preserve">timeframes </w:t>
      </w:r>
      <w:r w:rsidR="009C38E3">
        <w:rPr>
          <w:rFonts w:ascii="Arial" w:hAnsi="Arial" w:cs="Arial"/>
        </w:rPr>
        <w:t xml:space="preserve">for certain projects </w:t>
      </w:r>
      <w:r w:rsidRPr="008A73AD">
        <w:rPr>
          <w:rFonts w:ascii="Arial" w:hAnsi="Arial" w:cs="Arial"/>
        </w:rPr>
        <w:t>(e.g. beyond 1</w:t>
      </w:r>
      <w:r w:rsidR="009C38E3">
        <w:rPr>
          <w:rFonts w:ascii="Arial" w:hAnsi="Arial" w:cs="Arial"/>
        </w:rPr>
        <w:t xml:space="preserve">2 months) to ensure </w:t>
      </w:r>
      <w:r w:rsidRPr="008A73AD">
        <w:rPr>
          <w:rFonts w:ascii="Arial" w:hAnsi="Arial" w:cs="Arial"/>
        </w:rPr>
        <w:t xml:space="preserve">effectiveness. </w:t>
      </w:r>
    </w:p>
    <w:p w:rsidR="00985332" w:rsidRPr="003A149B" w:rsidRDefault="00F40E84" w:rsidP="00072B21">
      <w:pPr>
        <w:pStyle w:val="ListParagraph"/>
        <w:numPr>
          <w:ilvl w:val="0"/>
          <w:numId w:val="9"/>
        </w:numPr>
        <w:jc w:val="both"/>
        <w:rPr>
          <w:rFonts w:ascii="Arial" w:hAnsi="Arial" w:cs="Arial"/>
          <w:iCs/>
          <w:color w:val="000000" w:themeColor="text1"/>
        </w:rPr>
      </w:pPr>
      <w:r w:rsidRPr="00CF1C69">
        <w:rPr>
          <w:rFonts w:ascii="Arial" w:hAnsi="Arial" w:cs="Arial"/>
          <w:i/>
        </w:rPr>
        <w:t>Enlargement:</w:t>
      </w:r>
      <w:r w:rsidRPr="00CF1C69">
        <w:rPr>
          <w:rFonts w:ascii="Arial" w:hAnsi="Arial" w:cs="Arial"/>
        </w:rPr>
        <w:t xml:space="preserve"> </w:t>
      </w:r>
      <w:r w:rsidR="00985332" w:rsidRPr="003A149B">
        <w:rPr>
          <w:rFonts w:ascii="Arial" w:hAnsi="Arial" w:cs="Arial"/>
        </w:rPr>
        <w:t xml:space="preserve">the evaluation </w:t>
      </w:r>
      <w:r w:rsidR="001B12A5">
        <w:rPr>
          <w:rFonts w:ascii="Arial" w:hAnsi="Arial" w:cs="Arial"/>
        </w:rPr>
        <w:t xml:space="preserve">concluded that </w:t>
      </w:r>
      <w:r w:rsidR="00985332" w:rsidRPr="003A149B">
        <w:rPr>
          <w:rFonts w:ascii="Arial" w:hAnsi="Arial" w:cs="Arial"/>
        </w:rPr>
        <w:t>the simplification of</w:t>
      </w:r>
      <w:r w:rsidR="003F263D">
        <w:rPr>
          <w:rFonts w:ascii="Arial" w:hAnsi="Arial" w:cs="Arial"/>
        </w:rPr>
        <w:t xml:space="preserve"> the </w:t>
      </w:r>
      <w:r w:rsidR="003F263D" w:rsidRPr="00CF1C69">
        <w:rPr>
          <w:rFonts w:ascii="Arial" w:hAnsi="Arial" w:cs="Arial"/>
        </w:rPr>
        <w:t xml:space="preserve">Instrument for Pre-Accession Assistance </w:t>
      </w:r>
      <w:r w:rsidR="00CF1C69" w:rsidRPr="00CF1C69">
        <w:rPr>
          <w:rFonts w:ascii="Arial" w:hAnsi="Arial" w:cs="Arial"/>
        </w:rPr>
        <w:t>II</w:t>
      </w:r>
      <w:r w:rsidR="003F263D" w:rsidRPr="00CF1C69">
        <w:rPr>
          <w:rFonts w:ascii="Arial" w:hAnsi="Arial" w:cs="Arial"/>
        </w:rPr>
        <w:t xml:space="preserve"> (</w:t>
      </w:r>
      <w:r w:rsidR="00985332" w:rsidRPr="00CF1C69">
        <w:rPr>
          <w:rFonts w:ascii="Arial" w:hAnsi="Arial" w:cs="Arial"/>
        </w:rPr>
        <w:t>IPA II</w:t>
      </w:r>
      <w:r w:rsidR="003F263D" w:rsidRPr="00CF1C69">
        <w:rPr>
          <w:rFonts w:ascii="Arial" w:hAnsi="Arial" w:cs="Arial"/>
        </w:rPr>
        <w:t>)</w:t>
      </w:r>
      <w:r w:rsidR="00985332" w:rsidRPr="003A149B">
        <w:rPr>
          <w:rFonts w:ascii="Arial" w:hAnsi="Arial" w:cs="Arial"/>
        </w:rPr>
        <w:t xml:space="preserve"> programming to fewer instruments</w:t>
      </w:r>
      <w:r w:rsidR="001B12A5">
        <w:rPr>
          <w:rFonts w:ascii="Arial" w:hAnsi="Arial" w:cs="Arial"/>
        </w:rPr>
        <w:t xml:space="preserve"> and </w:t>
      </w:r>
      <w:r w:rsidR="001B12A5" w:rsidRPr="003A149B">
        <w:rPr>
          <w:rFonts w:ascii="Arial" w:hAnsi="Arial" w:cs="Arial"/>
        </w:rPr>
        <w:t>more sector programming with longer time-horizons</w:t>
      </w:r>
      <w:r w:rsidR="001B12A5">
        <w:rPr>
          <w:rFonts w:ascii="Arial" w:hAnsi="Arial" w:cs="Arial"/>
        </w:rPr>
        <w:t xml:space="preserve"> supports </w:t>
      </w:r>
      <w:r w:rsidR="001B12A5" w:rsidRPr="003A149B">
        <w:rPr>
          <w:rFonts w:ascii="Arial" w:hAnsi="Arial" w:cs="Arial"/>
        </w:rPr>
        <w:t>efficiency and effectiveness</w:t>
      </w:r>
      <w:r w:rsidR="00985332" w:rsidRPr="003A149B">
        <w:rPr>
          <w:rFonts w:ascii="Arial" w:hAnsi="Arial" w:cs="Arial"/>
        </w:rPr>
        <w:t xml:space="preserve">. On the beneficiary side, the evaluation indicated that judicial reform programmes should have clear priorities reflected in national policy and budget propositions, ensuring stable planning parameters and financing. </w:t>
      </w:r>
      <w:r w:rsidR="00FD6FDA">
        <w:rPr>
          <w:rFonts w:ascii="Arial" w:hAnsi="Arial" w:cs="Arial"/>
        </w:rPr>
        <w:t>T</w:t>
      </w:r>
      <w:r w:rsidR="00985332" w:rsidRPr="003A149B">
        <w:rPr>
          <w:rFonts w:ascii="Arial" w:hAnsi="Arial" w:cs="Arial"/>
        </w:rPr>
        <w:t>he evaluation found that the EU should elaborate overall programme objectives with regard to Governance and the R</w:t>
      </w:r>
      <w:r w:rsidR="001B12A5">
        <w:rPr>
          <w:rFonts w:ascii="Arial" w:hAnsi="Arial" w:cs="Arial"/>
        </w:rPr>
        <w:t xml:space="preserve">ule of Law and should re-assess and perhaps </w:t>
      </w:r>
      <w:r w:rsidR="00985332" w:rsidRPr="003A149B">
        <w:rPr>
          <w:rFonts w:ascii="Arial" w:hAnsi="Arial" w:cs="Arial"/>
        </w:rPr>
        <w:t xml:space="preserve">increase the IPA funding following the evidence based programming. </w:t>
      </w:r>
      <w:r w:rsidR="001B12A5">
        <w:rPr>
          <w:rFonts w:ascii="Arial" w:hAnsi="Arial" w:cs="Arial"/>
        </w:rPr>
        <w:t>P</w:t>
      </w:r>
      <w:r w:rsidR="00985332" w:rsidRPr="003A149B">
        <w:rPr>
          <w:rFonts w:ascii="Arial" w:hAnsi="Arial" w:cs="Arial"/>
        </w:rPr>
        <w:t xml:space="preserve">riority programmes could </w:t>
      </w:r>
      <w:r w:rsidR="001B12A5">
        <w:rPr>
          <w:rFonts w:ascii="Arial" w:hAnsi="Arial" w:cs="Arial"/>
        </w:rPr>
        <w:t xml:space="preserve">also </w:t>
      </w:r>
      <w:r w:rsidR="00985332" w:rsidRPr="003A149B">
        <w:rPr>
          <w:rFonts w:ascii="Arial" w:hAnsi="Arial" w:cs="Arial"/>
        </w:rPr>
        <w:t xml:space="preserve">have a </w:t>
      </w:r>
      <w:r w:rsidR="001B12A5">
        <w:rPr>
          <w:rFonts w:ascii="Arial" w:hAnsi="Arial" w:cs="Arial"/>
        </w:rPr>
        <w:t>4-7 year horizon with clear stoppage points</w:t>
      </w:r>
      <w:r w:rsidR="00985332" w:rsidRPr="003A149B">
        <w:rPr>
          <w:rFonts w:ascii="Arial" w:hAnsi="Arial" w:cs="Arial"/>
        </w:rPr>
        <w:t xml:space="preserve"> for review and adjustment. </w:t>
      </w:r>
    </w:p>
    <w:p w:rsidR="00F92F88" w:rsidRPr="00985332" w:rsidRDefault="00F92F88" w:rsidP="00072B21">
      <w:pPr>
        <w:pStyle w:val="ListParagraph"/>
        <w:jc w:val="both"/>
        <w:rPr>
          <w:rFonts w:ascii="Arial" w:hAnsi="Arial" w:cs="Arial"/>
          <w:iCs/>
          <w:color w:val="000000" w:themeColor="text1"/>
        </w:rPr>
      </w:pPr>
    </w:p>
    <w:p w:rsidR="009D1BB6" w:rsidRPr="009D1BB6" w:rsidRDefault="00926756" w:rsidP="00072B21">
      <w:pPr>
        <w:numPr>
          <w:ilvl w:val="0"/>
          <w:numId w:val="1"/>
        </w:numPr>
        <w:tabs>
          <w:tab w:val="clear" w:pos="720"/>
          <w:tab w:val="num" w:pos="360"/>
        </w:tabs>
        <w:ind w:left="360"/>
        <w:jc w:val="both"/>
        <w:rPr>
          <w:rFonts w:ascii="Arial" w:hAnsi="Arial" w:cs="Arial"/>
          <w:iCs/>
          <w:color w:val="000000" w:themeColor="text1"/>
        </w:rPr>
      </w:pPr>
      <w:r w:rsidRPr="00985332">
        <w:rPr>
          <w:rFonts w:ascii="Arial" w:hAnsi="Arial" w:cs="Arial"/>
        </w:rPr>
        <w:t>In</w:t>
      </w:r>
      <w:r w:rsidR="00AF366A" w:rsidRPr="00985332">
        <w:rPr>
          <w:rFonts w:ascii="Arial" w:hAnsi="Arial" w:cs="Arial"/>
        </w:rPr>
        <w:t xml:space="preserve"> </w:t>
      </w:r>
      <w:r w:rsidRPr="00985332">
        <w:rPr>
          <w:rFonts w:ascii="Arial" w:hAnsi="Arial" w:cs="Arial"/>
        </w:rPr>
        <w:t xml:space="preserve">concluding, </w:t>
      </w:r>
      <w:r w:rsidR="00985332" w:rsidRPr="00985332">
        <w:rPr>
          <w:rFonts w:ascii="Arial" w:hAnsi="Arial" w:cs="Arial"/>
        </w:rPr>
        <w:t xml:space="preserve">the Commission states that it </w:t>
      </w:r>
      <w:r w:rsidR="009D1BB6">
        <w:rPr>
          <w:rFonts w:ascii="Arial" w:hAnsi="Arial" w:cs="Arial"/>
        </w:rPr>
        <w:t xml:space="preserve">has taken account of results of the evaluations in making </w:t>
      </w:r>
      <w:r w:rsidR="009D1BB6" w:rsidRPr="009D1BB6">
        <w:rPr>
          <w:rFonts w:ascii="Arial" w:hAnsi="Arial" w:cs="Arial"/>
        </w:rPr>
        <w:t>its proposals for the new generation of programmes under the next MFF</w:t>
      </w:r>
      <w:r w:rsidR="009D1BB6">
        <w:rPr>
          <w:rFonts w:ascii="Arial" w:hAnsi="Arial" w:cs="Arial"/>
        </w:rPr>
        <w:t xml:space="preserve">, and calls </w:t>
      </w:r>
      <w:r w:rsidR="009D1BB6" w:rsidRPr="009D1BB6">
        <w:rPr>
          <w:rFonts w:ascii="Arial" w:hAnsi="Arial" w:cs="Arial"/>
        </w:rPr>
        <w:t>on the European Parliament and the Council to maintain this focus in the legislative proposals for the next MFF to ensure a more manageable, targeted and measurable process for the next financial period.</w:t>
      </w:r>
      <w:r w:rsidR="009D1BB6">
        <w:rPr>
          <w:rFonts w:ascii="Arial" w:hAnsi="Arial" w:cs="Arial"/>
          <w:iCs/>
          <w:color w:val="000000" w:themeColor="text1"/>
        </w:rPr>
        <w:t xml:space="preserve"> It also states that it </w:t>
      </w:r>
      <w:r w:rsidR="00985332" w:rsidRPr="009D1BB6">
        <w:rPr>
          <w:rFonts w:ascii="Arial" w:hAnsi="Arial" w:cs="Arial"/>
        </w:rPr>
        <w:t xml:space="preserve">is developing </w:t>
      </w:r>
      <w:r w:rsidR="00F11D19">
        <w:rPr>
          <w:rFonts w:ascii="Arial" w:hAnsi="Arial" w:cs="Arial"/>
        </w:rPr>
        <w:t xml:space="preserve">a </w:t>
      </w:r>
      <w:r w:rsidR="00985332" w:rsidRPr="009D1BB6">
        <w:rPr>
          <w:rFonts w:ascii="Arial" w:hAnsi="Arial" w:cs="Arial"/>
        </w:rPr>
        <w:t>more thorough, systematic and targeted</w:t>
      </w:r>
      <w:r w:rsidR="00F11D19">
        <w:rPr>
          <w:rFonts w:ascii="Arial" w:hAnsi="Arial" w:cs="Arial"/>
        </w:rPr>
        <w:t xml:space="preserve"> </w:t>
      </w:r>
      <w:r w:rsidR="00985332" w:rsidRPr="009D1BB6">
        <w:rPr>
          <w:rFonts w:ascii="Arial" w:hAnsi="Arial" w:cs="Arial"/>
        </w:rPr>
        <w:t xml:space="preserve">progress and performance </w:t>
      </w:r>
      <w:r w:rsidR="00FD6FDA" w:rsidRPr="009D1BB6">
        <w:rPr>
          <w:rFonts w:ascii="Arial" w:hAnsi="Arial" w:cs="Arial"/>
        </w:rPr>
        <w:t>reporting,</w:t>
      </w:r>
      <w:r w:rsidR="00985332" w:rsidRPr="009D1BB6">
        <w:rPr>
          <w:rFonts w:ascii="Arial" w:hAnsi="Arial" w:cs="Arial"/>
        </w:rPr>
        <w:t xml:space="preserve"> </w:t>
      </w:r>
      <w:r w:rsidR="00F11D19">
        <w:rPr>
          <w:rFonts w:ascii="Arial" w:hAnsi="Arial" w:cs="Arial"/>
        </w:rPr>
        <w:t>to</w:t>
      </w:r>
      <w:r w:rsidR="00985332" w:rsidRPr="009D1BB6">
        <w:rPr>
          <w:rFonts w:ascii="Arial" w:hAnsi="Arial" w:cs="Arial"/>
        </w:rPr>
        <w:t xml:space="preserve"> be based on the monitoring, evaluation and reporting framework set by </w:t>
      </w:r>
      <w:r w:rsidR="009D1BB6">
        <w:rPr>
          <w:rFonts w:ascii="Arial" w:hAnsi="Arial" w:cs="Arial"/>
        </w:rPr>
        <w:t xml:space="preserve">the next MFF, </w:t>
      </w:r>
      <w:r w:rsidR="00F11D19">
        <w:rPr>
          <w:rFonts w:ascii="Arial" w:hAnsi="Arial" w:cs="Arial"/>
        </w:rPr>
        <w:t>to</w:t>
      </w:r>
      <w:r w:rsidR="00985332" w:rsidRPr="009D1BB6">
        <w:rPr>
          <w:rFonts w:ascii="Arial" w:hAnsi="Arial" w:cs="Arial"/>
        </w:rPr>
        <w:t xml:space="preserve"> </w:t>
      </w:r>
      <w:r w:rsidR="009D1BB6">
        <w:rPr>
          <w:rFonts w:ascii="Arial" w:hAnsi="Arial" w:cs="Arial"/>
        </w:rPr>
        <w:t xml:space="preserve">be </w:t>
      </w:r>
      <w:r w:rsidR="00985332" w:rsidRPr="009D1BB6">
        <w:rPr>
          <w:rFonts w:ascii="Arial" w:hAnsi="Arial" w:cs="Arial"/>
        </w:rPr>
        <w:t>present</w:t>
      </w:r>
      <w:r w:rsidR="009D1BB6">
        <w:rPr>
          <w:rFonts w:ascii="Arial" w:hAnsi="Arial" w:cs="Arial"/>
        </w:rPr>
        <w:t>ed</w:t>
      </w:r>
      <w:r w:rsidR="00985332" w:rsidRPr="009D1BB6">
        <w:rPr>
          <w:rFonts w:ascii="Arial" w:hAnsi="Arial" w:cs="Arial"/>
        </w:rPr>
        <w:t xml:space="preserve"> in 2014. In the meantime, it has instructed its services to strengthen and streamline progress</w:t>
      </w:r>
      <w:r w:rsidR="00F11D19">
        <w:rPr>
          <w:rFonts w:ascii="Arial" w:hAnsi="Arial" w:cs="Arial"/>
        </w:rPr>
        <w:t>,</w:t>
      </w:r>
      <w:r w:rsidR="00985332" w:rsidRPr="009D1BB6">
        <w:rPr>
          <w:rFonts w:ascii="Arial" w:hAnsi="Arial" w:cs="Arial"/>
        </w:rPr>
        <w:t xml:space="preserve"> and </w:t>
      </w:r>
      <w:r w:rsidR="00985332" w:rsidRPr="009D1BB6">
        <w:rPr>
          <w:rFonts w:ascii="Arial" w:hAnsi="Arial" w:cs="Arial"/>
        </w:rPr>
        <w:lastRenderedPageBreak/>
        <w:t>performance measurement and reporting to underpin all future Annual Activity Reports and future versions of this Report.</w:t>
      </w:r>
      <w:r w:rsidR="00985332" w:rsidRPr="009D1BB6">
        <w:rPr>
          <w:sz w:val="23"/>
          <w:szCs w:val="23"/>
        </w:rPr>
        <w:t xml:space="preserve"> </w:t>
      </w:r>
    </w:p>
    <w:p w:rsidR="00432653" w:rsidRPr="00985332" w:rsidRDefault="00432653" w:rsidP="00072B21">
      <w:pPr>
        <w:ind w:left="360"/>
        <w:jc w:val="both"/>
        <w:rPr>
          <w:rFonts w:ascii="Arial" w:hAnsi="Arial" w:cs="Arial"/>
          <w:iCs/>
          <w:color w:val="000000" w:themeColor="text1"/>
        </w:rPr>
      </w:pPr>
    </w:p>
    <w:p w:rsidR="0077555F" w:rsidRDefault="003E4398" w:rsidP="00072B21">
      <w:pPr>
        <w:jc w:val="both"/>
        <w:rPr>
          <w:rFonts w:ascii="Arial" w:hAnsi="Arial" w:cs="Arial"/>
          <w:b/>
          <w:bCs/>
        </w:rPr>
      </w:pPr>
      <w:r>
        <w:rPr>
          <w:rFonts w:ascii="Arial" w:hAnsi="Arial" w:cs="Arial"/>
          <w:b/>
          <w:bCs/>
        </w:rPr>
        <w:t>MINISTERIAL RESPONSIBILITY</w:t>
      </w:r>
    </w:p>
    <w:p w:rsidR="0077555F" w:rsidRDefault="0077555F" w:rsidP="00072B21">
      <w:pPr>
        <w:jc w:val="both"/>
        <w:rPr>
          <w:rFonts w:ascii="Arial" w:hAnsi="Arial" w:cs="Arial"/>
        </w:rPr>
      </w:pPr>
    </w:p>
    <w:p w:rsidR="0077555F" w:rsidRPr="00BF200E" w:rsidRDefault="003E4398" w:rsidP="00072B21">
      <w:pPr>
        <w:pStyle w:val="BodyText3"/>
        <w:numPr>
          <w:ilvl w:val="0"/>
          <w:numId w:val="1"/>
        </w:numPr>
        <w:tabs>
          <w:tab w:val="clear" w:pos="720"/>
          <w:tab w:val="num" w:pos="360"/>
        </w:tabs>
        <w:ind w:left="360"/>
        <w:rPr>
          <w:rFonts w:ascii="Arial" w:hAnsi="Arial" w:cs="Arial"/>
        </w:rPr>
      </w:pPr>
      <w:r w:rsidRPr="00BF200E">
        <w:rPr>
          <w:rFonts w:ascii="Arial" w:hAnsi="Arial" w:cs="Arial"/>
        </w:rPr>
        <w:t>The Chancellor of the Exchequer has responsibility for United Kingdom policy on European Union monetary and economic issues. The Foreign and Commonwealth Secretary is responsible for overall United Kingdom policy towards the European Union.</w:t>
      </w:r>
    </w:p>
    <w:p w:rsidR="0077555F" w:rsidRPr="00BF200E" w:rsidRDefault="0077555F" w:rsidP="00072B21">
      <w:pPr>
        <w:jc w:val="both"/>
        <w:rPr>
          <w:rFonts w:ascii="Arial" w:hAnsi="Arial" w:cs="Arial"/>
        </w:rPr>
      </w:pPr>
    </w:p>
    <w:p w:rsidR="0077555F" w:rsidRDefault="003E4398" w:rsidP="00072B21">
      <w:pPr>
        <w:pStyle w:val="Heading1"/>
        <w:jc w:val="both"/>
      </w:pPr>
      <w:r>
        <w:t>INTEREST OF DEVOLVED ADMINISTRATIONS</w:t>
      </w:r>
    </w:p>
    <w:p w:rsidR="002D2C1A" w:rsidRPr="002D2C1A" w:rsidRDefault="002D2C1A" w:rsidP="00072B21">
      <w:pPr>
        <w:jc w:val="both"/>
      </w:pPr>
    </w:p>
    <w:p w:rsidR="0077555F" w:rsidRPr="002D2C1A" w:rsidRDefault="00A77267" w:rsidP="00072B21">
      <w:pPr>
        <w:pStyle w:val="ListParagraph"/>
        <w:numPr>
          <w:ilvl w:val="0"/>
          <w:numId w:val="1"/>
        </w:numPr>
        <w:tabs>
          <w:tab w:val="clear" w:pos="720"/>
          <w:tab w:val="num" w:pos="360"/>
        </w:tabs>
        <w:ind w:left="360"/>
        <w:jc w:val="both"/>
        <w:rPr>
          <w:rFonts w:ascii="Arial" w:hAnsi="Arial" w:cs="Arial"/>
        </w:rPr>
      </w:pPr>
      <w:r>
        <w:rPr>
          <w:rFonts w:ascii="Arial" w:hAnsi="Arial" w:cs="Arial"/>
        </w:rPr>
        <w:t>This</w:t>
      </w:r>
      <w:r w:rsidR="002D2C1A" w:rsidRPr="00F76EC1">
        <w:rPr>
          <w:rFonts w:ascii="Arial" w:hAnsi="Arial" w:cs="Arial"/>
        </w:rPr>
        <w:t xml:space="preserve"> EM concerns a mixture of reserved and devolved </w:t>
      </w:r>
      <w:r w:rsidR="002D2C1A">
        <w:rPr>
          <w:rFonts w:ascii="Arial" w:hAnsi="Arial" w:cs="Arial"/>
        </w:rPr>
        <w:t xml:space="preserve">matter </w:t>
      </w:r>
      <w:r w:rsidR="002D2C1A" w:rsidRPr="002F7784">
        <w:rPr>
          <w:rFonts w:ascii="Arial" w:hAnsi="Arial" w:cs="Arial"/>
          <w:szCs w:val="20"/>
        </w:rPr>
        <w:t>under the UK's devolution settlements</w:t>
      </w:r>
      <w:r>
        <w:rPr>
          <w:rFonts w:ascii="Arial" w:hAnsi="Arial" w:cs="Arial"/>
        </w:rPr>
        <w:t>. T</w:t>
      </w:r>
      <w:r w:rsidR="002D2C1A" w:rsidRPr="00F76EC1">
        <w:rPr>
          <w:rFonts w:ascii="Arial" w:hAnsi="Arial" w:cs="Arial"/>
        </w:rPr>
        <w:t xml:space="preserve">he devolved administrations have been consulted when appropriate in </w:t>
      </w:r>
      <w:r>
        <w:rPr>
          <w:rFonts w:ascii="Arial" w:hAnsi="Arial" w:cs="Arial"/>
        </w:rPr>
        <w:t>its preparation.</w:t>
      </w:r>
    </w:p>
    <w:p w:rsidR="00F32614" w:rsidRDefault="00F32614" w:rsidP="00072B21">
      <w:pPr>
        <w:jc w:val="both"/>
        <w:rPr>
          <w:rFonts w:ascii="Arial" w:hAnsi="Arial" w:cs="Arial"/>
        </w:rPr>
      </w:pPr>
    </w:p>
    <w:p w:rsidR="0077555F" w:rsidRDefault="003E4398" w:rsidP="00072B21">
      <w:pPr>
        <w:pStyle w:val="Heading1"/>
        <w:jc w:val="both"/>
      </w:pPr>
      <w:r>
        <w:t>LEGAL AND PROCEDURAL ISSUES</w:t>
      </w:r>
    </w:p>
    <w:p w:rsidR="001E54CB" w:rsidRDefault="001E54CB" w:rsidP="00072B21">
      <w:pPr>
        <w:jc w:val="both"/>
        <w:rPr>
          <w:rFonts w:ascii="Arial" w:hAnsi="Arial" w:cs="Arial"/>
          <w:color w:val="E36C0A" w:themeColor="accent6" w:themeShade="BF"/>
          <w:u w:val="single"/>
        </w:rPr>
      </w:pPr>
    </w:p>
    <w:p w:rsidR="001E54CB" w:rsidRDefault="001E54CB" w:rsidP="00072B21">
      <w:pPr>
        <w:numPr>
          <w:ilvl w:val="2"/>
          <w:numId w:val="1"/>
        </w:numPr>
        <w:tabs>
          <w:tab w:val="clear" w:pos="2700"/>
          <w:tab w:val="num" w:pos="360"/>
        </w:tabs>
        <w:ind w:left="0" w:firstLine="0"/>
        <w:jc w:val="both"/>
        <w:rPr>
          <w:rFonts w:ascii="Arial" w:hAnsi="Arial" w:cs="Arial"/>
          <w:u w:val="single"/>
        </w:rPr>
      </w:pPr>
      <w:r>
        <w:rPr>
          <w:rFonts w:ascii="Arial" w:hAnsi="Arial" w:cs="Arial"/>
          <w:u w:val="single"/>
        </w:rPr>
        <w:t>Legal basis</w:t>
      </w:r>
    </w:p>
    <w:p w:rsidR="001E54CB" w:rsidRDefault="001E54CB" w:rsidP="00072B21">
      <w:pPr>
        <w:jc w:val="both"/>
        <w:rPr>
          <w:rFonts w:ascii="Arial" w:hAnsi="Arial" w:cs="Arial"/>
        </w:rPr>
      </w:pPr>
    </w:p>
    <w:p w:rsidR="001E54CB" w:rsidRPr="005B0DF4" w:rsidRDefault="001E54CB" w:rsidP="00072B21">
      <w:pPr>
        <w:numPr>
          <w:ilvl w:val="0"/>
          <w:numId w:val="1"/>
        </w:numPr>
        <w:tabs>
          <w:tab w:val="clear" w:pos="720"/>
          <w:tab w:val="num" w:pos="360"/>
        </w:tabs>
        <w:ind w:left="360"/>
        <w:jc w:val="both"/>
        <w:rPr>
          <w:rFonts w:ascii="Arial" w:hAnsi="Arial" w:cs="Arial"/>
          <w:iCs/>
        </w:rPr>
      </w:pPr>
      <w:r w:rsidRPr="005B0DF4">
        <w:rPr>
          <w:rFonts w:ascii="Arial" w:hAnsi="Arial" w:cs="Arial"/>
          <w:iCs/>
        </w:rPr>
        <w:t>Article 318 T</w:t>
      </w:r>
      <w:r w:rsidR="005E2675">
        <w:rPr>
          <w:rFonts w:ascii="Arial" w:hAnsi="Arial" w:cs="Arial"/>
          <w:iCs/>
        </w:rPr>
        <w:t>reaty on</w:t>
      </w:r>
      <w:r w:rsidR="00AF04E8">
        <w:rPr>
          <w:rFonts w:ascii="Arial" w:hAnsi="Arial" w:cs="Arial"/>
          <w:iCs/>
        </w:rPr>
        <w:t xml:space="preserve"> the </w:t>
      </w:r>
      <w:r w:rsidRPr="005B0DF4">
        <w:rPr>
          <w:rFonts w:ascii="Arial" w:hAnsi="Arial" w:cs="Arial"/>
          <w:iCs/>
        </w:rPr>
        <w:t>F</w:t>
      </w:r>
      <w:r w:rsidR="00AF04E8">
        <w:rPr>
          <w:rFonts w:ascii="Arial" w:hAnsi="Arial" w:cs="Arial"/>
          <w:iCs/>
        </w:rPr>
        <w:t xml:space="preserve">unctioning of the </w:t>
      </w:r>
      <w:r w:rsidRPr="005B0DF4">
        <w:rPr>
          <w:rFonts w:ascii="Arial" w:hAnsi="Arial" w:cs="Arial"/>
          <w:iCs/>
        </w:rPr>
        <w:t>E</w:t>
      </w:r>
      <w:r w:rsidR="00AF04E8">
        <w:rPr>
          <w:rFonts w:ascii="Arial" w:hAnsi="Arial" w:cs="Arial"/>
          <w:iCs/>
        </w:rPr>
        <w:t xml:space="preserve">uropean </w:t>
      </w:r>
      <w:r w:rsidRPr="005B0DF4">
        <w:rPr>
          <w:rFonts w:ascii="Arial" w:hAnsi="Arial" w:cs="Arial"/>
          <w:iCs/>
        </w:rPr>
        <w:t>U</w:t>
      </w:r>
      <w:r w:rsidR="00AF04E8">
        <w:rPr>
          <w:rFonts w:ascii="Arial" w:hAnsi="Arial" w:cs="Arial"/>
          <w:iCs/>
        </w:rPr>
        <w:t>nion</w:t>
      </w:r>
      <w:r w:rsidR="00D541C1">
        <w:rPr>
          <w:rFonts w:ascii="Arial" w:hAnsi="Arial" w:cs="Arial"/>
          <w:iCs/>
        </w:rPr>
        <w:t xml:space="preserve">. </w:t>
      </w:r>
    </w:p>
    <w:p w:rsidR="0077555F" w:rsidRPr="005B0DF4" w:rsidRDefault="0077555F" w:rsidP="00072B21">
      <w:pPr>
        <w:jc w:val="both"/>
        <w:rPr>
          <w:rFonts w:ascii="Arial" w:hAnsi="Arial" w:cs="Arial"/>
        </w:rPr>
      </w:pPr>
    </w:p>
    <w:p w:rsidR="0077555F" w:rsidRDefault="003E4398" w:rsidP="00072B21">
      <w:pPr>
        <w:jc w:val="both"/>
        <w:rPr>
          <w:rFonts w:ascii="Arial" w:hAnsi="Arial" w:cs="Arial"/>
          <w:u w:val="single"/>
        </w:rPr>
      </w:pPr>
      <w:r w:rsidRPr="005B0DF4">
        <w:rPr>
          <w:rFonts w:ascii="Arial" w:hAnsi="Arial" w:cs="Arial"/>
        </w:rPr>
        <w:t xml:space="preserve">ii. </w:t>
      </w:r>
      <w:r w:rsidRPr="005B0DF4">
        <w:rPr>
          <w:rFonts w:ascii="Arial" w:hAnsi="Arial" w:cs="Arial"/>
          <w:u w:val="single"/>
        </w:rPr>
        <w:t>Legislative procedure</w:t>
      </w:r>
    </w:p>
    <w:p w:rsidR="0077555F" w:rsidRPr="005B0DF4" w:rsidRDefault="0077555F" w:rsidP="00072B21">
      <w:pPr>
        <w:jc w:val="both"/>
        <w:rPr>
          <w:rFonts w:ascii="Arial" w:hAnsi="Arial" w:cs="Arial"/>
        </w:rPr>
      </w:pPr>
    </w:p>
    <w:p w:rsidR="0077555F" w:rsidRPr="005B0DF4" w:rsidRDefault="00EF61AD" w:rsidP="00072B21">
      <w:pPr>
        <w:numPr>
          <w:ilvl w:val="0"/>
          <w:numId w:val="1"/>
        </w:numPr>
        <w:tabs>
          <w:tab w:val="clear" w:pos="720"/>
          <w:tab w:val="num" w:pos="360"/>
        </w:tabs>
        <w:ind w:left="360"/>
        <w:jc w:val="both"/>
        <w:rPr>
          <w:rFonts w:ascii="Arial" w:hAnsi="Arial" w:cs="Arial"/>
          <w:iCs/>
        </w:rPr>
      </w:pPr>
      <w:r w:rsidRPr="005B0DF4">
        <w:rPr>
          <w:rFonts w:ascii="Arial" w:hAnsi="Arial" w:cs="Arial"/>
          <w:iCs/>
        </w:rPr>
        <w:t>Not applicable. This is not a proposal for legislation.</w:t>
      </w:r>
    </w:p>
    <w:p w:rsidR="0077555F" w:rsidRPr="005B0DF4" w:rsidRDefault="0077555F" w:rsidP="00072B21">
      <w:pPr>
        <w:jc w:val="both"/>
        <w:rPr>
          <w:rFonts w:ascii="Arial" w:hAnsi="Arial" w:cs="Arial"/>
        </w:rPr>
      </w:pPr>
    </w:p>
    <w:p w:rsidR="0077555F" w:rsidRDefault="003E4398" w:rsidP="00072B21">
      <w:pPr>
        <w:jc w:val="both"/>
        <w:rPr>
          <w:rFonts w:ascii="Arial" w:hAnsi="Arial" w:cs="Arial"/>
          <w:u w:val="single"/>
        </w:rPr>
      </w:pPr>
      <w:r w:rsidRPr="005B0DF4">
        <w:rPr>
          <w:rFonts w:ascii="Arial" w:hAnsi="Arial" w:cs="Arial"/>
        </w:rPr>
        <w:t xml:space="preserve">iii. </w:t>
      </w:r>
      <w:r w:rsidRPr="005B0DF4">
        <w:rPr>
          <w:rFonts w:ascii="Arial" w:hAnsi="Arial" w:cs="Arial"/>
          <w:u w:val="single"/>
        </w:rPr>
        <w:t>Voting procedure</w:t>
      </w:r>
    </w:p>
    <w:p w:rsidR="001E54CB" w:rsidRPr="005B0DF4" w:rsidRDefault="001E54CB" w:rsidP="00072B21">
      <w:pPr>
        <w:jc w:val="both"/>
        <w:rPr>
          <w:rFonts w:ascii="Arial" w:hAnsi="Arial" w:cs="Arial"/>
        </w:rPr>
      </w:pPr>
    </w:p>
    <w:p w:rsidR="0077555F" w:rsidRPr="005B0DF4" w:rsidRDefault="006947B9" w:rsidP="00072B21">
      <w:pPr>
        <w:numPr>
          <w:ilvl w:val="0"/>
          <w:numId w:val="1"/>
        </w:numPr>
        <w:tabs>
          <w:tab w:val="clear" w:pos="720"/>
          <w:tab w:val="num" w:pos="360"/>
        </w:tabs>
        <w:ind w:left="360"/>
        <w:jc w:val="both"/>
        <w:rPr>
          <w:rFonts w:ascii="Arial" w:hAnsi="Arial" w:cs="Arial"/>
          <w:iCs/>
        </w:rPr>
      </w:pPr>
      <w:r w:rsidRPr="005B0DF4">
        <w:rPr>
          <w:rFonts w:ascii="Arial" w:hAnsi="Arial" w:cs="Arial"/>
          <w:iCs/>
        </w:rPr>
        <w:t>N</w:t>
      </w:r>
      <w:r w:rsidR="00AF04E8">
        <w:rPr>
          <w:rFonts w:ascii="Arial" w:hAnsi="Arial" w:cs="Arial"/>
          <w:iCs/>
        </w:rPr>
        <w:t>ot applicable.</w:t>
      </w:r>
    </w:p>
    <w:p w:rsidR="0077555F" w:rsidRPr="005B0DF4" w:rsidRDefault="0077555F" w:rsidP="00072B21">
      <w:pPr>
        <w:jc w:val="both"/>
        <w:rPr>
          <w:rFonts w:ascii="Arial" w:hAnsi="Arial" w:cs="Arial"/>
        </w:rPr>
      </w:pPr>
    </w:p>
    <w:p w:rsidR="0077555F" w:rsidRPr="005B0DF4" w:rsidRDefault="003E4398" w:rsidP="00072B21">
      <w:pPr>
        <w:jc w:val="both"/>
        <w:rPr>
          <w:rFonts w:ascii="Arial" w:hAnsi="Arial" w:cs="Arial"/>
        </w:rPr>
      </w:pPr>
      <w:r w:rsidRPr="005B0DF4">
        <w:rPr>
          <w:rFonts w:ascii="Arial" w:hAnsi="Arial" w:cs="Arial"/>
        </w:rPr>
        <w:t xml:space="preserve">iv. </w:t>
      </w:r>
      <w:r w:rsidRPr="005B0DF4">
        <w:rPr>
          <w:rFonts w:ascii="Arial" w:hAnsi="Arial" w:cs="Arial"/>
          <w:u w:val="single"/>
        </w:rPr>
        <w:t>Impact on United Kingdom Law</w:t>
      </w:r>
      <w:r w:rsidRPr="005B0DF4">
        <w:rPr>
          <w:rFonts w:ascii="Arial" w:hAnsi="Arial" w:cs="Arial"/>
        </w:rPr>
        <w:t xml:space="preserve"> </w:t>
      </w:r>
    </w:p>
    <w:p w:rsidR="0077555F" w:rsidRPr="005B0DF4" w:rsidRDefault="0077555F" w:rsidP="00072B21">
      <w:pPr>
        <w:jc w:val="both"/>
        <w:rPr>
          <w:rFonts w:ascii="Arial" w:hAnsi="Arial" w:cs="Arial"/>
        </w:rPr>
      </w:pPr>
    </w:p>
    <w:p w:rsidR="00AF04E8" w:rsidRPr="005B0DF4" w:rsidRDefault="00AF04E8" w:rsidP="00072B21">
      <w:pPr>
        <w:numPr>
          <w:ilvl w:val="0"/>
          <w:numId w:val="1"/>
        </w:numPr>
        <w:tabs>
          <w:tab w:val="clear" w:pos="720"/>
          <w:tab w:val="num" w:pos="360"/>
        </w:tabs>
        <w:ind w:left="360"/>
        <w:jc w:val="both"/>
        <w:rPr>
          <w:rFonts w:ascii="Arial" w:hAnsi="Arial" w:cs="Arial"/>
          <w:iCs/>
        </w:rPr>
      </w:pPr>
      <w:r w:rsidRPr="005B0DF4">
        <w:rPr>
          <w:rFonts w:ascii="Arial" w:hAnsi="Arial" w:cs="Arial"/>
          <w:iCs/>
        </w:rPr>
        <w:t>N</w:t>
      </w:r>
      <w:r>
        <w:rPr>
          <w:rFonts w:ascii="Arial" w:hAnsi="Arial" w:cs="Arial"/>
          <w:iCs/>
        </w:rPr>
        <w:t>ot applicable.</w:t>
      </w:r>
    </w:p>
    <w:p w:rsidR="0077555F" w:rsidRPr="005B0DF4" w:rsidRDefault="0077555F" w:rsidP="00072B21">
      <w:pPr>
        <w:jc w:val="both"/>
        <w:rPr>
          <w:rFonts w:ascii="Arial" w:hAnsi="Arial" w:cs="Arial"/>
        </w:rPr>
      </w:pPr>
    </w:p>
    <w:p w:rsidR="0077555F" w:rsidRPr="005B0DF4" w:rsidRDefault="003E4398" w:rsidP="00072B21">
      <w:pPr>
        <w:jc w:val="both"/>
        <w:rPr>
          <w:rFonts w:ascii="Arial" w:hAnsi="Arial" w:cs="Arial"/>
        </w:rPr>
      </w:pPr>
      <w:r w:rsidRPr="005B0DF4">
        <w:rPr>
          <w:rFonts w:ascii="Arial" w:hAnsi="Arial" w:cs="Arial"/>
        </w:rPr>
        <w:t xml:space="preserve">v. </w:t>
      </w:r>
      <w:r w:rsidRPr="005B0DF4">
        <w:rPr>
          <w:rFonts w:ascii="Arial" w:hAnsi="Arial" w:cs="Arial"/>
          <w:u w:val="single"/>
        </w:rPr>
        <w:t>Application to Gibraltar</w:t>
      </w:r>
    </w:p>
    <w:p w:rsidR="0077555F" w:rsidRPr="005B0DF4" w:rsidRDefault="0077555F" w:rsidP="00072B21">
      <w:pPr>
        <w:jc w:val="both"/>
        <w:rPr>
          <w:rFonts w:ascii="Arial" w:hAnsi="Arial" w:cs="Arial"/>
        </w:rPr>
      </w:pPr>
    </w:p>
    <w:p w:rsidR="00AF04E8" w:rsidRPr="005B0DF4" w:rsidRDefault="00AF04E8" w:rsidP="00072B21">
      <w:pPr>
        <w:numPr>
          <w:ilvl w:val="0"/>
          <w:numId w:val="1"/>
        </w:numPr>
        <w:tabs>
          <w:tab w:val="clear" w:pos="720"/>
          <w:tab w:val="num" w:pos="360"/>
        </w:tabs>
        <w:ind w:left="360"/>
        <w:jc w:val="both"/>
        <w:rPr>
          <w:rFonts w:ascii="Arial" w:hAnsi="Arial" w:cs="Arial"/>
          <w:iCs/>
        </w:rPr>
      </w:pPr>
      <w:r w:rsidRPr="005B0DF4">
        <w:rPr>
          <w:rFonts w:ascii="Arial" w:hAnsi="Arial" w:cs="Arial"/>
          <w:iCs/>
        </w:rPr>
        <w:t>N</w:t>
      </w:r>
      <w:r>
        <w:rPr>
          <w:rFonts w:ascii="Arial" w:hAnsi="Arial" w:cs="Arial"/>
          <w:iCs/>
        </w:rPr>
        <w:t>ot applicable.</w:t>
      </w:r>
    </w:p>
    <w:p w:rsidR="0077555F" w:rsidRDefault="0077555F" w:rsidP="00072B21">
      <w:pPr>
        <w:jc w:val="both"/>
        <w:rPr>
          <w:rFonts w:ascii="Arial" w:hAnsi="Arial" w:cs="Arial"/>
          <w:i/>
          <w:iCs/>
        </w:rPr>
      </w:pPr>
    </w:p>
    <w:p w:rsidR="0077555F" w:rsidRDefault="003E4398" w:rsidP="00072B21">
      <w:pPr>
        <w:jc w:val="both"/>
        <w:rPr>
          <w:rFonts w:ascii="Arial" w:hAnsi="Arial" w:cs="Arial"/>
        </w:rPr>
      </w:pPr>
      <w:r>
        <w:rPr>
          <w:rFonts w:ascii="Arial" w:hAnsi="Arial" w:cs="Arial"/>
        </w:rPr>
        <w:t xml:space="preserve">vi. </w:t>
      </w:r>
      <w:r>
        <w:rPr>
          <w:rFonts w:ascii="Arial" w:hAnsi="Arial" w:cs="Arial"/>
          <w:u w:val="single"/>
          <w:lang w:val="en-US"/>
        </w:rPr>
        <w:t>Analysis of Fundamental Rights Compliance</w:t>
      </w:r>
    </w:p>
    <w:p w:rsidR="0077555F" w:rsidRPr="00B15D81" w:rsidRDefault="0077555F" w:rsidP="00072B21">
      <w:pPr>
        <w:jc w:val="both"/>
        <w:rPr>
          <w:rFonts w:ascii="Arial" w:hAnsi="Arial" w:cs="Arial"/>
          <w:iCs/>
          <w:color w:val="FF0000"/>
          <w:lang w:val="en-US"/>
        </w:rPr>
      </w:pPr>
    </w:p>
    <w:p w:rsidR="00BF200E" w:rsidRDefault="00BF200E" w:rsidP="00072B21">
      <w:pPr>
        <w:numPr>
          <w:ilvl w:val="0"/>
          <w:numId w:val="1"/>
        </w:numPr>
        <w:tabs>
          <w:tab w:val="clear" w:pos="720"/>
          <w:tab w:val="num" w:pos="360"/>
        </w:tabs>
        <w:ind w:left="360"/>
        <w:jc w:val="both"/>
        <w:rPr>
          <w:rFonts w:ascii="Arial" w:hAnsi="Arial" w:cs="Arial"/>
          <w:iCs/>
          <w:lang w:val="en-US"/>
        </w:rPr>
      </w:pPr>
      <w:r>
        <w:rPr>
          <w:rFonts w:ascii="Arial" w:hAnsi="Arial" w:cs="Arial"/>
          <w:iCs/>
          <w:lang w:val="en-US"/>
        </w:rPr>
        <w:t>No issues arise.</w:t>
      </w:r>
    </w:p>
    <w:p w:rsidR="001B12A5" w:rsidRPr="00F15C14" w:rsidRDefault="001B12A5" w:rsidP="001B12A5">
      <w:pPr>
        <w:ind w:left="360"/>
        <w:jc w:val="both"/>
        <w:rPr>
          <w:rFonts w:ascii="Arial" w:hAnsi="Arial" w:cs="Arial"/>
          <w:iCs/>
          <w:lang w:val="en-US"/>
        </w:rPr>
      </w:pPr>
    </w:p>
    <w:p w:rsidR="0077555F" w:rsidRDefault="003E4398" w:rsidP="00072B21">
      <w:pPr>
        <w:jc w:val="both"/>
        <w:rPr>
          <w:rFonts w:ascii="Arial" w:hAnsi="Arial" w:cs="Arial"/>
          <w:b/>
          <w:bCs/>
        </w:rPr>
      </w:pPr>
      <w:r>
        <w:rPr>
          <w:rFonts w:ascii="Arial" w:hAnsi="Arial" w:cs="Arial"/>
          <w:b/>
          <w:bCs/>
        </w:rPr>
        <w:t>APPLICATION TO THE EUROPEAN ECONOMIC AREA</w:t>
      </w:r>
    </w:p>
    <w:p w:rsidR="0077555F" w:rsidRDefault="0077555F" w:rsidP="00072B21">
      <w:pPr>
        <w:pStyle w:val="NormalWeb"/>
        <w:spacing w:before="0" w:beforeAutospacing="0" w:after="0" w:afterAutospacing="0"/>
        <w:jc w:val="both"/>
        <w:rPr>
          <w:rFonts w:ascii="Arial" w:hAnsi="Arial" w:cs="Arial"/>
          <w:lang w:val="en-GB"/>
        </w:rPr>
      </w:pPr>
    </w:p>
    <w:p w:rsidR="00AF04E8" w:rsidRPr="005B0DF4" w:rsidRDefault="00AF04E8" w:rsidP="00072B21">
      <w:pPr>
        <w:numPr>
          <w:ilvl w:val="0"/>
          <w:numId w:val="1"/>
        </w:numPr>
        <w:tabs>
          <w:tab w:val="clear" w:pos="720"/>
          <w:tab w:val="num" w:pos="360"/>
        </w:tabs>
        <w:ind w:left="360"/>
        <w:jc w:val="both"/>
        <w:rPr>
          <w:rFonts w:ascii="Arial" w:hAnsi="Arial" w:cs="Arial"/>
          <w:iCs/>
        </w:rPr>
      </w:pPr>
      <w:r w:rsidRPr="005B0DF4">
        <w:rPr>
          <w:rFonts w:ascii="Arial" w:hAnsi="Arial" w:cs="Arial"/>
          <w:iCs/>
        </w:rPr>
        <w:t>N</w:t>
      </w:r>
      <w:r>
        <w:rPr>
          <w:rFonts w:ascii="Arial" w:hAnsi="Arial" w:cs="Arial"/>
          <w:iCs/>
        </w:rPr>
        <w:t>ot applicable.</w:t>
      </w:r>
    </w:p>
    <w:p w:rsidR="0077555F" w:rsidRDefault="0077555F" w:rsidP="00072B21">
      <w:pPr>
        <w:jc w:val="both"/>
        <w:rPr>
          <w:rFonts w:ascii="Arial" w:hAnsi="Arial" w:cs="Arial"/>
          <w:b/>
          <w:bCs/>
        </w:rPr>
      </w:pPr>
    </w:p>
    <w:p w:rsidR="0077555F" w:rsidRDefault="003E4398" w:rsidP="00072B21">
      <w:pPr>
        <w:jc w:val="both"/>
        <w:rPr>
          <w:rFonts w:ascii="Arial" w:hAnsi="Arial" w:cs="Arial"/>
          <w:b/>
          <w:bCs/>
        </w:rPr>
      </w:pPr>
      <w:r>
        <w:rPr>
          <w:rFonts w:ascii="Arial" w:hAnsi="Arial" w:cs="Arial"/>
          <w:b/>
          <w:bCs/>
        </w:rPr>
        <w:t>SUBSIDIARITY</w:t>
      </w:r>
    </w:p>
    <w:p w:rsidR="0077555F" w:rsidRDefault="0077555F" w:rsidP="00072B21">
      <w:pPr>
        <w:pStyle w:val="NormalWeb"/>
        <w:spacing w:before="0" w:beforeAutospacing="0" w:after="0" w:afterAutospacing="0"/>
        <w:jc w:val="both"/>
        <w:rPr>
          <w:rFonts w:ascii="Arial" w:hAnsi="Arial" w:cs="Arial"/>
          <w:lang w:val="en-GB"/>
        </w:rPr>
      </w:pPr>
    </w:p>
    <w:p w:rsidR="005B0DF4" w:rsidRPr="00163C2F" w:rsidRDefault="00163C2F" w:rsidP="00072B21">
      <w:pPr>
        <w:numPr>
          <w:ilvl w:val="0"/>
          <w:numId w:val="1"/>
        </w:numPr>
        <w:tabs>
          <w:tab w:val="clear" w:pos="720"/>
          <w:tab w:val="num" w:pos="360"/>
        </w:tabs>
        <w:ind w:left="360"/>
        <w:jc w:val="both"/>
        <w:rPr>
          <w:rFonts w:ascii="Arial" w:hAnsi="Arial" w:cs="Arial"/>
        </w:rPr>
      </w:pPr>
      <w:r w:rsidRPr="000E78B1">
        <w:rPr>
          <w:rFonts w:ascii="Arial" w:hAnsi="Arial" w:cs="Arial"/>
          <w:iCs/>
          <w:color w:val="000000"/>
        </w:rPr>
        <w:t xml:space="preserve">This is not a proposal for legislation </w:t>
      </w:r>
      <w:r w:rsidRPr="000E78B1">
        <w:rPr>
          <w:rFonts w:ascii="Arial" w:hAnsi="Arial" w:cs="Arial"/>
          <w:color w:val="000000"/>
        </w:rPr>
        <w:t>so the principle of subsidiarity does not apply</w:t>
      </w:r>
      <w:r w:rsidRPr="000E78B1">
        <w:rPr>
          <w:rFonts w:ascii="Arial" w:hAnsi="Arial" w:cs="Arial"/>
          <w:iCs/>
          <w:color w:val="000000"/>
        </w:rPr>
        <w:t>.</w:t>
      </w:r>
    </w:p>
    <w:p w:rsidR="0077555F" w:rsidRPr="00703AAD" w:rsidRDefault="0077555F" w:rsidP="00072B21">
      <w:pPr>
        <w:pStyle w:val="NormalWeb"/>
        <w:spacing w:before="0" w:beforeAutospacing="0" w:after="0" w:afterAutospacing="0"/>
        <w:jc w:val="both"/>
        <w:rPr>
          <w:rFonts w:ascii="Arial" w:hAnsi="Arial" w:cs="Arial"/>
          <w:color w:val="E36C0A" w:themeColor="accent6" w:themeShade="BF"/>
          <w:lang w:val="en-GB"/>
        </w:rPr>
      </w:pPr>
    </w:p>
    <w:p w:rsidR="0077555F" w:rsidRDefault="003E4398" w:rsidP="00072B21">
      <w:pPr>
        <w:jc w:val="both"/>
        <w:rPr>
          <w:rFonts w:ascii="Arial" w:hAnsi="Arial" w:cs="Arial"/>
          <w:b/>
          <w:bCs/>
        </w:rPr>
      </w:pPr>
      <w:r>
        <w:rPr>
          <w:rFonts w:ascii="Arial" w:hAnsi="Arial" w:cs="Arial"/>
          <w:b/>
          <w:bCs/>
        </w:rPr>
        <w:t>POLICY IMPLICATIONS</w:t>
      </w:r>
    </w:p>
    <w:p w:rsidR="002F79F7" w:rsidRDefault="002F79F7" w:rsidP="00072B21">
      <w:pPr>
        <w:pStyle w:val="NormalWeb"/>
        <w:spacing w:before="0" w:beforeAutospacing="0" w:after="0" w:afterAutospacing="0"/>
        <w:jc w:val="both"/>
        <w:rPr>
          <w:rFonts w:ascii="Arial" w:hAnsi="Arial" w:cs="Arial"/>
          <w:lang w:val="en-GB"/>
        </w:rPr>
      </w:pPr>
    </w:p>
    <w:p w:rsidR="00734B4F" w:rsidRPr="00985332" w:rsidRDefault="00160D58" w:rsidP="00072B21">
      <w:pPr>
        <w:pStyle w:val="ListParagraph"/>
        <w:numPr>
          <w:ilvl w:val="0"/>
          <w:numId w:val="1"/>
        </w:numPr>
        <w:tabs>
          <w:tab w:val="clear" w:pos="720"/>
          <w:tab w:val="num" w:pos="360"/>
        </w:tabs>
        <w:ind w:left="360"/>
        <w:jc w:val="both"/>
        <w:rPr>
          <w:rFonts w:ascii="Arial" w:hAnsi="Arial" w:cs="Arial"/>
          <w:iCs/>
          <w:color w:val="000000" w:themeColor="text1"/>
        </w:rPr>
      </w:pPr>
      <w:r w:rsidRPr="00985332">
        <w:rPr>
          <w:rFonts w:ascii="Arial" w:hAnsi="Arial" w:cs="Arial"/>
          <w:iCs/>
          <w:color w:val="000000" w:themeColor="text1"/>
        </w:rPr>
        <w:t xml:space="preserve">The Government considers </w:t>
      </w:r>
      <w:r w:rsidR="00152A4E">
        <w:rPr>
          <w:rFonts w:ascii="Arial" w:hAnsi="Arial" w:cs="Arial"/>
          <w:iCs/>
          <w:color w:val="000000" w:themeColor="text1"/>
        </w:rPr>
        <w:t xml:space="preserve">such reports are </w:t>
      </w:r>
      <w:r w:rsidR="002957D8" w:rsidRPr="00985332">
        <w:rPr>
          <w:rFonts w:ascii="Arial" w:hAnsi="Arial" w:cs="Arial"/>
          <w:iCs/>
          <w:color w:val="000000" w:themeColor="text1"/>
        </w:rPr>
        <w:t xml:space="preserve">essential </w:t>
      </w:r>
      <w:r w:rsidR="00672E7F" w:rsidRPr="00985332">
        <w:rPr>
          <w:rFonts w:ascii="Arial" w:hAnsi="Arial" w:cs="Arial"/>
          <w:iCs/>
          <w:color w:val="000000" w:themeColor="text1"/>
        </w:rPr>
        <w:t>in the context of</w:t>
      </w:r>
      <w:r w:rsidR="001D1A0A" w:rsidRPr="00985332">
        <w:rPr>
          <w:rFonts w:ascii="Arial" w:hAnsi="Arial" w:cs="Arial"/>
          <w:iCs/>
          <w:color w:val="000000" w:themeColor="text1"/>
        </w:rPr>
        <w:t xml:space="preserve"> </w:t>
      </w:r>
      <w:r w:rsidR="00B57ED4" w:rsidRPr="00985332">
        <w:rPr>
          <w:rFonts w:ascii="Arial" w:hAnsi="Arial" w:cs="Arial"/>
          <w:iCs/>
          <w:color w:val="000000" w:themeColor="text1"/>
        </w:rPr>
        <w:t>accountability</w:t>
      </w:r>
      <w:r w:rsidR="001D1A0A" w:rsidRPr="00985332">
        <w:rPr>
          <w:rFonts w:ascii="Arial" w:hAnsi="Arial" w:cs="Arial"/>
          <w:iCs/>
          <w:color w:val="000000" w:themeColor="text1"/>
        </w:rPr>
        <w:t xml:space="preserve"> and </w:t>
      </w:r>
      <w:r w:rsidR="00672E7F" w:rsidRPr="00985332">
        <w:rPr>
          <w:rFonts w:ascii="Arial" w:hAnsi="Arial" w:cs="Arial"/>
          <w:iCs/>
          <w:color w:val="000000" w:themeColor="text1"/>
        </w:rPr>
        <w:t>transparency of the EU budget</w:t>
      </w:r>
      <w:r w:rsidR="00152A4E">
        <w:rPr>
          <w:rFonts w:ascii="Arial" w:hAnsi="Arial" w:cs="Arial"/>
          <w:iCs/>
          <w:color w:val="000000" w:themeColor="text1"/>
        </w:rPr>
        <w:t xml:space="preserve">, and </w:t>
      </w:r>
      <w:r w:rsidR="00152A4E" w:rsidRPr="00985332">
        <w:rPr>
          <w:rFonts w:ascii="Arial" w:hAnsi="Arial" w:cs="Arial"/>
        </w:rPr>
        <w:t xml:space="preserve">welcomes the improvement </w:t>
      </w:r>
      <w:r w:rsidR="00152A4E">
        <w:rPr>
          <w:rFonts w:ascii="Arial" w:hAnsi="Arial" w:cs="Arial"/>
        </w:rPr>
        <w:t>to this year’s report</w:t>
      </w:r>
      <w:r w:rsidR="001D1A0A" w:rsidRPr="00985332">
        <w:rPr>
          <w:rFonts w:ascii="Arial" w:hAnsi="Arial" w:cs="Arial"/>
          <w:iCs/>
          <w:color w:val="000000" w:themeColor="text1"/>
        </w:rPr>
        <w:t>.</w:t>
      </w:r>
      <w:r w:rsidRPr="00985332">
        <w:rPr>
          <w:rFonts w:ascii="Arial" w:hAnsi="Arial" w:cs="Arial"/>
        </w:rPr>
        <w:t xml:space="preserve"> </w:t>
      </w:r>
    </w:p>
    <w:p w:rsidR="005C6305" w:rsidRPr="00985332" w:rsidRDefault="005C6305" w:rsidP="00072B21">
      <w:pPr>
        <w:jc w:val="both"/>
        <w:rPr>
          <w:rFonts w:ascii="Arial" w:hAnsi="Arial" w:cs="Arial"/>
        </w:rPr>
      </w:pPr>
    </w:p>
    <w:p w:rsidR="006B2BD4" w:rsidRPr="00152A4E" w:rsidRDefault="00985332" w:rsidP="00152A4E">
      <w:pPr>
        <w:pStyle w:val="ListParagraph"/>
        <w:numPr>
          <w:ilvl w:val="0"/>
          <w:numId w:val="1"/>
        </w:numPr>
        <w:tabs>
          <w:tab w:val="clear" w:pos="720"/>
          <w:tab w:val="num" w:pos="360"/>
        </w:tabs>
        <w:ind w:left="360"/>
        <w:jc w:val="both"/>
        <w:rPr>
          <w:rFonts w:ascii="Arial" w:hAnsi="Arial" w:cs="Arial"/>
          <w:iCs/>
          <w:color w:val="000000" w:themeColor="text1"/>
        </w:rPr>
      </w:pPr>
      <w:r>
        <w:rPr>
          <w:rFonts w:ascii="Arial" w:hAnsi="Arial" w:cs="Arial"/>
        </w:rPr>
        <w:t xml:space="preserve">On </w:t>
      </w:r>
      <w:proofErr w:type="gramStart"/>
      <w:r w:rsidR="00152A4E" w:rsidRPr="00152A4E">
        <w:rPr>
          <w:rFonts w:ascii="Arial" w:hAnsi="Arial" w:cs="Arial"/>
          <w:u w:val="single"/>
        </w:rPr>
        <w:t>Heading</w:t>
      </w:r>
      <w:proofErr w:type="gramEnd"/>
      <w:r w:rsidR="00152A4E" w:rsidRPr="00152A4E">
        <w:rPr>
          <w:rFonts w:ascii="Arial" w:hAnsi="Arial" w:cs="Arial"/>
          <w:u w:val="single"/>
        </w:rPr>
        <w:t xml:space="preserve"> 1a</w:t>
      </w:r>
      <w:r w:rsidR="00152A4E">
        <w:rPr>
          <w:rFonts w:ascii="Arial" w:hAnsi="Arial" w:cs="Arial"/>
        </w:rPr>
        <w:t xml:space="preserve"> the Government </w:t>
      </w:r>
      <w:r w:rsidR="00BD5387" w:rsidRPr="00152A4E">
        <w:rPr>
          <w:rFonts w:ascii="Arial" w:hAnsi="Arial" w:cs="Arial"/>
          <w:color w:val="000000"/>
          <w:lang w:eastAsia="en-GB"/>
        </w:rPr>
        <w:t>agree</w:t>
      </w:r>
      <w:r w:rsidR="00152A4E">
        <w:rPr>
          <w:rFonts w:ascii="Arial" w:hAnsi="Arial" w:cs="Arial"/>
          <w:color w:val="000000"/>
          <w:lang w:eastAsia="en-GB"/>
        </w:rPr>
        <w:t>s</w:t>
      </w:r>
      <w:r w:rsidR="00BD5387" w:rsidRPr="00152A4E">
        <w:rPr>
          <w:rFonts w:ascii="Arial" w:hAnsi="Arial" w:cs="Arial"/>
          <w:color w:val="000000"/>
          <w:lang w:eastAsia="en-GB"/>
        </w:rPr>
        <w:t xml:space="preserve"> with the need </w:t>
      </w:r>
      <w:r w:rsidR="003B0FC4">
        <w:rPr>
          <w:rFonts w:ascii="Arial" w:hAnsi="Arial" w:cs="Arial"/>
          <w:color w:val="000000"/>
          <w:lang w:eastAsia="en-GB"/>
        </w:rPr>
        <w:t>for</w:t>
      </w:r>
      <w:r w:rsidR="00BD5387" w:rsidRPr="00152A4E">
        <w:rPr>
          <w:rFonts w:ascii="Arial" w:hAnsi="Arial" w:cs="Arial"/>
          <w:color w:val="000000"/>
          <w:lang w:eastAsia="en-GB"/>
        </w:rPr>
        <w:t xml:space="preserve"> efficient and flexible financing programmes which are able to respond to changing market conditions and are well integrated into the local business environment. </w:t>
      </w:r>
      <w:r w:rsidR="00152A4E">
        <w:rPr>
          <w:rFonts w:ascii="Arial" w:hAnsi="Arial" w:cs="Arial"/>
          <w:color w:val="000000"/>
          <w:lang w:eastAsia="en-GB"/>
        </w:rPr>
        <w:t>The Government</w:t>
      </w:r>
      <w:r w:rsidR="00BD5387" w:rsidRPr="00152A4E">
        <w:rPr>
          <w:rFonts w:ascii="Arial" w:hAnsi="Arial" w:cs="Arial"/>
          <w:color w:val="000000"/>
          <w:lang w:eastAsia="en-GB"/>
        </w:rPr>
        <w:t xml:space="preserve"> would also support the need for programmes to have quick and efficient decision making processes, strong collaboration with the private sector and to be aligned with business advice and support services.</w:t>
      </w:r>
      <w:r w:rsidR="00152A4E">
        <w:rPr>
          <w:rFonts w:ascii="Arial" w:hAnsi="Arial" w:cs="Arial"/>
          <w:color w:val="000000"/>
          <w:lang w:eastAsia="en-GB"/>
        </w:rPr>
        <w:t xml:space="preserve"> </w:t>
      </w:r>
      <w:r w:rsidR="003A149B" w:rsidRPr="00152A4E">
        <w:rPr>
          <w:rFonts w:ascii="Arial" w:hAnsi="Arial" w:cs="Arial"/>
        </w:rPr>
        <w:t xml:space="preserve">The </w:t>
      </w:r>
      <w:r w:rsidR="00152A4E" w:rsidRPr="00152A4E">
        <w:rPr>
          <w:rFonts w:ascii="Arial" w:hAnsi="Arial" w:cs="Arial"/>
        </w:rPr>
        <w:t>Government</w:t>
      </w:r>
      <w:r w:rsidR="003A149B" w:rsidRPr="00152A4E">
        <w:rPr>
          <w:rFonts w:ascii="Arial" w:hAnsi="Arial" w:cs="Arial"/>
        </w:rPr>
        <w:t xml:space="preserve"> broadly supports the EU’s expenditure on energy policy, in particular funds for nuclear decommissioning</w:t>
      </w:r>
      <w:r w:rsidR="003B0FC4">
        <w:rPr>
          <w:rFonts w:ascii="Arial" w:hAnsi="Arial" w:cs="Arial"/>
        </w:rPr>
        <w:t>, as</w:t>
      </w:r>
      <w:r w:rsidR="003A149B" w:rsidRPr="00152A4E">
        <w:rPr>
          <w:rFonts w:ascii="Arial" w:hAnsi="Arial" w:cs="Arial"/>
        </w:rPr>
        <w:t xml:space="preserve"> an important contribution to the EU’s nuclear security. Similarly, the EU’s funding of CCS demonstration projects has an important role to play in the development of this technology. We also note the value of the TEN-E in facilitating the integration of EU energy markets.</w:t>
      </w:r>
      <w:r w:rsidR="00152A4E">
        <w:rPr>
          <w:rFonts w:ascii="Arial" w:hAnsi="Arial" w:cs="Arial"/>
        </w:rPr>
        <w:t xml:space="preserve"> </w:t>
      </w:r>
      <w:r w:rsidR="006B2BD4" w:rsidRPr="00152A4E">
        <w:rPr>
          <w:rFonts w:ascii="Arial" w:hAnsi="Arial" w:cs="Arial"/>
          <w:iCs/>
          <w:color w:val="000000" w:themeColor="text1"/>
        </w:rPr>
        <w:t xml:space="preserve">The </w:t>
      </w:r>
      <w:r w:rsidR="00152A4E">
        <w:rPr>
          <w:rFonts w:ascii="Arial" w:hAnsi="Arial" w:cs="Arial"/>
          <w:iCs/>
          <w:color w:val="000000" w:themeColor="text1"/>
        </w:rPr>
        <w:t>Government</w:t>
      </w:r>
      <w:r w:rsidR="006B2BD4" w:rsidRPr="00152A4E">
        <w:rPr>
          <w:rFonts w:ascii="Arial" w:hAnsi="Arial" w:cs="Arial"/>
          <w:iCs/>
          <w:color w:val="000000" w:themeColor="text1"/>
        </w:rPr>
        <w:t xml:space="preserve"> supports the decommissioning of programmes in </w:t>
      </w:r>
      <w:r w:rsidR="00BD5387" w:rsidRPr="00152A4E">
        <w:rPr>
          <w:rFonts w:ascii="Arial" w:hAnsi="Arial" w:cs="Arial"/>
          <w:iCs/>
          <w:color w:val="000000" w:themeColor="text1"/>
        </w:rPr>
        <w:t xml:space="preserve">Bulgaria, Lithuania and Slovakia </w:t>
      </w:r>
      <w:r w:rsidR="006B2BD4" w:rsidRPr="00152A4E">
        <w:rPr>
          <w:rFonts w:ascii="Arial" w:hAnsi="Arial" w:cs="Arial"/>
          <w:iCs/>
          <w:color w:val="000000" w:themeColor="text1"/>
        </w:rPr>
        <w:t xml:space="preserve">as a point of principle as it will result in the reduction of risk to the UK from contamination should there be an unplanned release of radioactive materials from their reactors. However, this </w:t>
      </w:r>
      <w:r w:rsidR="00152A4E">
        <w:rPr>
          <w:rFonts w:ascii="Arial" w:hAnsi="Arial" w:cs="Arial"/>
          <w:iCs/>
          <w:color w:val="000000" w:themeColor="text1"/>
        </w:rPr>
        <w:t>should</w:t>
      </w:r>
      <w:r w:rsidR="006B2BD4" w:rsidRPr="00152A4E">
        <w:rPr>
          <w:rFonts w:ascii="Arial" w:hAnsi="Arial" w:cs="Arial"/>
          <w:iCs/>
          <w:color w:val="000000" w:themeColor="text1"/>
        </w:rPr>
        <w:t xml:space="preserve"> be done in the context of bud</w:t>
      </w:r>
      <w:r w:rsidR="00152A4E">
        <w:rPr>
          <w:rFonts w:ascii="Arial" w:hAnsi="Arial" w:cs="Arial"/>
          <w:iCs/>
          <w:color w:val="000000" w:themeColor="text1"/>
        </w:rPr>
        <w:t>getary restraint.</w:t>
      </w:r>
    </w:p>
    <w:p w:rsidR="006B2BD4" w:rsidRPr="006B2BD4" w:rsidRDefault="006B2BD4" w:rsidP="00072B21">
      <w:pPr>
        <w:pStyle w:val="ListParagraph"/>
        <w:jc w:val="both"/>
        <w:rPr>
          <w:rFonts w:ascii="Arial" w:hAnsi="Arial" w:cs="Arial"/>
        </w:rPr>
      </w:pPr>
    </w:p>
    <w:p w:rsidR="006950B2" w:rsidRPr="006950B2" w:rsidRDefault="00152A4E" w:rsidP="00072B21">
      <w:pPr>
        <w:pStyle w:val="ListParagraph"/>
        <w:numPr>
          <w:ilvl w:val="0"/>
          <w:numId w:val="1"/>
        </w:numPr>
        <w:tabs>
          <w:tab w:val="clear" w:pos="720"/>
          <w:tab w:val="num" w:pos="360"/>
        </w:tabs>
        <w:ind w:left="360"/>
        <w:jc w:val="both"/>
        <w:rPr>
          <w:rFonts w:ascii="Arial" w:hAnsi="Arial" w:cs="Arial"/>
          <w:iCs/>
          <w:color w:val="000000" w:themeColor="text1"/>
        </w:rPr>
      </w:pPr>
      <w:r>
        <w:rPr>
          <w:rFonts w:ascii="Arial" w:hAnsi="Arial" w:cs="Arial"/>
        </w:rPr>
        <w:t xml:space="preserve">On </w:t>
      </w:r>
      <w:r w:rsidRPr="00152A4E">
        <w:rPr>
          <w:rFonts w:ascii="Arial" w:hAnsi="Arial" w:cs="Arial"/>
          <w:u w:val="single"/>
        </w:rPr>
        <w:t>Heading 1b</w:t>
      </w:r>
      <w:r>
        <w:rPr>
          <w:rFonts w:ascii="Arial" w:hAnsi="Arial" w:cs="Arial"/>
        </w:rPr>
        <w:t xml:space="preserve"> </w:t>
      </w:r>
      <w:r w:rsidR="005C6DE6">
        <w:rPr>
          <w:rFonts w:ascii="Arial" w:hAnsi="Arial" w:cs="Arial"/>
        </w:rPr>
        <w:t>Government</w:t>
      </w:r>
      <w:r w:rsidR="005C6DE6" w:rsidRPr="00EE50F1">
        <w:rPr>
          <w:rFonts w:ascii="Arial" w:hAnsi="Arial" w:cs="Arial"/>
        </w:rPr>
        <w:t xml:space="preserve"> continue</w:t>
      </w:r>
      <w:r w:rsidR="005C6DE6">
        <w:rPr>
          <w:rFonts w:ascii="Arial" w:hAnsi="Arial" w:cs="Arial"/>
        </w:rPr>
        <w:t>s</w:t>
      </w:r>
      <w:r w:rsidR="005C6DE6" w:rsidRPr="00EE50F1">
        <w:rPr>
          <w:rFonts w:ascii="Arial" w:hAnsi="Arial" w:cs="Arial"/>
        </w:rPr>
        <w:t xml:space="preserve"> to make </w:t>
      </w:r>
      <w:r w:rsidR="005C6DE6">
        <w:rPr>
          <w:rFonts w:ascii="Arial" w:hAnsi="Arial" w:cs="Arial"/>
        </w:rPr>
        <w:t>press for</w:t>
      </w:r>
      <w:r w:rsidR="005C6DE6" w:rsidRPr="00EE50F1">
        <w:rPr>
          <w:rFonts w:ascii="Arial" w:hAnsi="Arial" w:cs="Arial"/>
        </w:rPr>
        <w:t xml:space="preserve"> better spending within this heading</w:t>
      </w:r>
      <w:r w:rsidR="005C6DE6" w:rsidRPr="004337C1">
        <w:rPr>
          <w:rFonts w:ascii="Arial" w:hAnsi="Arial" w:cs="Arial"/>
        </w:rPr>
        <w:t xml:space="preserve"> </w:t>
      </w:r>
      <w:r w:rsidR="005C6DE6">
        <w:rPr>
          <w:rFonts w:ascii="Arial" w:hAnsi="Arial" w:cs="Arial"/>
        </w:rPr>
        <w:t>and</w:t>
      </w:r>
      <w:r w:rsidR="004337C1" w:rsidRPr="004337C1">
        <w:rPr>
          <w:rFonts w:ascii="Arial" w:hAnsi="Arial" w:cs="Arial"/>
        </w:rPr>
        <w:t xml:space="preserve"> agrees that further efforts are needed to reduce </w:t>
      </w:r>
      <w:r>
        <w:rPr>
          <w:rFonts w:ascii="Arial" w:hAnsi="Arial" w:cs="Arial"/>
        </w:rPr>
        <w:t xml:space="preserve">ESF </w:t>
      </w:r>
      <w:r w:rsidR="004337C1" w:rsidRPr="004337C1">
        <w:rPr>
          <w:rFonts w:ascii="Arial" w:hAnsi="Arial" w:cs="Arial"/>
        </w:rPr>
        <w:t xml:space="preserve">administrative costs and burdens. These findings will help inform the next generation of EU programmes from 2014-2020. However, they are findings at the EU level, and the situation in individual Member States may be different. It is important that Member States have the flexibility to use the ESF to address their specific labour market priorities and needs. </w:t>
      </w:r>
    </w:p>
    <w:p w:rsidR="00DC7BAA" w:rsidRPr="003A149B" w:rsidRDefault="00DC7BAA" w:rsidP="00072B21">
      <w:pPr>
        <w:jc w:val="both"/>
        <w:rPr>
          <w:b/>
          <w:bCs/>
        </w:rPr>
      </w:pPr>
    </w:p>
    <w:p w:rsidR="00212FB2" w:rsidRPr="003B0FC4" w:rsidRDefault="005C6DE6" w:rsidP="003B0FC4">
      <w:pPr>
        <w:pStyle w:val="ListParagraph"/>
        <w:numPr>
          <w:ilvl w:val="0"/>
          <w:numId w:val="1"/>
        </w:numPr>
        <w:tabs>
          <w:tab w:val="clear" w:pos="720"/>
          <w:tab w:val="num" w:pos="360"/>
        </w:tabs>
        <w:ind w:left="360"/>
        <w:jc w:val="both"/>
        <w:rPr>
          <w:rFonts w:ascii="Arial" w:hAnsi="Arial" w:cs="Arial"/>
        </w:rPr>
      </w:pPr>
      <w:r w:rsidRPr="005C6DE6">
        <w:rPr>
          <w:rFonts w:ascii="Arial" w:hAnsi="Arial" w:cs="Arial"/>
          <w:bCs/>
        </w:rPr>
        <w:t xml:space="preserve">On </w:t>
      </w:r>
      <w:r w:rsidR="00212FB2" w:rsidRPr="005C6DE6">
        <w:rPr>
          <w:rFonts w:ascii="Arial" w:hAnsi="Arial" w:cs="Arial"/>
          <w:bCs/>
          <w:u w:val="single"/>
        </w:rPr>
        <w:t>Heading 2</w:t>
      </w:r>
      <w:r w:rsidR="00212FB2" w:rsidRPr="005C6DE6">
        <w:rPr>
          <w:rFonts w:ascii="Arial" w:hAnsi="Arial" w:cs="Arial"/>
          <w:bCs/>
        </w:rPr>
        <w:t xml:space="preserve"> </w:t>
      </w:r>
      <w:r>
        <w:rPr>
          <w:rFonts w:ascii="Arial" w:hAnsi="Arial" w:cs="Arial"/>
          <w:bCs/>
        </w:rPr>
        <w:t xml:space="preserve">the Government </w:t>
      </w:r>
      <w:r>
        <w:rPr>
          <w:rFonts w:ascii="Arial" w:hAnsi="Arial" w:cs="Arial"/>
        </w:rPr>
        <w:t xml:space="preserve">believes that </w:t>
      </w:r>
      <w:r w:rsidRPr="00C70A64">
        <w:rPr>
          <w:rFonts w:ascii="Arial" w:hAnsi="Arial" w:cs="Arial"/>
        </w:rPr>
        <w:t>much of this expenditure, in particular in Pillar 1 of the CAP, represents very poor value for money</w:t>
      </w:r>
      <w:r>
        <w:rPr>
          <w:rFonts w:ascii="Arial" w:hAnsi="Arial" w:cs="Arial"/>
        </w:rPr>
        <w:t xml:space="preserve">. On the specific evaluations, the Government </w:t>
      </w:r>
      <w:r w:rsidR="00212FB2" w:rsidRPr="005C6DE6">
        <w:rPr>
          <w:rFonts w:ascii="Arial" w:hAnsi="Arial" w:cs="Arial"/>
        </w:rPr>
        <w:t xml:space="preserve">broadly </w:t>
      </w:r>
      <w:r>
        <w:rPr>
          <w:rFonts w:ascii="Arial" w:hAnsi="Arial" w:cs="Arial"/>
        </w:rPr>
        <w:t xml:space="preserve">agrees that the </w:t>
      </w:r>
      <w:r w:rsidR="00212FB2" w:rsidRPr="005C6DE6">
        <w:rPr>
          <w:rFonts w:ascii="Arial" w:hAnsi="Arial" w:cs="Arial"/>
        </w:rPr>
        <w:t xml:space="preserve">cereal sector </w:t>
      </w:r>
      <w:r>
        <w:rPr>
          <w:rFonts w:ascii="Arial" w:hAnsi="Arial" w:cs="Arial"/>
        </w:rPr>
        <w:t xml:space="preserve">has moved </w:t>
      </w:r>
      <w:r w:rsidR="00212FB2" w:rsidRPr="005C6DE6">
        <w:rPr>
          <w:rFonts w:ascii="Arial" w:hAnsi="Arial" w:cs="Arial"/>
        </w:rPr>
        <w:t>to a more market orientated footing.  In the last number of years, the EU cereals market has been operating at a global level, which means that expenditure on market management measures has been kept to the minimum.</w:t>
      </w:r>
      <w:r>
        <w:rPr>
          <w:rFonts w:ascii="Arial" w:hAnsi="Arial" w:cs="Arial"/>
        </w:rPr>
        <w:t xml:space="preserve"> </w:t>
      </w:r>
      <w:r w:rsidRPr="005C6DE6">
        <w:rPr>
          <w:rFonts w:ascii="Arial" w:hAnsi="Arial" w:cs="Arial"/>
        </w:rPr>
        <w:t xml:space="preserve">The Government agrees the broad thrust of the Commission’s wine evaluation and </w:t>
      </w:r>
      <w:r w:rsidR="00212FB2" w:rsidRPr="005C6DE6">
        <w:rPr>
          <w:rFonts w:ascii="Arial" w:hAnsi="Arial" w:cs="Arial"/>
        </w:rPr>
        <w:t xml:space="preserve">concurred with </w:t>
      </w:r>
      <w:r w:rsidRPr="005C6DE6">
        <w:rPr>
          <w:rFonts w:ascii="Arial" w:hAnsi="Arial" w:cs="Arial"/>
        </w:rPr>
        <w:t xml:space="preserve">the Commission’s view </w:t>
      </w:r>
      <w:r w:rsidR="00212FB2" w:rsidRPr="005C6DE6">
        <w:rPr>
          <w:rFonts w:ascii="Arial" w:hAnsi="Arial" w:cs="Arial"/>
        </w:rPr>
        <w:t xml:space="preserve">that the </w:t>
      </w:r>
      <w:r w:rsidRPr="005C6DE6">
        <w:rPr>
          <w:rFonts w:ascii="Arial" w:hAnsi="Arial" w:cs="Arial"/>
        </w:rPr>
        <w:t xml:space="preserve">wine reform of </w:t>
      </w:r>
      <w:r w:rsidR="00212FB2" w:rsidRPr="005C6DE6">
        <w:rPr>
          <w:rFonts w:ascii="Arial" w:hAnsi="Arial" w:cs="Arial"/>
        </w:rPr>
        <w:t>2008 had been successful. The measures have a significantly more competitive focus when compared with those used by the sector prior to 2008 which were more aligned to supporting the cy</w:t>
      </w:r>
      <w:r w:rsidRPr="005C6DE6">
        <w:rPr>
          <w:rFonts w:ascii="Arial" w:hAnsi="Arial" w:cs="Arial"/>
        </w:rPr>
        <w:t>cle of production and disposal.</w:t>
      </w:r>
      <w:r>
        <w:rPr>
          <w:rFonts w:ascii="Arial" w:hAnsi="Arial" w:cs="Arial"/>
        </w:rPr>
        <w:t xml:space="preserve"> The Government strongly supports t</w:t>
      </w:r>
      <w:r w:rsidR="00212FB2" w:rsidRPr="005C6DE6">
        <w:rPr>
          <w:rFonts w:ascii="Arial" w:hAnsi="Arial" w:cs="Arial"/>
        </w:rPr>
        <w:t>he aim of getting children to eat more healthily</w:t>
      </w:r>
      <w:r w:rsidR="00445C9E">
        <w:rPr>
          <w:rFonts w:ascii="Arial" w:hAnsi="Arial" w:cs="Arial"/>
        </w:rPr>
        <w:t xml:space="preserve">, but has </w:t>
      </w:r>
      <w:r w:rsidR="00212FB2" w:rsidRPr="005C6DE6">
        <w:rPr>
          <w:rFonts w:ascii="Arial" w:hAnsi="Arial" w:cs="Arial"/>
        </w:rPr>
        <w:t xml:space="preserve">reservations about the need for </w:t>
      </w:r>
      <w:r w:rsidR="00445C9E" w:rsidRPr="005C6DE6">
        <w:rPr>
          <w:rFonts w:ascii="Arial" w:hAnsi="Arial" w:cs="Arial"/>
        </w:rPr>
        <w:t>an</w:t>
      </w:r>
      <w:r w:rsidR="00445C9E">
        <w:rPr>
          <w:rFonts w:ascii="Arial" w:hAnsi="Arial" w:cs="Arial"/>
        </w:rPr>
        <w:t xml:space="preserve"> EU funded scheme within CAP. The Government </w:t>
      </w:r>
      <w:r w:rsidR="00212FB2" w:rsidRPr="005C6DE6">
        <w:rPr>
          <w:rFonts w:ascii="Arial" w:hAnsi="Arial" w:cs="Arial"/>
        </w:rPr>
        <w:t>feel</w:t>
      </w:r>
      <w:r>
        <w:rPr>
          <w:rFonts w:ascii="Arial" w:hAnsi="Arial" w:cs="Arial"/>
        </w:rPr>
        <w:t>s</w:t>
      </w:r>
      <w:r w:rsidR="00212FB2" w:rsidRPr="005C6DE6">
        <w:rPr>
          <w:rFonts w:ascii="Arial" w:hAnsi="Arial" w:cs="Arial"/>
        </w:rPr>
        <w:t xml:space="preserve"> that these initiatives should be funded</w:t>
      </w:r>
      <w:r w:rsidR="00445C9E">
        <w:rPr>
          <w:rFonts w:ascii="Arial" w:hAnsi="Arial" w:cs="Arial"/>
        </w:rPr>
        <w:t xml:space="preserve"> by Member States themselves. I</w:t>
      </w:r>
      <w:r w:rsidR="00212FB2" w:rsidRPr="005C6DE6">
        <w:rPr>
          <w:rFonts w:ascii="Arial" w:hAnsi="Arial" w:cs="Arial"/>
        </w:rPr>
        <w:t xml:space="preserve">ndividual </w:t>
      </w:r>
      <w:r w:rsidR="00445C9E">
        <w:rPr>
          <w:rFonts w:ascii="Arial" w:hAnsi="Arial" w:cs="Arial"/>
        </w:rPr>
        <w:t xml:space="preserve">Member State </w:t>
      </w:r>
      <w:r w:rsidR="00212FB2" w:rsidRPr="005C6DE6">
        <w:rPr>
          <w:rFonts w:ascii="Arial" w:hAnsi="Arial" w:cs="Arial"/>
        </w:rPr>
        <w:t>schemes should have the chance to fully develop and analysis undertaken before any increase in the budget is considered.</w:t>
      </w:r>
      <w:r w:rsidR="00445C9E">
        <w:rPr>
          <w:rFonts w:ascii="Arial" w:hAnsi="Arial" w:cs="Arial"/>
        </w:rPr>
        <w:t xml:space="preserve"> </w:t>
      </w:r>
      <w:r w:rsidR="00445C9E" w:rsidRPr="003B0FC4">
        <w:rPr>
          <w:rFonts w:ascii="Arial" w:hAnsi="Arial" w:cs="Arial"/>
        </w:rPr>
        <w:t xml:space="preserve">The </w:t>
      </w:r>
      <w:r w:rsidR="00445C9E" w:rsidRPr="003B0FC4">
        <w:rPr>
          <w:rFonts w:ascii="Arial" w:hAnsi="Arial" w:cs="Arial"/>
        </w:rPr>
        <w:lastRenderedPageBreak/>
        <w:t>Government notes</w:t>
      </w:r>
      <w:r w:rsidR="00212FB2" w:rsidRPr="003B0FC4">
        <w:rPr>
          <w:rFonts w:ascii="Arial" w:hAnsi="Arial" w:cs="Arial"/>
        </w:rPr>
        <w:t xml:space="preserve"> that the recommendations from ex-post evaluation </w:t>
      </w:r>
      <w:r w:rsidR="00445C9E" w:rsidRPr="003B0FC4">
        <w:rPr>
          <w:rFonts w:ascii="Arial" w:hAnsi="Arial" w:cs="Arial"/>
        </w:rPr>
        <w:t>of Rural Development Programmes</w:t>
      </w:r>
      <w:r w:rsidR="00212FB2" w:rsidRPr="003B0FC4">
        <w:rPr>
          <w:rFonts w:ascii="Arial" w:hAnsi="Arial" w:cs="Arial"/>
        </w:rPr>
        <w:t xml:space="preserve"> 2000-2006 and the synthesis of the mid-term evaluations of Rural Development Programmes, 2007-</w:t>
      </w:r>
      <w:r w:rsidR="00445C9E" w:rsidRPr="003B0FC4">
        <w:rPr>
          <w:rFonts w:ascii="Arial" w:hAnsi="Arial" w:cs="Arial"/>
        </w:rPr>
        <w:t>20</w:t>
      </w:r>
      <w:r w:rsidR="00212FB2" w:rsidRPr="003B0FC4">
        <w:rPr>
          <w:rFonts w:ascii="Arial" w:hAnsi="Arial" w:cs="Arial"/>
        </w:rPr>
        <w:t xml:space="preserve">13 show positive economic and environmental impacts, and </w:t>
      </w:r>
      <w:r w:rsidR="00445C9E" w:rsidRPr="003B0FC4">
        <w:rPr>
          <w:rFonts w:ascii="Arial" w:hAnsi="Arial" w:cs="Arial"/>
        </w:rPr>
        <w:t xml:space="preserve">agrees </w:t>
      </w:r>
      <w:r w:rsidR="00212FB2" w:rsidRPr="003B0FC4">
        <w:rPr>
          <w:rFonts w:ascii="Arial" w:hAnsi="Arial" w:cs="Arial"/>
        </w:rPr>
        <w:t xml:space="preserve">that they should in future be </w:t>
      </w:r>
      <w:r w:rsidR="00445C9E" w:rsidRPr="003B0FC4">
        <w:rPr>
          <w:rFonts w:ascii="Arial" w:hAnsi="Arial" w:cs="Arial"/>
        </w:rPr>
        <w:t>better</w:t>
      </w:r>
      <w:r w:rsidR="00212FB2" w:rsidRPr="003B0FC4">
        <w:rPr>
          <w:rFonts w:ascii="Arial" w:hAnsi="Arial" w:cs="Arial"/>
        </w:rPr>
        <w:t xml:space="preserve"> t</w:t>
      </w:r>
      <w:r w:rsidR="00445C9E" w:rsidRPr="003B0FC4">
        <w:rPr>
          <w:rFonts w:ascii="Arial" w:hAnsi="Arial" w:cs="Arial"/>
        </w:rPr>
        <w:t>argeted to support this further in future</w:t>
      </w:r>
      <w:r w:rsidR="00212FB2" w:rsidRPr="003B0FC4">
        <w:rPr>
          <w:rFonts w:ascii="Arial" w:hAnsi="Arial" w:cs="Arial"/>
        </w:rPr>
        <w:t xml:space="preserve">.  </w:t>
      </w:r>
      <w:r w:rsidR="00396226" w:rsidRPr="003B0FC4">
        <w:rPr>
          <w:rFonts w:ascii="Arial" w:hAnsi="Arial" w:cs="Arial"/>
        </w:rPr>
        <w:t>However, t</w:t>
      </w:r>
      <w:r w:rsidR="00212FB2" w:rsidRPr="003B0FC4">
        <w:rPr>
          <w:rFonts w:ascii="Arial" w:hAnsi="Arial" w:cs="Arial"/>
        </w:rPr>
        <w:t xml:space="preserve">he Mid-Term Evaluation was produced at too early a stage in the programming period, and </w:t>
      </w:r>
      <w:r w:rsidR="00396226" w:rsidRPr="003B0FC4">
        <w:rPr>
          <w:rFonts w:ascii="Arial" w:hAnsi="Arial" w:cs="Arial"/>
        </w:rPr>
        <w:t xml:space="preserve">the Government welcomes </w:t>
      </w:r>
      <w:r w:rsidR="00212FB2" w:rsidRPr="003B0FC4">
        <w:rPr>
          <w:rFonts w:ascii="Arial" w:hAnsi="Arial" w:cs="Arial"/>
        </w:rPr>
        <w:t xml:space="preserve">proposals for reviewing Rural Development </w:t>
      </w:r>
      <w:r w:rsidR="00396226" w:rsidRPr="003B0FC4">
        <w:rPr>
          <w:rFonts w:ascii="Arial" w:hAnsi="Arial" w:cs="Arial"/>
        </w:rPr>
        <w:t>programmes later</w:t>
      </w:r>
      <w:r w:rsidR="00212FB2" w:rsidRPr="003B0FC4">
        <w:rPr>
          <w:rFonts w:ascii="Arial" w:hAnsi="Arial" w:cs="Arial"/>
        </w:rPr>
        <w:t xml:space="preserve"> </w:t>
      </w:r>
      <w:r w:rsidR="00396226" w:rsidRPr="003B0FC4">
        <w:rPr>
          <w:rFonts w:ascii="Arial" w:hAnsi="Arial" w:cs="Arial"/>
        </w:rPr>
        <w:t xml:space="preserve">in the </w:t>
      </w:r>
      <w:r w:rsidR="00212FB2" w:rsidRPr="003B0FC4">
        <w:rPr>
          <w:rFonts w:ascii="Arial" w:hAnsi="Arial" w:cs="Arial"/>
        </w:rPr>
        <w:t xml:space="preserve">period.  </w:t>
      </w:r>
      <w:r w:rsidR="00396226" w:rsidRPr="003B0FC4">
        <w:rPr>
          <w:rFonts w:ascii="Arial" w:hAnsi="Arial" w:cs="Arial"/>
        </w:rPr>
        <w:t xml:space="preserve">The Government also </w:t>
      </w:r>
      <w:r w:rsidR="00212FB2" w:rsidRPr="003B0FC4">
        <w:rPr>
          <w:rFonts w:ascii="Arial" w:hAnsi="Arial" w:cs="Arial"/>
        </w:rPr>
        <w:t>welcome</w:t>
      </w:r>
      <w:r w:rsidR="00396226" w:rsidRPr="003B0FC4">
        <w:rPr>
          <w:rFonts w:ascii="Arial" w:hAnsi="Arial" w:cs="Arial"/>
        </w:rPr>
        <w:t>s</w:t>
      </w:r>
      <w:r w:rsidR="00212FB2" w:rsidRPr="003B0FC4">
        <w:rPr>
          <w:rFonts w:ascii="Arial" w:hAnsi="Arial" w:cs="Arial"/>
        </w:rPr>
        <w:t xml:space="preserve"> the closer links with other European Funds (such as ERDF and ESF)</w:t>
      </w:r>
      <w:r w:rsidR="00396226" w:rsidRPr="003B0FC4">
        <w:rPr>
          <w:rFonts w:ascii="Arial" w:hAnsi="Arial" w:cs="Arial"/>
        </w:rPr>
        <w:t>;</w:t>
      </w:r>
      <w:r w:rsidR="00212FB2" w:rsidRPr="003B0FC4">
        <w:rPr>
          <w:rFonts w:ascii="Arial" w:hAnsi="Arial" w:cs="Arial"/>
        </w:rPr>
        <w:t xml:space="preserve"> although concerns remain that such an approach brings added complexity to implementation.</w:t>
      </w:r>
    </w:p>
    <w:p w:rsidR="00212FB2" w:rsidRPr="00BD5387" w:rsidRDefault="00212FB2" w:rsidP="00072B21">
      <w:pPr>
        <w:jc w:val="both"/>
        <w:rPr>
          <w:rFonts w:ascii="Arial" w:hAnsi="Arial" w:cs="Arial"/>
          <w:iCs/>
          <w:color w:val="000000" w:themeColor="text1"/>
        </w:rPr>
      </w:pPr>
    </w:p>
    <w:p w:rsidR="00DC7BAA" w:rsidRPr="005C6305" w:rsidRDefault="00396226" w:rsidP="00072B21">
      <w:pPr>
        <w:pStyle w:val="ListParagraph"/>
        <w:numPr>
          <w:ilvl w:val="0"/>
          <w:numId w:val="1"/>
        </w:numPr>
        <w:tabs>
          <w:tab w:val="clear" w:pos="720"/>
          <w:tab w:val="num" w:pos="360"/>
        </w:tabs>
        <w:ind w:left="360"/>
        <w:jc w:val="both"/>
        <w:rPr>
          <w:rFonts w:ascii="Arial" w:hAnsi="Arial" w:cs="Arial"/>
          <w:iCs/>
          <w:color w:val="000000" w:themeColor="text1"/>
        </w:rPr>
      </w:pPr>
      <w:r>
        <w:rPr>
          <w:rFonts w:ascii="Arial" w:hAnsi="Arial" w:cs="Arial"/>
          <w:bCs/>
        </w:rPr>
        <w:t xml:space="preserve">On </w:t>
      </w:r>
      <w:r w:rsidRPr="00880F96">
        <w:rPr>
          <w:rFonts w:ascii="Arial" w:hAnsi="Arial" w:cs="Arial"/>
          <w:bCs/>
          <w:u w:val="single"/>
        </w:rPr>
        <w:t>Heading 3</w:t>
      </w:r>
      <w:r>
        <w:rPr>
          <w:rFonts w:ascii="Arial" w:hAnsi="Arial" w:cs="Arial"/>
          <w:bCs/>
        </w:rPr>
        <w:t xml:space="preserve"> </w:t>
      </w:r>
      <w:r w:rsidR="00880F96">
        <w:rPr>
          <w:rFonts w:ascii="Arial" w:hAnsi="Arial" w:cs="Arial"/>
          <w:bCs/>
        </w:rPr>
        <w:t>the Government notes that</w:t>
      </w:r>
      <w:r w:rsidR="00DC7BAA">
        <w:rPr>
          <w:rFonts w:ascii="Arial" w:hAnsi="Arial" w:cs="Arial"/>
          <w:bCs/>
        </w:rPr>
        <w:t xml:space="preserve"> </w:t>
      </w:r>
      <w:r w:rsidR="00DC7BAA" w:rsidRPr="000561A1">
        <w:rPr>
          <w:rFonts w:ascii="Arial" w:hAnsi="Arial" w:cs="Arial"/>
        </w:rPr>
        <w:t xml:space="preserve">14 projects run by UK organisations have been funded under </w:t>
      </w:r>
      <w:r w:rsidR="00DC7BAA">
        <w:rPr>
          <w:rFonts w:ascii="Arial" w:hAnsi="Arial" w:cs="Arial"/>
        </w:rPr>
        <w:t xml:space="preserve">the </w:t>
      </w:r>
      <w:r w:rsidR="00DC7BAA" w:rsidRPr="00BD5387">
        <w:rPr>
          <w:rFonts w:ascii="Arial" w:hAnsi="Arial" w:cs="Arial"/>
          <w:bCs/>
        </w:rPr>
        <w:t>Fundamental Rights and Citizenship Programme (2007-2013)</w:t>
      </w:r>
      <w:r w:rsidR="00DC7BAA">
        <w:rPr>
          <w:rFonts w:ascii="Arial" w:hAnsi="Arial" w:cs="Arial"/>
        </w:rPr>
        <w:t xml:space="preserve"> -</w:t>
      </w:r>
      <w:r w:rsidR="00DC7BAA" w:rsidRPr="000561A1">
        <w:rPr>
          <w:rFonts w:ascii="Arial" w:hAnsi="Arial" w:cs="Arial"/>
        </w:rPr>
        <w:t xml:space="preserve"> the third highest number of all Member States. </w:t>
      </w:r>
      <w:r w:rsidR="00880F96">
        <w:rPr>
          <w:rFonts w:ascii="Arial" w:hAnsi="Arial" w:cs="Arial"/>
        </w:rPr>
        <w:t>The Government also notes that e</w:t>
      </w:r>
      <w:r w:rsidR="00DC7BAA" w:rsidRPr="000561A1">
        <w:rPr>
          <w:rFonts w:ascii="Arial" w:hAnsi="Arial" w:cs="Arial"/>
        </w:rPr>
        <w:t>lements of the current Fundamental Rights and Citizenship programme along with the Daphne programme (addressing violence against women) and the Anti</w:t>
      </w:r>
      <w:r w:rsidR="00880F96">
        <w:rPr>
          <w:rFonts w:ascii="Arial" w:hAnsi="Arial" w:cs="Arial"/>
        </w:rPr>
        <w:t xml:space="preserve">-discrimination and Diversity and </w:t>
      </w:r>
      <w:r w:rsidR="00DC7BAA" w:rsidRPr="000561A1">
        <w:rPr>
          <w:rFonts w:ascii="Arial" w:hAnsi="Arial" w:cs="Arial"/>
        </w:rPr>
        <w:t xml:space="preserve">Gender Equality elements of the </w:t>
      </w:r>
      <w:r w:rsidR="00880F96">
        <w:rPr>
          <w:rFonts w:ascii="Arial" w:hAnsi="Arial" w:cs="Arial"/>
        </w:rPr>
        <w:t>PROGRESS</w:t>
      </w:r>
      <w:r w:rsidR="00DC7BAA" w:rsidRPr="000561A1">
        <w:rPr>
          <w:rFonts w:ascii="Arial" w:hAnsi="Arial" w:cs="Arial"/>
        </w:rPr>
        <w:t> programme are to be brought together under a new Rights, Citizenship and Equality programme (2014-2020). This would support projects which aim to collect and produce information, support training and monitor the implementation of Union legislation in areas such as antidiscrimination, the rights of the child and violence against women.</w:t>
      </w:r>
    </w:p>
    <w:p w:rsidR="00DC7BAA" w:rsidRPr="00DC7BAA" w:rsidRDefault="00DC7BAA" w:rsidP="00072B21">
      <w:pPr>
        <w:pStyle w:val="ListParagraph"/>
        <w:ind w:left="360"/>
        <w:jc w:val="both"/>
        <w:rPr>
          <w:rFonts w:ascii="Arial" w:hAnsi="Arial" w:cs="Arial"/>
          <w:iCs/>
          <w:color w:val="000000" w:themeColor="text1"/>
        </w:rPr>
      </w:pPr>
    </w:p>
    <w:p w:rsidR="005C6305" w:rsidRPr="00B042FB" w:rsidRDefault="00880F96" w:rsidP="00B042FB">
      <w:pPr>
        <w:pStyle w:val="ListParagraph"/>
        <w:numPr>
          <w:ilvl w:val="0"/>
          <w:numId w:val="1"/>
        </w:numPr>
        <w:tabs>
          <w:tab w:val="clear" w:pos="720"/>
          <w:tab w:val="num" w:pos="360"/>
        </w:tabs>
        <w:ind w:left="360"/>
        <w:jc w:val="both"/>
        <w:rPr>
          <w:rFonts w:ascii="Arial" w:hAnsi="Arial" w:cs="Arial"/>
          <w:iCs/>
          <w:color w:val="000000" w:themeColor="text1"/>
        </w:rPr>
      </w:pPr>
      <w:r>
        <w:rPr>
          <w:rFonts w:ascii="Arial" w:hAnsi="Arial" w:cs="Arial"/>
        </w:rPr>
        <w:t xml:space="preserve">On </w:t>
      </w:r>
      <w:r w:rsidRPr="00880F96">
        <w:rPr>
          <w:rFonts w:ascii="Arial" w:hAnsi="Arial" w:cs="Arial"/>
          <w:u w:val="single"/>
        </w:rPr>
        <w:t>Heading 4</w:t>
      </w:r>
      <w:r>
        <w:rPr>
          <w:rFonts w:ascii="Arial" w:hAnsi="Arial" w:cs="Arial"/>
        </w:rPr>
        <w:t xml:space="preserve"> t</w:t>
      </w:r>
      <w:r w:rsidR="003A149B">
        <w:rPr>
          <w:rFonts w:ascii="Arial" w:hAnsi="Arial" w:cs="Arial"/>
        </w:rPr>
        <w:t>he Government</w:t>
      </w:r>
      <w:r w:rsidR="003A149B" w:rsidRPr="005C6305">
        <w:rPr>
          <w:rFonts w:ascii="Arial" w:hAnsi="Arial" w:cs="Arial"/>
        </w:rPr>
        <w:t xml:space="preserve"> recognise</w:t>
      </w:r>
      <w:r w:rsidR="003A149B">
        <w:rPr>
          <w:rFonts w:ascii="Arial" w:hAnsi="Arial" w:cs="Arial"/>
        </w:rPr>
        <w:t>s</w:t>
      </w:r>
      <w:r w:rsidR="003A149B" w:rsidRPr="005C6305">
        <w:rPr>
          <w:rFonts w:ascii="Arial" w:hAnsi="Arial" w:cs="Arial"/>
        </w:rPr>
        <w:t xml:space="preserve"> that a key strength of EU development assistance is the availability of a mix of aid modalities, particularly in fragile contexts. </w:t>
      </w:r>
      <w:r>
        <w:rPr>
          <w:rFonts w:ascii="Arial" w:hAnsi="Arial" w:cs="Arial"/>
        </w:rPr>
        <w:t>The Government</w:t>
      </w:r>
      <w:r w:rsidR="003A149B" w:rsidRPr="005C6305">
        <w:rPr>
          <w:rFonts w:ascii="Arial" w:hAnsi="Arial" w:cs="Arial"/>
        </w:rPr>
        <w:t xml:space="preserve"> welcome</w:t>
      </w:r>
      <w:r>
        <w:rPr>
          <w:rFonts w:ascii="Arial" w:hAnsi="Arial" w:cs="Arial"/>
        </w:rPr>
        <w:t>s</w:t>
      </w:r>
      <w:r w:rsidR="003A149B" w:rsidRPr="005C6305">
        <w:rPr>
          <w:rFonts w:ascii="Arial" w:hAnsi="Arial" w:cs="Arial"/>
        </w:rPr>
        <w:t xml:space="preserve"> the endorseme</w:t>
      </w:r>
      <w:r>
        <w:rPr>
          <w:rFonts w:ascii="Arial" w:hAnsi="Arial" w:cs="Arial"/>
        </w:rPr>
        <w:t xml:space="preserve">nt of this in the evaluations; and </w:t>
      </w:r>
      <w:r w:rsidR="003A149B" w:rsidRPr="005C6305">
        <w:rPr>
          <w:rFonts w:ascii="Arial" w:hAnsi="Arial" w:cs="Arial"/>
        </w:rPr>
        <w:t>the emphasis on the need for policy dialogue, particul</w:t>
      </w:r>
      <w:r>
        <w:rPr>
          <w:rFonts w:ascii="Arial" w:hAnsi="Arial" w:cs="Arial"/>
        </w:rPr>
        <w:t>arly when deployed with budget s</w:t>
      </w:r>
      <w:r w:rsidR="003A149B" w:rsidRPr="005C6305">
        <w:rPr>
          <w:rFonts w:ascii="Arial" w:hAnsi="Arial" w:cs="Arial"/>
        </w:rPr>
        <w:t xml:space="preserve">upport.  Some of the evaluations’ findings are feeding into the Commission’s proposals for the next </w:t>
      </w:r>
      <w:r w:rsidR="003A149B">
        <w:rPr>
          <w:rFonts w:ascii="Arial" w:hAnsi="Arial" w:cs="Arial"/>
        </w:rPr>
        <w:t>MFF</w:t>
      </w:r>
      <w:r w:rsidR="003A149B" w:rsidRPr="005C6305">
        <w:rPr>
          <w:rFonts w:ascii="Arial" w:hAnsi="Arial" w:cs="Arial"/>
        </w:rPr>
        <w:t>, including the need for better coordination with other donors, better linkage between regional and national programming and more synergies</w:t>
      </w:r>
      <w:r w:rsidR="00B042FB">
        <w:rPr>
          <w:rFonts w:ascii="Arial" w:hAnsi="Arial" w:cs="Arial"/>
        </w:rPr>
        <w:t xml:space="preserve"> between the different sect</w:t>
      </w:r>
      <w:r w:rsidR="00B042FB" w:rsidRPr="00D517C6">
        <w:rPr>
          <w:rFonts w:ascii="Arial" w:hAnsi="Arial" w:cs="Arial"/>
        </w:rPr>
        <w:t>ors.</w:t>
      </w:r>
      <w:r w:rsidR="003A149B" w:rsidRPr="00D517C6">
        <w:rPr>
          <w:rFonts w:ascii="Arial" w:hAnsi="Arial" w:cs="Arial"/>
        </w:rPr>
        <w:t xml:space="preserve"> We welcome confirmation that the </w:t>
      </w:r>
      <w:r w:rsidR="00D517C6" w:rsidRPr="00D517C6">
        <w:rPr>
          <w:rFonts w:ascii="Arial" w:hAnsi="Arial" w:cs="Arial"/>
        </w:rPr>
        <w:t>European External Action Service (</w:t>
      </w:r>
      <w:r w:rsidR="00B63DFC" w:rsidRPr="00D517C6">
        <w:rPr>
          <w:rFonts w:ascii="Arial" w:hAnsi="Arial" w:cs="Arial"/>
        </w:rPr>
        <w:t>EEAS</w:t>
      </w:r>
      <w:r w:rsidR="00D517C6" w:rsidRPr="00D517C6">
        <w:rPr>
          <w:rFonts w:ascii="Arial" w:hAnsi="Arial" w:cs="Arial"/>
        </w:rPr>
        <w:t>)</w:t>
      </w:r>
      <w:r w:rsidR="003A149B" w:rsidRPr="00D517C6">
        <w:rPr>
          <w:rFonts w:ascii="Arial" w:hAnsi="Arial" w:cs="Arial"/>
        </w:rPr>
        <w:t xml:space="preserve"> will take the results into consideration in preparing the next country</w:t>
      </w:r>
      <w:r w:rsidR="003A149B" w:rsidRPr="00B042FB">
        <w:rPr>
          <w:rFonts w:ascii="Arial" w:hAnsi="Arial" w:cs="Arial"/>
        </w:rPr>
        <w:t xml:space="preserve"> programmes to be finalised in 2014; and that the results of thematic evaluations are having an impact on improving implementation of health related interventions.  They have also led to a new unified Strategic Framework for human rights common to the Commission, the EEAS and Member States, with a wide-ranging plan of action for its implementation.  We would strongly endorse the need for a greater emphasis on measuring longer term effects and impacts, including providing a set of appropriate indicators to measure impacts.</w:t>
      </w:r>
    </w:p>
    <w:p w:rsidR="00BD5387" w:rsidRPr="005C6305" w:rsidRDefault="00BD5387" w:rsidP="00072B21">
      <w:pPr>
        <w:pStyle w:val="ListParagraph"/>
        <w:ind w:left="360"/>
        <w:jc w:val="both"/>
        <w:rPr>
          <w:rFonts w:ascii="Arial" w:hAnsi="Arial" w:cs="Arial"/>
          <w:iCs/>
          <w:color w:val="000000" w:themeColor="text1"/>
        </w:rPr>
      </w:pPr>
    </w:p>
    <w:p w:rsidR="0077555F" w:rsidRPr="00A842B6" w:rsidRDefault="003E4398" w:rsidP="00072B21">
      <w:pPr>
        <w:jc w:val="both"/>
        <w:rPr>
          <w:rFonts w:ascii="Arial" w:hAnsi="Arial" w:cs="Arial"/>
          <w:b/>
          <w:bCs/>
        </w:rPr>
      </w:pPr>
      <w:r w:rsidRPr="00A842B6">
        <w:rPr>
          <w:rFonts w:ascii="Arial" w:hAnsi="Arial" w:cs="Arial"/>
          <w:b/>
          <w:bCs/>
        </w:rPr>
        <w:t>REGULATORY IMPACT ASSESSMENT</w:t>
      </w:r>
    </w:p>
    <w:p w:rsidR="00502220" w:rsidRPr="00A842B6" w:rsidRDefault="00502220" w:rsidP="00072B21">
      <w:pPr>
        <w:pStyle w:val="NormalWeb"/>
        <w:spacing w:before="0" w:beforeAutospacing="0" w:after="0" w:afterAutospacing="0"/>
        <w:jc w:val="both"/>
        <w:rPr>
          <w:rFonts w:ascii="Arial" w:hAnsi="Arial" w:cs="Arial"/>
          <w:lang w:val="en-GB"/>
        </w:rPr>
      </w:pPr>
    </w:p>
    <w:p w:rsidR="00672E7F" w:rsidRPr="000D70C9" w:rsidRDefault="00672E7F" w:rsidP="00072B21">
      <w:pPr>
        <w:numPr>
          <w:ilvl w:val="0"/>
          <w:numId w:val="1"/>
        </w:numPr>
        <w:jc w:val="both"/>
        <w:rPr>
          <w:rFonts w:ascii="Arial" w:hAnsi="Arial" w:cs="Arial"/>
        </w:rPr>
      </w:pPr>
      <w:r w:rsidRPr="00A24E31">
        <w:rPr>
          <w:rFonts w:ascii="Arial" w:hAnsi="Arial" w:cs="Arial"/>
          <w:iCs/>
          <w:color w:val="000000"/>
        </w:rPr>
        <w:t xml:space="preserve">The </w:t>
      </w:r>
      <w:r w:rsidR="00B042FB">
        <w:rPr>
          <w:rFonts w:ascii="Arial" w:hAnsi="Arial" w:cs="Arial"/>
          <w:iCs/>
          <w:color w:val="000000"/>
        </w:rPr>
        <w:t>r</w:t>
      </w:r>
      <w:r>
        <w:rPr>
          <w:rFonts w:ascii="Arial" w:hAnsi="Arial" w:cs="Arial"/>
          <w:iCs/>
          <w:color w:val="000000"/>
        </w:rPr>
        <w:t xml:space="preserve">eport </w:t>
      </w:r>
      <w:r w:rsidRPr="00A24E31">
        <w:rPr>
          <w:rFonts w:ascii="Arial" w:hAnsi="Arial" w:cs="Arial"/>
          <w:iCs/>
          <w:color w:val="000000"/>
        </w:rPr>
        <w:t xml:space="preserve">does not in itself have any </w:t>
      </w:r>
      <w:r>
        <w:rPr>
          <w:rFonts w:ascii="Arial" w:hAnsi="Arial" w:cs="Arial"/>
          <w:iCs/>
          <w:color w:val="000000"/>
        </w:rPr>
        <w:t>regulatory</w:t>
      </w:r>
      <w:r w:rsidRPr="00A24E31">
        <w:rPr>
          <w:rFonts w:ascii="Arial" w:hAnsi="Arial" w:cs="Arial"/>
          <w:iCs/>
          <w:color w:val="000000"/>
        </w:rPr>
        <w:t xml:space="preserve"> implications.</w:t>
      </w:r>
    </w:p>
    <w:p w:rsidR="0077555F" w:rsidRPr="00A842B6" w:rsidRDefault="0077555F" w:rsidP="00072B21">
      <w:pPr>
        <w:jc w:val="both"/>
        <w:rPr>
          <w:rFonts w:ascii="Arial" w:hAnsi="Arial" w:cs="Arial"/>
        </w:rPr>
      </w:pPr>
    </w:p>
    <w:p w:rsidR="0077555F" w:rsidRPr="00A842B6" w:rsidRDefault="003E4398" w:rsidP="00072B21">
      <w:pPr>
        <w:jc w:val="both"/>
        <w:rPr>
          <w:rFonts w:ascii="Arial" w:hAnsi="Arial" w:cs="Arial"/>
          <w:b/>
          <w:bCs/>
        </w:rPr>
      </w:pPr>
      <w:r w:rsidRPr="00A842B6">
        <w:rPr>
          <w:rFonts w:ascii="Arial" w:hAnsi="Arial" w:cs="Arial"/>
          <w:b/>
          <w:bCs/>
        </w:rPr>
        <w:t>FINANCIAL IMPLICATIONS</w:t>
      </w:r>
    </w:p>
    <w:p w:rsidR="0077555F" w:rsidRPr="00A842B6" w:rsidRDefault="0077555F" w:rsidP="00072B21">
      <w:pPr>
        <w:pStyle w:val="NormalWeb"/>
        <w:spacing w:before="0" w:beforeAutospacing="0" w:after="0" w:afterAutospacing="0"/>
        <w:jc w:val="both"/>
        <w:rPr>
          <w:rFonts w:ascii="Arial" w:hAnsi="Arial" w:cs="Arial"/>
          <w:lang w:val="en-GB"/>
        </w:rPr>
      </w:pPr>
    </w:p>
    <w:p w:rsidR="00672E7F" w:rsidRPr="00F65D32" w:rsidRDefault="00672E7F" w:rsidP="00072B21">
      <w:pPr>
        <w:numPr>
          <w:ilvl w:val="0"/>
          <w:numId w:val="1"/>
        </w:numPr>
        <w:jc w:val="both"/>
        <w:rPr>
          <w:rFonts w:ascii="Arial" w:hAnsi="Arial" w:cs="Arial"/>
          <w:iCs/>
        </w:rPr>
      </w:pPr>
      <w:r w:rsidRPr="00A24E31">
        <w:rPr>
          <w:rFonts w:ascii="Arial" w:hAnsi="Arial" w:cs="Arial"/>
          <w:iCs/>
          <w:color w:val="000000"/>
        </w:rPr>
        <w:lastRenderedPageBreak/>
        <w:t xml:space="preserve">The </w:t>
      </w:r>
      <w:r w:rsidR="00B042FB">
        <w:rPr>
          <w:rFonts w:ascii="Arial" w:hAnsi="Arial" w:cs="Arial"/>
          <w:iCs/>
          <w:color w:val="000000"/>
        </w:rPr>
        <w:t>r</w:t>
      </w:r>
      <w:r>
        <w:rPr>
          <w:rFonts w:ascii="Arial" w:hAnsi="Arial" w:cs="Arial"/>
          <w:iCs/>
          <w:color w:val="000000"/>
        </w:rPr>
        <w:t xml:space="preserve">eport </w:t>
      </w:r>
      <w:r w:rsidRPr="00A24E31">
        <w:rPr>
          <w:rFonts w:ascii="Arial" w:hAnsi="Arial" w:cs="Arial"/>
          <w:iCs/>
          <w:color w:val="000000"/>
        </w:rPr>
        <w:t>does not in itself have any financial implications.</w:t>
      </w:r>
    </w:p>
    <w:p w:rsidR="0077555F" w:rsidRPr="00A842B6" w:rsidRDefault="0077555F" w:rsidP="00072B21">
      <w:pPr>
        <w:pStyle w:val="NormalWeb"/>
        <w:spacing w:before="0" w:beforeAutospacing="0" w:after="0" w:afterAutospacing="0"/>
        <w:jc w:val="both"/>
        <w:rPr>
          <w:rFonts w:ascii="Arial" w:hAnsi="Arial" w:cs="Arial"/>
          <w:lang w:val="en-GB"/>
        </w:rPr>
      </w:pPr>
    </w:p>
    <w:p w:rsidR="0077555F" w:rsidRPr="00A842B6" w:rsidRDefault="003E4398" w:rsidP="00072B21">
      <w:pPr>
        <w:jc w:val="both"/>
        <w:rPr>
          <w:rFonts w:ascii="Arial" w:hAnsi="Arial" w:cs="Arial"/>
          <w:b/>
          <w:bCs/>
        </w:rPr>
      </w:pPr>
      <w:r w:rsidRPr="00A842B6">
        <w:rPr>
          <w:rFonts w:ascii="Arial" w:hAnsi="Arial" w:cs="Arial"/>
          <w:b/>
          <w:bCs/>
        </w:rPr>
        <w:t>CONSULTATION</w:t>
      </w:r>
    </w:p>
    <w:p w:rsidR="0077555F" w:rsidRPr="00A842B6" w:rsidRDefault="0077555F" w:rsidP="00072B21">
      <w:pPr>
        <w:pStyle w:val="NormalWeb"/>
        <w:spacing w:before="0" w:beforeAutospacing="0" w:after="0" w:afterAutospacing="0"/>
        <w:jc w:val="both"/>
        <w:rPr>
          <w:rFonts w:ascii="Arial" w:hAnsi="Arial" w:cs="Arial"/>
          <w:lang w:val="en-GB"/>
        </w:rPr>
      </w:pPr>
    </w:p>
    <w:p w:rsidR="0077555F" w:rsidRPr="00A842B6" w:rsidRDefault="00AD20C5" w:rsidP="00072B21">
      <w:pPr>
        <w:numPr>
          <w:ilvl w:val="0"/>
          <w:numId w:val="1"/>
        </w:numPr>
        <w:jc w:val="both"/>
        <w:rPr>
          <w:rFonts w:ascii="Arial" w:hAnsi="Arial" w:cs="Arial"/>
          <w:iCs/>
        </w:rPr>
      </w:pPr>
      <w:r>
        <w:rPr>
          <w:rFonts w:ascii="Arial" w:hAnsi="Arial" w:cs="Arial"/>
          <w:iCs/>
        </w:rPr>
        <w:t>Not applicable.</w:t>
      </w:r>
    </w:p>
    <w:p w:rsidR="0077555F" w:rsidRDefault="0077555F" w:rsidP="00072B21">
      <w:pPr>
        <w:jc w:val="both"/>
        <w:rPr>
          <w:rFonts w:ascii="Arial" w:hAnsi="Arial" w:cs="Arial"/>
        </w:rPr>
      </w:pPr>
    </w:p>
    <w:p w:rsidR="0077555F" w:rsidRDefault="003E4398" w:rsidP="00072B21">
      <w:pPr>
        <w:pStyle w:val="Heading1"/>
        <w:jc w:val="both"/>
      </w:pPr>
      <w:r>
        <w:t>TIMETABLE</w:t>
      </w:r>
    </w:p>
    <w:p w:rsidR="0077555F" w:rsidRDefault="0077555F" w:rsidP="00072B21">
      <w:pPr>
        <w:pStyle w:val="NormalWeb"/>
        <w:spacing w:before="0" w:beforeAutospacing="0" w:after="0" w:afterAutospacing="0"/>
        <w:jc w:val="both"/>
        <w:rPr>
          <w:rFonts w:ascii="Arial" w:hAnsi="Arial" w:cs="Arial"/>
          <w:lang w:val="en-GB"/>
        </w:rPr>
      </w:pPr>
    </w:p>
    <w:p w:rsidR="00833C07" w:rsidRPr="008F5BEC" w:rsidRDefault="00D517C6" w:rsidP="00072B21">
      <w:pPr>
        <w:pStyle w:val="ListParagraph"/>
        <w:numPr>
          <w:ilvl w:val="0"/>
          <w:numId w:val="1"/>
        </w:numPr>
        <w:autoSpaceDE w:val="0"/>
        <w:autoSpaceDN w:val="0"/>
        <w:adjustRightInd w:val="0"/>
        <w:jc w:val="both"/>
        <w:rPr>
          <w:rFonts w:ascii="Arial" w:hAnsi="Arial" w:cs="Arial"/>
          <w:iCs/>
        </w:rPr>
      </w:pPr>
      <w:r>
        <w:rPr>
          <w:rFonts w:ascii="Arial" w:hAnsi="Arial" w:cs="Arial"/>
          <w:iCs/>
        </w:rPr>
        <w:t>This re</w:t>
      </w:r>
      <w:r w:rsidR="001C7DC6">
        <w:rPr>
          <w:rFonts w:ascii="Arial" w:hAnsi="Arial" w:cs="Arial"/>
          <w:iCs/>
        </w:rPr>
        <w:t xml:space="preserve">port </w:t>
      </w:r>
      <w:r>
        <w:rPr>
          <w:rFonts w:ascii="Arial" w:hAnsi="Arial" w:cs="Arial"/>
          <w:iCs/>
        </w:rPr>
        <w:t>is likely to be presented</w:t>
      </w:r>
      <w:r w:rsidR="001C7DC6">
        <w:rPr>
          <w:rFonts w:ascii="Arial" w:hAnsi="Arial" w:cs="Arial"/>
          <w:iCs/>
        </w:rPr>
        <w:t xml:space="preserve"> to the </w:t>
      </w:r>
      <w:r>
        <w:rPr>
          <w:rFonts w:ascii="Arial" w:hAnsi="Arial" w:cs="Arial"/>
          <w:iCs/>
        </w:rPr>
        <w:t xml:space="preserve">Council’s Budget Committee. This has not been scheduled yet.  </w:t>
      </w:r>
    </w:p>
    <w:p w:rsidR="0077555F" w:rsidRDefault="0077555F" w:rsidP="00072B21">
      <w:pPr>
        <w:ind w:hanging="720"/>
        <w:jc w:val="both"/>
        <w:rPr>
          <w:rFonts w:ascii="Arial" w:hAnsi="Arial" w:cs="Arial"/>
          <w:b/>
          <w:bCs/>
          <w:i/>
          <w:iCs/>
        </w:rPr>
      </w:pPr>
    </w:p>
    <w:p w:rsidR="0077555F" w:rsidRDefault="0077555F" w:rsidP="00072B21">
      <w:pPr>
        <w:ind w:hanging="720"/>
        <w:jc w:val="both"/>
        <w:rPr>
          <w:rFonts w:ascii="Arial" w:hAnsi="Arial" w:cs="Arial"/>
          <w:b/>
          <w:bCs/>
          <w:i/>
          <w:iCs/>
        </w:rPr>
      </w:pPr>
    </w:p>
    <w:p w:rsidR="003B0FC4" w:rsidRDefault="003B0FC4" w:rsidP="00072B21">
      <w:pPr>
        <w:ind w:hanging="720"/>
        <w:jc w:val="both"/>
        <w:rPr>
          <w:rFonts w:ascii="Arial" w:hAnsi="Arial" w:cs="Arial"/>
          <w:b/>
          <w:bCs/>
          <w:i/>
          <w:iCs/>
        </w:rPr>
      </w:pPr>
    </w:p>
    <w:p w:rsidR="00661C68" w:rsidRDefault="00661C68" w:rsidP="00072B21">
      <w:pPr>
        <w:ind w:hanging="720"/>
        <w:jc w:val="both"/>
        <w:rPr>
          <w:rFonts w:ascii="Arial" w:hAnsi="Arial" w:cs="Arial"/>
          <w:b/>
          <w:bCs/>
          <w:i/>
          <w:iCs/>
        </w:rPr>
      </w:pPr>
    </w:p>
    <w:p w:rsidR="00661C68" w:rsidRDefault="00661C68" w:rsidP="00072B21">
      <w:pPr>
        <w:ind w:hanging="720"/>
        <w:jc w:val="both"/>
        <w:rPr>
          <w:rFonts w:ascii="Arial" w:hAnsi="Arial" w:cs="Arial"/>
          <w:b/>
          <w:bCs/>
          <w:i/>
          <w:iCs/>
        </w:rPr>
      </w:pPr>
    </w:p>
    <w:p w:rsidR="00661C68" w:rsidRDefault="00661C68" w:rsidP="00072B21">
      <w:pPr>
        <w:ind w:hanging="720"/>
        <w:jc w:val="both"/>
        <w:rPr>
          <w:rFonts w:ascii="Arial" w:hAnsi="Arial" w:cs="Arial"/>
          <w:b/>
          <w:bCs/>
          <w:i/>
          <w:iCs/>
        </w:rPr>
      </w:pPr>
    </w:p>
    <w:p w:rsidR="00CC0205" w:rsidRDefault="00CC0205" w:rsidP="00B042FB">
      <w:pPr>
        <w:jc w:val="both"/>
        <w:rPr>
          <w:rFonts w:ascii="Arial" w:hAnsi="Arial" w:cs="Arial"/>
          <w:b/>
          <w:bCs/>
          <w:i/>
          <w:iCs/>
        </w:rPr>
      </w:pPr>
    </w:p>
    <w:p w:rsidR="00CC0205" w:rsidRDefault="00CC0205">
      <w:pPr>
        <w:ind w:hanging="720"/>
        <w:jc w:val="right"/>
        <w:rPr>
          <w:rFonts w:ascii="Arial" w:hAnsi="Arial" w:cs="Arial"/>
          <w:b/>
          <w:bCs/>
          <w:i/>
          <w:iCs/>
        </w:rPr>
      </w:pPr>
    </w:p>
    <w:p w:rsidR="0077555F" w:rsidRDefault="0077555F">
      <w:pPr>
        <w:ind w:hanging="720"/>
        <w:jc w:val="right"/>
        <w:rPr>
          <w:rFonts w:ascii="Arial" w:hAnsi="Arial" w:cs="Arial"/>
          <w:b/>
          <w:bCs/>
        </w:rPr>
      </w:pPr>
    </w:p>
    <w:p w:rsidR="0077555F" w:rsidRDefault="00B57ED4">
      <w:pPr>
        <w:pStyle w:val="Heading3"/>
        <w:jc w:val="center"/>
        <w:rPr>
          <w:caps/>
        </w:rPr>
      </w:pPr>
      <w:r>
        <w:rPr>
          <w:caps/>
        </w:rPr>
        <w:t>GREG CLARK</w:t>
      </w:r>
      <w:r w:rsidR="003E4398">
        <w:rPr>
          <w:caps/>
        </w:rPr>
        <w:t xml:space="preserve"> MP</w:t>
      </w:r>
    </w:p>
    <w:p w:rsidR="0077555F" w:rsidRDefault="003E4398">
      <w:pPr>
        <w:pStyle w:val="Heading3"/>
        <w:jc w:val="center"/>
        <w:rPr>
          <w:caps/>
        </w:rPr>
      </w:pPr>
      <w:r>
        <w:rPr>
          <w:caps/>
        </w:rPr>
        <w:t>FINANCIAL Secretary</w:t>
      </w:r>
    </w:p>
    <w:p w:rsidR="0077555F" w:rsidRDefault="003E4398">
      <w:pPr>
        <w:pStyle w:val="Heading2"/>
        <w:ind w:firstLine="0"/>
        <w:jc w:val="center"/>
      </w:pPr>
      <w:r>
        <w:rPr>
          <w:caps/>
        </w:rPr>
        <w:t>HM Treasury</w:t>
      </w:r>
    </w:p>
    <w:p w:rsidR="0077555F" w:rsidRDefault="0077555F">
      <w:pPr>
        <w:rPr>
          <w:rFonts w:ascii="Arial" w:hAnsi="Arial" w:cs="Arial"/>
        </w:rPr>
      </w:pPr>
    </w:p>
    <w:sectPr w:rsidR="0077555F" w:rsidSect="0077555F">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5AD1" w:rsidRDefault="00275AD1" w:rsidP="00DD7892">
      <w:r>
        <w:separator/>
      </w:r>
    </w:p>
  </w:endnote>
  <w:endnote w:type="continuationSeparator" w:id="0">
    <w:p w:rsidR="00275AD1" w:rsidRDefault="00275AD1" w:rsidP="00DD7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EUAlbertina">
    <w:altName w:val="EU Albertin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1C69" w:rsidRDefault="00771FC9" w:rsidP="00DD7892">
    <w:pPr>
      <w:pStyle w:val="Footer"/>
      <w:jc w:val="center"/>
    </w:pPr>
    <w:r>
      <w:fldChar w:fldCharType="begin"/>
    </w:r>
    <w:r w:rsidR="00CF1C69" w:rsidRPr="00186861">
      <w:rPr>
        <w:rFonts w:ascii="Calibri" w:hAnsi="Calibri"/>
        <w:color w:val="000000"/>
        <w:sz w:val="22"/>
      </w:rPr>
      <w:instrText xml:space="preserve"> DOCPROPERTY  bjDocumentSecurityLabel"  \* MERGEFORMAT </w:instrText>
    </w:r>
    <w:r>
      <w:fldChar w:fldCharType="separate"/>
    </w:r>
    <w:r w:rsidR="00186861">
      <w:rPr>
        <w:rFonts w:ascii="Calibri" w:hAnsi="Calibri"/>
        <w:color w:val="000000"/>
        <w:sz w:val="22"/>
      </w:rPr>
      <w:t>UNCLASSIFIED</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1C69" w:rsidRDefault="00771FC9" w:rsidP="00102015">
    <w:pPr>
      <w:pStyle w:val="Footer"/>
      <w:jc w:val="center"/>
    </w:pPr>
    <w:r>
      <w:fldChar w:fldCharType="begin"/>
    </w:r>
    <w:r w:rsidR="00CF1C69" w:rsidRPr="00186861">
      <w:rPr>
        <w:rFonts w:ascii="Calibri" w:hAnsi="Calibri"/>
        <w:color w:val="000000"/>
        <w:sz w:val="22"/>
      </w:rPr>
      <w:instrText xml:space="preserve"> DOCPROPERTY  bjDocumentSecurityLabel"  \* MERGEFORMAT </w:instrText>
    </w:r>
    <w:r>
      <w:fldChar w:fldCharType="separate"/>
    </w:r>
    <w:r w:rsidR="00186861">
      <w:rPr>
        <w:rFonts w:ascii="Calibri" w:hAnsi="Calibri"/>
        <w:color w:val="000000"/>
        <w:sz w:val="22"/>
      </w:rPr>
      <w:t>UNCLASSIFIED</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1C69" w:rsidRDefault="00771FC9" w:rsidP="00DD7892">
    <w:pPr>
      <w:pStyle w:val="Footer"/>
      <w:jc w:val="center"/>
    </w:pPr>
    <w:r>
      <w:fldChar w:fldCharType="begin"/>
    </w:r>
    <w:r w:rsidR="00CF1C69" w:rsidRPr="00186861">
      <w:rPr>
        <w:rFonts w:ascii="Calibri" w:hAnsi="Calibri"/>
        <w:color w:val="000000"/>
        <w:sz w:val="22"/>
      </w:rPr>
      <w:instrText xml:space="preserve"> DOCPROPERTY  bjDocumentSecurityLabel"  \* MERGEFORMAT </w:instrText>
    </w:r>
    <w:r>
      <w:fldChar w:fldCharType="separate"/>
    </w:r>
    <w:r w:rsidR="00186861">
      <w:rPr>
        <w:rFonts w:ascii="Calibri" w:hAnsi="Calibri"/>
        <w:color w:val="000000"/>
        <w:sz w:val="22"/>
      </w:rPr>
      <w:t>UNCLASSIFIED</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5AD1" w:rsidRDefault="00275AD1" w:rsidP="00DD7892">
      <w:r>
        <w:separator/>
      </w:r>
    </w:p>
  </w:footnote>
  <w:footnote w:type="continuationSeparator" w:id="0">
    <w:p w:rsidR="00275AD1" w:rsidRDefault="00275AD1" w:rsidP="00DD7892">
      <w:r>
        <w:continuationSeparator/>
      </w:r>
    </w:p>
  </w:footnote>
  <w:footnote w:id="1">
    <w:p w:rsidR="00CF1C69" w:rsidRDefault="00CF1C69">
      <w:pPr>
        <w:pStyle w:val="FootnoteText"/>
      </w:pPr>
      <w:r>
        <w:rPr>
          <w:rStyle w:val="FootnoteReference"/>
        </w:rPr>
        <w:footnoteRef/>
      </w:r>
      <w:r>
        <w:t xml:space="preserve"> </w:t>
      </w:r>
      <w:r w:rsidRPr="00581D0D">
        <w:t>Bulgaria, Lithuania and Slovakia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1C69" w:rsidRDefault="00771FC9" w:rsidP="00DD7892">
    <w:pPr>
      <w:pStyle w:val="Header"/>
      <w:jc w:val="center"/>
    </w:pPr>
    <w:r>
      <w:fldChar w:fldCharType="begin"/>
    </w:r>
    <w:r w:rsidR="00CF1C69" w:rsidRPr="00186861">
      <w:rPr>
        <w:rFonts w:ascii="Calibri" w:hAnsi="Calibri"/>
        <w:color w:val="000000"/>
        <w:sz w:val="22"/>
      </w:rPr>
      <w:instrText xml:space="preserve"> DOCPROPERTY  bjDocumentSecurityLabel"  \* MERGEFORMAT </w:instrText>
    </w:r>
    <w:r>
      <w:fldChar w:fldCharType="separate"/>
    </w:r>
    <w:r w:rsidR="00186861">
      <w:rPr>
        <w:rFonts w:ascii="Calibri" w:hAnsi="Calibri"/>
        <w:color w:val="000000"/>
        <w:sz w:val="22"/>
      </w:rPr>
      <w:t>UNCLASSIFIED</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1C69" w:rsidRDefault="00771FC9" w:rsidP="0005160D">
    <w:pPr>
      <w:pStyle w:val="Header"/>
      <w:jc w:val="center"/>
    </w:pPr>
    <w:r>
      <w:fldChar w:fldCharType="begin"/>
    </w:r>
    <w:r w:rsidR="00CF1C69" w:rsidRPr="00186861">
      <w:rPr>
        <w:rFonts w:ascii="Calibri" w:hAnsi="Calibri"/>
        <w:color w:val="000000"/>
        <w:sz w:val="22"/>
      </w:rPr>
      <w:instrText xml:space="preserve"> DOCPROPERTY  bjDocumentSecurityLabel"  \* MERGEFORMAT </w:instrText>
    </w:r>
    <w:r>
      <w:fldChar w:fldCharType="separate"/>
    </w:r>
    <w:r w:rsidR="00186861">
      <w:rPr>
        <w:rFonts w:ascii="Calibri" w:hAnsi="Calibri"/>
        <w:color w:val="000000"/>
        <w:sz w:val="22"/>
      </w:rPr>
      <w:t>UNCLASSIFIED</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1C69" w:rsidRDefault="00771FC9" w:rsidP="00DD7892">
    <w:pPr>
      <w:pStyle w:val="Header"/>
      <w:jc w:val="center"/>
    </w:pPr>
    <w:r>
      <w:fldChar w:fldCharType="begin"/>
    </w:r>
    <w:r w:rsidR="00CF1C69" w:rsidRPr="00186861">
      <w:rPr>
        <w:rFonts w:ascii="Calibri" w:hAnsi="Calibri"/>
        <w:color w:val="000000"/>
        <w:sz w:val="22"/>
      </w:rPr>
      <w:instrText xml:space="preserve"> DOCPROPERTY  bjDocumentSecurityLabel"  \* MERGEFORMAT </w:instrText>
    </w:r>
    <w:r>
      <w:fldChar w:fldCharType="separate"/>
    </w:r>
    <w:r w:rsidR="00186861">
      <w:rPr>
        <w:rFonts w:ascii="Calibri" w:hAnsi="Calibri"/>
        <w:color w:val="000000"/>
        <w:sz w:val="22"/>
      </w:rPr>
      <w:t>UNCLASSIFIED</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66F1E"/>
    <w:multiLevelType w:val="hybridMultilevel"/>
    <w:tmpl w:val="FF142AF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0BE213D0"/>
    <w:multiLevelType w:val="hybridMultilevel"/>
    <w:tmpl w:val="95207B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9765176"/>
    <w:multiLevelType w:val="hybridMultilevel"/>
    <w:tmpl w:val="A3EC1AF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D222BDB"/>
    <w:multiLevelType w:val="hybridMultilevel"/>
    <w:tmpl w:val="6C3A6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EF41304"/>
    <w:multiLevelType w:val="hybridMultilevel"/>
    <w:tmpl w:val="7E5E7A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45866045"/>
    <w:multiLevelType w:val="hybridMultilevel"/>
    <w:tmpl w:val="19BC83D8"/>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57B1867"/>
    <w:multiLevelType w:val="hybridMultilevel"/>
    <w:tmpl w:val="074EA8D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568043B3"/>
    <w:multiLevelType w:val="hybridMultilevel"/>
    <w:tmpl w:val="C5524D14"/>
    <w:lvl w:ilvl="0" w:tplc="809EBBF8">
      <w:numFmt w:val="bullet"/>
      <w:lvlText w:val="-"/>
      <w:lvlJc w:val="left"/>
      <w:pPr>
        <w:ind w:left="720" w:hanging="360"/>
      </w:pPr>
      <w:rPr>
        <w:rFonts w:ascii="Arial" w:eastAsia="Times New Roman" w:hAnsi="Arial" w:cs="Aria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D0605EF"/>
    <w:multiLevelType w:val="hybridMultilevel"/>
    <w:tmpl w:val="F55EA998"/>
    <w:lvl w:ilvl="0" w:tplc="BA9438BC">
      <w:start w:val="1"/>
      <w:numFmt w:val="decimal"/>
      <w:lvlText w:val="%1."/>
      <w:lvlJc w:val="left"/>
      <w:pPr>
        <w:tabs>
          <w:tab w:val="num" w:pos="720"/>
        </w:tabs>
        <w:ind w:left="720" w:hanging="360"/>
      </w:pPr>
      <w:rPr>
        <w:i w:val="0"/>
        <w:color w:val="000000" w:themeColor="text1"/>
      </w:rPr>
    </w:lvl>
    <w:lvl w:ilvl="1" w:tplc="D9368AE2">
      <w:start w:val="1"/>
      <w:numFmt w:val="decimal"/>
      <w:lvlText w:val="%2)"/>
      <w:lvlJc w:val="left"/>
      <w:pPr>
        <w:tabs>
          <w:tab w:val="num" w:pos="1440"/>
        </w:tabs>
        <w:ind w:left="1440" w:hanging="360"/>
      </w:pPr>
      <w:rPr>
        <w:rFonts w:hint="default"/>
      </w:rPr>
    </w:lvl>
    <w:lvl w:ilvl="2" w:tplc="AF3AF7C0">
      <w:start w:val="1"/>
      <w:numFmt w:val="lowerRoman"/>
      <w:lvlText w:val="%3."/>
      <w:lvlJc w:val="left"/>
      <w:pPr>
        <w:tabs>
          <w:tab w:val="num" w:pos="2700"/>
        </w:tabs>
        <w:ind w:left="2700" w:hanging="72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71A341DE"/>
    <w:multiLevelType w:val="hybridMultilevel"/>
    <w:tmpl w:val="23C48F1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752C6427"/>
    <w:multiLevelType w:val="hybridMultilevel"/>
    <w:tmpl w:val="14D471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7E1F3659"/>
    <w:multiLevelType w:val="hybridMultilevel"/>
    <w:tmpl w:val="4FD036D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8"/>
  </w:num>
  <w:num w:numId="2">
    <w:abstractNumId w:val="4"/>
  </w:num>
  <w:num w:numId="3">
    <w:abstractNumId w:val="6"/>
  </w:num>
  <w:num w:numId="4">
    <w:abstractNumId w:val="3"/>
  </w:num>
  <w:num w:numId="5">
    <w:abstractNumId w:val="9"/>
  </w:num>
  <w:num w:numId="6">
    <w:abstractNumId w:val="5"/>
  </w:num>
  <w:num w:numId="7">
    <w:abstractNumId w:val="0"/>
  </w:num>
  <w:num w:numId="8">
    <w:abstractNumId w:val="10"/>
  </w:num>
  <w:num w:numId="9">
    <w:abstractNumId w:val="11"/>
  </w:num>
  <w:num w:numId="10">
    <w:abstractNumId w:val="7"/>
  </w:num>
  <w:num w:numId="11">
    <w:abstractNumId w:val="2"/>
  </w:num>
  <w:num w:numId="12">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oNotTrackFormatting/>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892"/>
    <w:rsid w:val="0000433E"/>
    <w:rsid w:val="00014A18"/>
    <w:rsid w:val="00020BC3"/>
    <w:rsid w:val="0002247A"/>
    <w:rsid w:val="000227E5"/>
    <w:rsid w:val="00033C12"/>
    <w:rsid w:val="000363C6"/>
    <w:rsid w:val="000373C5"/>
    <w:rsid w:val="000412E9"/>
    <w:rsid w:val="000466E2"/>
    <w:rsid w:val="000508E3"/>
    <w:rsid w:val="0005160D"/>
    <w:rsid w:val="00055DD6"/>
    <w:rsid w:val="000561A1"/>
    <w:rsid w:val="0007058B"/>
    <w:rsid w:val="00072B21"/>
    <w:rsid w:val="000731B4"/>
    <w:rsid w:val="00073B22"/>
    <w:rsid w:val="000750D9"/>
    <w:rsid w:val="0007732E"/>
    <w:rsid w:val="000807F8"/>
    <w:rsid w:val="000861BC"/>
    <w:rsid w:val="000904AB"/>
    <w:rsid w:val="0009559A"/>
    <w:rsid w:val="000A022B"/>
    <w:rsid w:val="000B24B1"/>
    <w:rsid w:val="000E7278"/>
    <w:rsid w:val="000F29C4"/>
    <w:rsid w:val="00102015"/>
    <w:rsid w:val="00123659"/>
    <w:rsid w:val="00130E03"/>
    <w:rsid w:val="00140139"/>
    <w:rsid w:val="001405F8"/>
    <w:rsid w:val="00141ECB"/>
    <w:rsid w:val="0014380B"/>
    <w:rsid w:val="00152A4E"/>
    <w:rsid w:val="00152FBB"/>
    <w:rsid w:val="00155554"/>
    <w:rsid w:val="001568C9"/>
    <w:rsid w:val="00160D58"/>
    <w:rsid w:val="00162B5C"/>
    <w:rsid w:val="00163C2F"/>
    <w:rsid w:val="00171E7B"/>
    <w:rsid w:val="00172330"/>
    <w:rsid w:val="00177AF8"/>
    <w:rsid w:val="00183349"/>
    <w:rsid w:val="00184E67"/>
    <w:rsid w:val="00186861"/>
    <w:rsid w:val="001911DA"/>
    <w:rsid w:val="001B12A5"/>
    <w:rsid w:val="001B4BF5"/>
    <w:rsid w:val="001B4E23"/>
    <w:rsid w:val="001C7DC6"/>
    <w:rsid w:val="001D1A0A"/>
    <w:rsid w:val="001D4067"/>
    <w:rsid w:val="001E1609"/>
    <w:rsid w:val="001E348A"/>
    <w:rsid w:val="001E54CB"/>
    <w:rsid w:val="001E5720"/>
    <w:rsid w:val="001F4480"/>
    <w:rsid w:val="00212375"/>
    <w:rsid w:val="00212FB2"/>
    <w:rsid w:val="002161F0"/>
    <w:rsid w:val="00223E74"/>
    <w:rsid w:val="002246BA"/>
    <w:rsid w:val="00232935"/>
    <w:rsid w:val="002401BA"/>
    <w:rsid w:val="00245390"/>
    <w:rsid w:val="00252AE2"/>
    <w:rsid w:val="0025302F"/>
    <w:rsid w:val="00253677"/>
    <w:rsid w:val="00263730"/>
    <w:rsid w:val="002720D0"/>
    <w:rsid w:val="00275AD1"/>
    <w:rsid w:val="0028559F"/>
    <w:rsid w:val="00290197"/>
    <w:rsid w:val="002957D8"/>
    <w:rsid w:val="002A13A5"/>
    <w:rsid w:val="002A18E7"/>
    <w:rsid w:val="002B1D96"/>
    <w:rsid w:val="002B2903"/>
    <w:rsid w:val="002C0286"/>
    <w:rsid w:val="002C0DC0"/>
    <w:rsid w:val="002C5071"/>
    <w:rsid w:val="002C63CD"/>
    <w:rsid w:val="002D2C1A"/>
    <w:rsid w:val="002F01D4"/>
    <w:rsid w:val="002F198D"/>
    <w:rsid w:val="002F6E37"/>
    <w:rsid w:val="002F7784"/>
    <w:rsid w:val="002F79F7"/>
    <w:rsid w:val="002F7B50"/>
    <w:rsid w:val="003033FB"/>
    <w:rsid w:val="00306404"/>
    <w:rsid w:val="003141FD"/>
    <w:rsid w:val="00325509"/>
    <w:rsid w:val="003423A3"/>
    <w:rsid w:val="003453BA"/>
    <w:rsid w:val="00347562"/>
    <w:rsid w:val="0034791A"/>
    <w:rsid w:val="00360B5C"/>
    <w:rsid w:val="00363738"/>
    <w:rsid w:val="00365060"/>
    <w:rsid w:val="00370417"/>
    <w:rsid w:val="003720B6"/>
    <w:rsid w:val="003819F8"/>
    <w:rsid w:val="0038684E"/>
    <w:rsid w:val="0039567B"/>
    <w:rsid w:val="00395D1E"/>
    <w:rsid w:val="00396226"/>
    <w:rsid w:val="003A149B"/>
    <w:rsid w:val="003A48AC"/>
    <w:rsid w:val="003A660B"/>
    <w:rsid w:val="003B0FC4"/>
    <w:rsid w:val="003B61F7"/>
    <w:rsid w:val="003C79AC"/>
    <w:rsid w:val="003D4B59"/>
    <w:rsid w:val="003D5E82"/>
    <w:rsid w:val="003E1AC6"/>
    <w:rsid w:val="003E3BBE"/>
    <w:rsid w:val="003E4398"/>
    <w:rsid w:val="003E76B5"/>
    <w:rsid w:val="003F263D"/>
    <w:rsid w:val="003F2D4C"/>
    <w:rsid w:val="004158F6"/>
    <w:rsid w:val="00430298"/>
    <w:rsid w:val="00432653"/>
    <w:rsid w:val="00432F4B"/>
    <w:rsid w:val="004337C1"/>
    <w:rsid w:val="00440EAD"/>
    <w:rsid w:val="00444833"/>
    <w:rsid w:val="00445C9E"/>
    <w:rsid w:val="00453C38"/>
    <w:rsid w:val="004558F3"/>
    <w:rsid w:val="00457DE0"/>
    <w:rsid w:val="00461797"/>
    <w:rsid w:val="00464B62"/>
    <w:rsid w:val="004677F1"/>
    <w:rsid w:val="004B24B8"/>
    <w:rsid w:val="004C28CB"/>
    <w:rsid w:val="004D4E4F"/>
    <w:rsid w:val="004E161C"/>
    <w:rsid w:val="004E18B4"/>
    <w:rsid w:val="004E1BA5"/>
    <w:rsid w:val="004F1B3D"/>
    <w:rsid w:val="00502220"/>
    <w:rsid w:val="00507C8C"/>
    <w:rsid w:val="0052371D"/>
    <w:rsid w:val="00532F84"/>
    <w:rsid w:val="00543259"/>
    <w:rsid w:val="00546D9B"/>
    <w:rsid w:val="00555241"/>
    <w:rsid w:val="005611E1"/>
    <w:rsid w:val="00563C83"/>
    <w:rsid w:val="00565A46"/>
    <w:rsid w:val="00581D0D"/>
    <w:rsid w:val="0058737A"/>
    <w:rsid w:val="00591307"/>
    <w:rsid w:val="005B0DF4"/>
    <w:rsid w:val="005B42EE"/>
    <w:rsid w:val="005C1867"/>
    <w:rsid w:val="005C6305"/>
    <w:rsid w:val="005C6DE6"/>
    <w:rsid w:val="005E2675"/>
    <w:rsid w:val="005E4E6D"/>
    <w:rsid w:val="005F217D"/>
    <w:rsid w:val="005F5CB3"/>
    <w:rsid w:val="005F5DC3"/>
    <w:rsid w:val="006008CF"/>
    <w:rsid w:val="00603DB7"/>
    <w:rsid w:val="00611025"/>
    <w:rsid w:val="0062411F"/>
    <w:rsid w:val="00646D8D"/>
    <w:rsid w:val="00651096"/>
    <w:rsid w:val="00661C68"/>
    <w:rsid w:val="00667FF3"/>
    <w:rsid w:val="00672E7F"/>
    <w:rsid w:val="0068357D"/>
    <w:rsid w:val="00685960"/>
    <w:rsid w:val="0069063C"/>
    <w:rsid w:val="006947B9"/>
    <w:rsid w:val="006950B2"/>
    <w:rsid w:val="006973B7"/>
    <w:rsid w:val="006A3E39"/>
    <w:rsid w:val="006B2BD4"/>
    <w:rsid w:val="006B3F74"/>
    <w:rsid w:val="006B6457"/>
    <w:rsid w:val="006C2B32"/>
    <w:rsid w:val="006C6388"/>
    <w:rsid w:val="006D0311"/>
    <w:rsid w:val="006D1F4C"/>
    <w:rsid w:val="006D2036"/>
    <w:rsid w:val="007037E8"/>
    <w:rsid w:val="00703AAD"/>
    <w:rsid w:val="00722A40"/>
    <w:rsid w:val="00731498"/>
    <w:rsid w:val="00731B4B"/>
    <w:rsid w:val="00734B4F"/>
    <w:rsid w:val="00742211"/>
    <w:rsid w:val="00750855"/>
    <w:rsid w:val="007512FF"/>
    <w:rsid w:val="007576D3"/>
    <w:rsid w:val="007668A9"/>
    <w:rsid w:val="00771FC9"/>
    <w:rsid w:val="00772A6B"/>
    <w:rsid w:val="0077555F"/>
    <w:rsid w:val="00794777"/>
    <w:rsid w:val="00797152"/>
    <w:rsid w:val="007A2C4D"/>
    <w:rsid w:val="007A30E8"/>
    <w:rsid w:val="007A7B50"/>
    <w:rsid w:val="007B2225"/>
    <w:rsid w:val="007B5CE3"/>
    <w:rsid w:val="007B7F78"/>
    <w:rsid w:val="007C19E5"/>
    <w:rsid w:val="007C7CCF"/>
    <w:rsid w:val="007D3C57"/>
    <w:rsid w:val="007F6045"/>
    <w:rsid w:val="008003D6"/>
    <w:rsid w:val="00800E7C"/>
    <w:rsid w:val="00801EE0"/>
    <w:rsid w:val="00833167"/>
    <w:rsid w:val="00833C07"/>
    <w:rsid w:val="008358B5"/>
    <w:rsid w:val="00845CBB"/>
    <w:rsid w:val="008546E4"/>
    <w:rsid w:val="00867C40"/>
    <w:rsid w:val="00870512"/>
    <w:rsid w:val="00880F96"/>
    <w:rsid w:val="00882D7A"/>
    <w:rsid w:val="00887059"/>
    <w:rsid w:val="008A70CD"/>
    <w:rsid w:val="008A73AD"/>
    <w:rsid w:val="008B18B6"/>
    <w:rsid w:val="008B236F"/>
    <w:rsid w:val="008B34AC"/>
    <w:rsid w:val="008B3C70"/>
    <w:rsid w:val="008B5F92"/>
    <w:rsid w:val="008C5504"/>
    <w:rsid w:val="008D1F8C"/>
    <w:rsid w:val="008D35CC"/>
    <w:rsid w:val="008D4622"/>
    <w:rsid w:val="008D4EE9"/>
    <w:rsid w:val="008D4F15"/>
    <w:rsid w:val="008E5AD5"/>
    <w:rsid w:val="008E6807"/>
    <w:rsid w:val="008F1B87"/>
    <w:rsid w:val="008F3173"/>
    <w:rsid w:val="008F5BEC"/>
    <w:rsid w:val="008F671C"/>
    <w:rsid w:val="00904A28"/>
    <w:rsid w:val="0092555D"/>
    <w:rsid w:val="00926756"/>
    <w:rsid w:val="009321BD"/>
    <w:rsid w:val="0094104D"/>
    <w:rsid w:val="0094660A"/>
    <w:rsid w:val="00946C4A"/>
    <w:rsid w:val="0095296D"/>
    <w:rsid w:val="00957D7A"/>
    <w:rsid w:val="00961072"/>
    <w:rsid w:val="00962B2B"/>
    <w:rsid w:val="00963529"/>
    <w:rsid w:val="0098172F"/>
    <w:rsid w:val="00981C72"/>
    <w:rsid w:val="00983D95"/>
    <w:rsid w:val="00985332"/>
    <w:rsid w:val="009953F7"/>
    <w:rsid w:val="0099623D"/>
    <w:rsid w:val="009A015F"/>
    <w:rsid w:val="009B4A8E"/>
    <w:rsid w:val="009C38E3"/>
    <w:rsid w:val="009C465E"/>
    <w:rsid w:val="009D1BB6"/>
    <w:rsid w:val="009D5A0A"/>
    <w:rsid w:val="009E0A3B"/>
    <w:rsid w:val="009E48B1"/>
    <w:rsid w:val="00A01F46"/>
    <w:rsid w:val="00A022B1"/>
    <w:rsid w:val="00A02D80"/>
    <w:rsid w:val="00A13CB9"/>
    <w:rsid w:val="00A303DB"/>
    <w:rsid w:val="00A33541"/>
    <w:rsid w:val="00A468A5"/>
    <w:rsid w:val="00A508EC"/>
    <w:rsid w:val="00A610F4"/>
    <w:rsid w:val="00A74FE9"/>
    <w:rsid w:val="00A77267"/>
    <w:rsid w:val="00A82372"/>
    <w:rsid w:val="00A83940"/>
    <w:rsid w:val="00A83B99"/>
    <w:rsid w:val="00A842B6"/>
    <w:rsid w:val="00A85739"/>
    <w:rsid w:val="00AA4077"/>
    <w:rsid w:val="00AB3E07"/>
    <w:rsid w:val="00AB4A77"/>
    <w:rsid w:val="00AD20C5"/>
    <w:rsid w:val="00AD276F"/>
    <w:rsid w:val="00AF04E8"/>
    <w:rsid w:val="00AF366A"/>
    <w:rsid w:val="00B00717"/>
    <w:rsid w:val="00B042FB"/>
    <w:rsid w:val="00B116E6"/>
    <w:rsid w:val="00B11717"/>
    <w:rsid w:val="00B155F1"/>
    <w:rsid w:val="00B15D81"/>
    <w:rsid w:val="00B16CC7"/>
    <w:rsid w:val="00B21EAF"/>
    <w:rsid w:val="00B22E62"/>
    <w:rsid w:val="00B359D5"/>
    <w:rsid w:val="00B513C1"/>
    <w:rsid w:val="00B529C2"/>
    <w:rsid w:val="00B57ED4"/>
    <w:rsid w:val="00B60393"/>
    <w:rsid w:val="00B61095"/>
    <w:rsid w:val="00B63DFC"/>
    <w:rsid w:val="00B6618C"/>
    <w:rsid w:val="00B80792"/>
    <w:rsid w:val="00B8502D"/>
    <w:rsid w:val="00B859F5"/>
    <w:rsid w:val="00B90883"/>
    <w:rsid w:val="00B94C5A"/>
    <w:rsid w:val="00B96621"/>
    <w:rsid w:val="00BA0E65"/>
    <w:rsid w:val="00BB2186"/>
    <w:rsid w:val="00BB51C7"/>
    <w:rsid w:val="00BB672A"/>
    <w:rsid w:val="00BD0BF5"/>
    <w:rsid w:val="00BD3BE2"/>
    <w:rsid w:val="00BD5387"/>
    <w:rsid w:val="00BF200E"/>
    <w:rsid w:val="00BF4D9B"/>
    <w:rsid w:val="00C155C9"/>
    <w:rsid w:val="00C20EE7"/>
    <w:rsid w:val="00C2485D"/>
    <w:rsid w:val="00C53A60"/>
    <w:rsid w:val="00C54993"/>
    <w:rsid w:val="00C6056A"/>
    <w:rsid w:val="00C60851"/>
    <w:rsid w:val="00C61C3D"/>
    <w:rsid w:val="00C65193"/>
    <w:rsid w:val="00C73DE8"/>
    <w:rsid w:val="00C75686"/>
    <w:rsid w:val="00C811B2"/>
    <w:rsid w:val="00C8198C"/>
    <w:rsid w:val="00C85612"/>
    <w:rsid w:val="00CB42AC"/>
    <w:rsid w:val="00CB5F60"/>
    <w:rsid w:val="00CC0205"/>
    <w:rsid w:val="00CC75DD"/>
    <w:rsid w:val="00CC7BB8"/>
    <w:rsid w:val="00CD2874"/>
    <w:rsid w:val="00CD4F3E"/>
    <w:rsid w:val="00CE1EA0"/>
    <w:rsid w:val="00CF1C69"/>
    <w:rsid w:val="00D01E08"/>
    <w:rsid w:val="00D253BD"/>
    <w:rsid w:val="00D27446"/>
    <w:rsid w:val="00D33F03"/>
    <w:rsid w:val="00D34167"/>
    <w:rsid w:val="00D43ABB"/>
    <w:rsid w:val="00D517C6"/>
    <w:rsid w:val="00D541C1"/>
    <w:rsid w:val="00D60E20"/>
    <w:rsid w:val="00D6451D"/>
    <w:rsid w:val="00D67E60"/>
    <w:rsid w:val="00D71C73"/>
    <w:rsid w:val="00D7387B"/>
    <w:rsid w:val="00D74AEA"/>
    <w:rsid w:val="00D74FAB"/>
    <w:rsid w:val="00D7570B"/>
    <w:rsid w:val="00D80684"/>
    <w:rsid w:val="00D85B68"/>
    <w:rsid w:val="00D95124"/>
    <w:rsid w:val="00DC1B98"/>
    <w:rsid w:val="00DC7BAA"/>
    <w:rsid w:val="00DD6E1E"/>
    <w:rsid w:val="00DD7892"/>
    <w:rsid w:val="00DE10D6"/>
    <w:rsid w:val="00DE3431"/>
    <w:rsid w:val="00DF0675"/>
    <w:rsid w:val="00E125B2"/>
    <w:rsid w:val="00E1525F"/>
    <w:rsid w:val="00E2195C"/>
    <w:rsid w:val="00E57CB8"/>
    <w:rsid w:val="00E71885"/>
    <w:rsid w:val="00E73DB9"/>
    <w:rsid w:val="00E75FEC"/>
    <w:rsid w:val="00E84209"/>
    <w:rsid w:val="00E93DCB"/>
    <w:rsid w:val="00EB7ACB"/>
    <w:rsid w:val="00EC0596"/>
    <w:rsid w:val="00EC0D49"/>
    <w:rsid w:val="00EC2FF1"/>
    <w:rsid w:val="00EC6CDD"/>
    <w:rsid w:val="00ED0586"/>
    <w:rsid w:val="00ED39EB"/>
    <w:rsid w:val="00EF61AD"/>
    <w:rsid w:val="00F11D19"/>
    <w:rsid w:val="00F1654C"/>
    <w:rsid w:val="00F16BE2"/>
    <w:rsid w:val="00F2028E"/>
    <w:rsid w:val="00F2099F"/>
    <w:rsid w:val="00F25EFF"/>
    <w:rsid w:val="00F26E5E"/>
    <w:rsid w:val="00F32614"/>
    <w:rsid w:val="00F40E84"/>
    <w:rsid w:val="00F42BD7"/>
    <w:rsid w:val="00F5590A"/>
    <w:rsid w:val="00F57CDE"/>
    <w:rsid w:val="00F70EE1"/>
    <w:rsid w:val="00F74EFE"/>
    <w:rsid w:val="00F7506D"/>
    <w:rsid w:val="00F83688"/>
    <w:rsid w:val="00F929FB"/>
    <w:rsid w:val="00F92F88"/>
    <w:rsid w:val="00FA2A96"/>
    <w:rsid w:val="00FA532F"/>
    <w:rsid w:val="00FA7940"/>
    <w:rsid w:val="00FB1157"/>
    <w:rsid w:val="00FB75D6"/>
    <w:rsid w:val="00FC1F50"/>
    <w:rsid w:val="00FD1468"/>
    <w:rsid w:val="00FD6FDA"/>
    <w:rsid w:val="00FE4481"/>
    <w:rsid w:val="00FF19F6"/>
    <w:rsid w:val="00FF3B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55F"/>
    <w:rPr>
      <w:sz w:val="24"/>
      <w:szCs w:val="24"/>
      <w:lang w:eastAsia="en-US"/>
    </w:rPr>
  </w:style>
  <w:style w:type="paragraph" w:styleId="Heading1">
    <w:name w:val="heading 1"/>
    <w:basedOn w:val="Normal"/>
    <w:next w:val="Normal"/>
    <w:qFormat/>
    <w:rsid w:val="0077555F"/>
    <w:pPr>
      <w:keepNext/>
      <w:outlineLvl w:val="0"/>
    </w:pPr>
    <w:rPr>
      <w:rFonts w:ascii="Arial" w:hAnsi="Arial" w:cs="Arial"/>
      <w:b/>
      <w:bCs/>
    </w:rPr>
  </w:style>
  <w:style w:type="paragraph" w:styleId="Heading2">
    <w:name w:val="heading 2"/>
    <w:basedOn w:val="Normal"/>
    <w:next w:val="Normal"/>
    <w:qFormat/>
    <w:rsid w:val="0077555F"/>
    <w:pPr>
      <w:keepNext/>
      <w:ind w:hanging="720"/>
      <w:jc w:val="right"/>
      <w:outlineLvl w:val="1"/>
    </w:pPr>
    <w:rPr>
      <w:rFonts w:ascii="Arial" w:hAnsi="Arial" w:cs="Arial"/>
      <w:b/>
      <w:bCs/>
    </w:rPr>
  </w:style>
  <w:style w:type="paragraph" w:styleId="Heading3">
    <w:name w:val="heading 3"/>
    <w:basedOn w:val="Normal"/>
    <w:next w:val="Normal"/>
    <w:qFormat/>
    <w:rsid w:val="0077555F"/>
    <w:pPr>
      <w:keepNext/>
      <w:jc w:val="right"/>
      <w:outlineLvl w:val="2"/>
    </w:pPr>
    <w:rPr>
      <w:rFonts w:ascii="Arial" w:hAnsi="Arial" w:cs="Arial"/>
      <w:b/>
      <w:bCs/>
    </w:rPr>
  </w:style>
  <w:style w:type="paragraph" w:styleId="Heading4">
    <w:name w:val="heading 4"/>
    <w:basedOn w:val="Normal"/>
    <w:next w:val="Normal"/>
    <w:qFormat/>
    <w:rsid w:val="0077555F"/>
    <w:pPr>
      <w:keepNext/>
      <w:jc w:val="both"/>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77555F"/>
    <w:rPr>
      <w:color w:val="0000FF"/>
      <w:u w:val="single"/>
    </w:rPr>
  </w:style>
  <w:style w:type="character" w:styleId="FollowedHyperlink">
    <w:name w:val="FollowedHyperlink"/>
    <w:basedOn w:val="DefaultParagraphFont"/>
    <w:semiHidden/>
    <w:rsid w:val="0077555F"/>
    <w:rPr>
      <w:color w:val="800080"/>
      <w:u w:val="single"/>
    </w:rPr>
  </w:style>
  <w:style w:type="paragraph" w:styleId="BodyText">
    <w:name w:val="Body Text"/>
    <w:basedOn w:val="Normal"/>
    <w:semiHidden/>
    <w:rsid w:val="0077555F"/>
    <w:pPr>
      <w:jc w:val="right"/>
    </w:pPr>
    <w:rPr>
      <w:rFonts w:ascii="Arial" w:hAnsi="Arial" w:cs="Arial"/>
      <w:b/>
      <w:bCs/>
    </w:rPr>
  </w:style>
  <w:style w:type="paragraph" w:styleId="BodyText2">
    <w:name w:val="Body Text 2"/>
    <w:basedOn w:val="Normal"/>
    <w:semiHidden/>
    <w:rsid w:val="0077555F"/>
    <w:rPr>
      <w:rFonts w:ascii="Arial" w:hAnsi="Arial" w:cs="Arial"/>
      <w:i/>
      <w:iCs/>
    </w:rPr>
  </w:style>
  <w:style w:type="paragraph" w:styleId="BodyText3">
    <w:name w:val="Body Text 3"/>
    <w:basedOn w:val="Normal"/>
    <w:semiHidden/>
    <w:rsid w:val="0077555F"/>
    <w:pPr>
      <w:jc w:val="both"/>
    </w:pPr>
  </w:style>
  <w:style w:type="paragraph" w:styleId="NormalWeb">
    <w:name w:val="Normal (Web)"/>
    <w:basedOn w:val="Normal"/>
    <w:semiHidden/>
    <w:rsid w:val="0077555F"/>
    <w:pPr>
      <w:spacing w:before="100" w:beforeAutospacing="1" w:after="100" w:afterAutospacing="1"/>
    </w:pPr>
    <w:rPr>
      <w:rFonts w:ascii="Arial Unicode MS" w:hAnsi="Arial Unicode MS"/>
      <w:lang w:val="en-US"/>
    </w:rPr>
  </w:style>
  <w:style w:type="paragraph" w:styleId="Header">
    <w:name w:val="header"/>
    <w:basedOn w:val="Normal"/>
    <w:link w:val="HeaderChar"/>
    <w:uiPriority w:val="99"/>
    <w:unhideWhenUsed/>
    <w:rsid w:val="00DD7892"/>
    <w:pPr>
      <w:tabs>
        <w:tab w:val="center" w:pos="4513"/>
        <w:tab w:val="right" w:pos="9026"/>
      </w:tabs>
    </w:pPr>
  </w:style>
  <w:style w:type="character" w:customStyle="1" w:styleId="HeaderChar">
    <w:name w:val="Header Char"/>
    <w:basedOn w:val="DefaultParagraphFont"/>
    <w:link w:val="Header"/>
    <w:uiPriority w:val="99"/>
    <w:rsid w:val="00DD7892"/>
    <w:rPr>
      <w:sz w:val="24"/>
      <w:szCs w:val="24"/>
      <w:lang w:eastAsia="en-US"/>
    </w:rPr>
  </w:style>
  <w:style w:type="paragraph" w:styleId="Footer">
    <w:name w:val="footer"/>
    <w:basedOn w:val="Normal"/>
    <w:link w:val="FooterChar"/>
    <w:uiPriority w:val="99"/>
    <w:unhideWhenUsed/>
    <w:rsid w:val="00DD7892"/>
    <w:pPr>
      <w:tabs>
        <w:tab w:val="center" w:pos="4513"/>
        <w:tab w:val="right" w:pos="9026"/>
      </w:tabs>
    </w:pPr>
  </w:style>
  <w:style w:type="character" w:customStyle="1" w:styleId="FooterChar">
    <w:name w:val="Footer Char"/>
    <w:basedOn w:val="DefaultParagraphFont"/>
    <w:link w:val="Footer"/>
    <w:uiPriority w:val="99"/>
    <w:rsid w:val="00DD7892"/>
    <w:rPr>
      <w:sz w:val="24"/>
      <w:szCs w:val="24"/>
      <w:lang w:eastAsia="en-US"/>
    </w:rPr>
  </w:style>
  <w:style w:type="paragraph" w:styleId="ListParagraph">
    <w:name w:val="List Paragraph"/>
    <w:aliases w:val="Dot pt,List Paragraph1,Colorful List - Accent 11,No Spacing1,List Paragraph Char Char Char,Indicator Text,Numbered Para 1,Bullet 1,F5 List Paragraph,Bullet Points,List Paragraph2,MAIN CONTENT,List Paragraph12"/>
    <w:basedOn w:val="Normal"/>
    <w:link w:val="ListParagraphChar"/>
    <w:uiPriority w:val="34"/>
    <w:qFormat/>
    <w:rsid w:val="00A01F46"/>
    <w:pPr>
      <w:ind w:left="720"/>
    </w:pPr>
  </w:style>
  <w:style w:type="paragraph" w:styleId="PlainText">
    <w:name w:val="Plain Text"/>
    <w:basedOn w:val="Normal"/>
    <w:link w:val="PlainTextChar"/>
    <w:uiPriority w:val="99"/>
    <w:semiHidden/>
    <w:unhideWhenUsed/>
    <w:rsid w:val="00A33541"/>
    <w:rPr>
      <w:rFonts w:ascii="Consolas" w:eastAsiaTheme="minorEastAsia" w:hAnsi="Consolas" w:cstheme="minorBidi"/>
      <w:sz w:val="21"/>
      <w:szCs w:val="21"/>
      <w:lang w:eastAsia="en-GB"/>
    </w:rPr>
  </w:style>
  <w:style w:type="character" w:customStyle="1" w:styleId="PlainTextChar">
    <w:name w:val="Plain Text Char"/>
    <w:basedOn w:val="DefaultParagraphFont"/>
    <w:link w:val="PlainText"/>
    <w:uiPriority w:val="99"/>
    <w:semiHidden/>
    <w:rsid w:val="00A33541"/>
    <w:rPr>
      <w:rFonts w:ascii="Consolas" w:eastAsiaTheme="minorEastAsia" w:hAnsi="Consolas" w:cstheme="minorBidi"/>
      <w:sz w:val="21"/>
      <w:szCs w:val="21"/>
    </w:rPr>
  </w:style>
  <w:style w:type="paragraph" w:styleId="FootnoteText">
    <w:name w:val="footnote text"/>
    <w:basedOn w:val="Normal"/>
    <w:link w:val="FootnoteTextChar"/>
    <w:uiPriority w:val="99"/>
    <w:semiHidden/>
    <w:unhideWhenUsed/>
    <w:rsid w:val="000227E5"/>
    <w:rPr>
      <w:sz w:val="20"/>
      <w:szCs w:val="20"/>
    </w:rPr>
  </w:style>
  <w:style w:type="character" w:customStyle="1" w:styleId="FootnoteTextChar">
    <w:name w:val="Footnote Text Char"/>
    <w:basedOn w:val="DefaultParagraphFont"/>
    <w:link w:val="FootnoteText"/>
    <w:uiPriority w:val="99"/>
    <w:semiHidden/>
    <w:rsid w:val="000227E5"/>
    <w:rPr>
      <w:lang w:eastAsia="en-US"/>
    </w:rPr>
  </w:style>
  <w:style w:type="character" w:styleId="FootnoteReference">
    <w:name w:val="footnote reference"/>
    <w:basedOn w:val="DefaultParagraphFont"/>
    <w:uiPriority w:val="99"/>
    <w:semiHidden/>
    <w:unhideWhenUsed/>
    <w:rsid w:val="000227E5"/>
    <w:rPr>
      <w:vertAlign w:val="superscript"/>
    </w:rPr>
  </w:style>
  <w:style w:type="paragraph" w:customStyle="1" w:styleId="Default">
    <w:name w:val="Default"/>
    <w:rsid w:val="009D5A0A"/>
    <w:pPr>
      <w:autoSpaceDE w:val="0"/>
      <w:autoSpaceDN w:val="0"/>
      <w:adjustRightInd w:val="0"/>
    </w:pPr>
    <w:rPr>
      <w:color w:val="000000"/>
      <w:sz w:val="24"/>
      <w:szCs w:val="24"/>
    </w:rPr>
  </w:style>
  <w:style w:type="character" w:customStyle="1" w:styleId="ListParagraphChar">
    <w:name w:val="List Paragraph Char"/>
    <w:aliases w:val="Dot pt Char,List Paragraph1 Char,Colorful List - Accent 11 Char,No Spacing1 Char,List Paragraph Char Char Char Char,Indicator Text Char,Numbered Para 1 Char,Bullet 1 Char,F5 List Paragraph Char,Bullet Points Char,List Paragraph2 Char"/>
    <w:basedOn w:val="DefaultParagraphFont"/>
    <w:link w:val="ListParagraph"/>
    <w:uiPriority w:val="34"/>
    <w:locked/>
    <w:rsid w:val="00B90883"/>
    <w:rPr>
      <w:sz w:val="24"/>
      <w:szCs w:val="24"/>
      <w:lang w:eastAsia="en-US"/>
    </w:rPr>
  </w:style>
  <w:style w:type="paragraph" w:customStyle="1" w:styleId="CM1">
    <w:name w:val="CM1"/>
    <w:basedOn w:val="Default"/>
    <w:next w:val="Default"/>
    <w:uiPriority w:val="99"/>
    <w:rsid w:val="002C0DC0"/>
    <w:rPr>
      <w:rFonts w:ascii="EUAlbertina" w:hAnsi="EUAlbertina"/>
      <w:color w:val="auto"/>
    </w:rPr>
  </w:style>
  <w:style w:type="paragraph" w:customStyle="1" w:styleId="CM3">
    <w:name w:val="CM3"/>
    <w:basedOn w:val="Default"/>
    <w:next w:val="Default"/>
    <w:uiPriority w:val="99"/>
    <w:rsid w:val="002C0DC0"/>
    <w:rPr>
      <w:rFonts w:ascii="EUAlbertina" w:hAnsi="EUAlbertina"/>
      <w:color w:val="auto"/>
    </w:rPr>
  </w:style>
  <w:style w:type="paragraph" w:styleId="BalloonText">
    <w:name w:val="Balloon Text"/>
    <w:basedOn w:val="Normal"/>
    <w:link w:val="BalloonTextChar"/>
    <w:uiPriority w:val="99"/>
    <w:semiHidden/>
    <w:unhideWhenUsed/>
    <w:rsid w:val="00B529C2"/>
    <w:rPr>
      <w:rFonts w:ascii="Tahoma" w:hAnsi="Tahoma" w:cs="Tahoma"/>
      <w:sz w:val="16"/>
      <w:szCs w:val="16"/>
    </w:rPr>
  </w:style>
  <w:style w:type="character" w:customStyle="1" w:styleId="BalloonTextChar">
    <w:name w:val="Balloon Text Char"/>
    <w:basedOn w:val="DefaultParagraphFont"/>
    <w:link w:val="BalloonText"/>
    <w:uiPriority w:val="99"/>
    <w:semiHidden/>
    <w:rsid w:val="00B529C2"/>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55F"/>
    <w:rPr>
      <w:sz w:val="24"/>
      <w:szCs w:val="24"/>
      <w:lang w:eastAsia="en-US"/>
    </w:rPr>
  </w:style>
  <w:style w:type="paragraph" w:styleId="Heading1">
    <w:name w:val="heading 1"/>
    <w:basedOn w:val="Normal"/>
    <w:next w:val="Normal"/>
    <w:qFormat/>
    <w:rsid w:val="0077555F"/>
    <w:pPr>
      <w:keepNext/>
      <w:outlineLvl w:val="0"/>
    </w:pPr>
    <w:rPr>
      <w:rFonts w:ascii="Arial" w:hAnsi="Arial" w:cs="Arial"/>
      <w:b/>
      <w:bCs/>
    </w:rPr>
  </w:style>
  <w:style w:type="paragraph" w:styleId="Heading2">
    <w:name w:val="heading 2"/>
    <w:basedOn w:val="Normal"/>
    <w:next w:val="Normal"/>
    <w:qFormat/>
    <w:rsid w:val="0077555F"/>
    <w:pPr>
      <w:keepNext/>
      <w:ind w:hanging="720"/>
      <w:jc w:val="right"/>
      <w:outlineLvl w:val="1"/>
    </w:pPr>
    <w:rPr>
      <w:rFonts w:ascii="Arial" w:hAnsi="Arial" w:cs="Arial"/>
      <w:b/>
      <w:bCs/>
    </w:rPr>
  </w:style>
  <w:style w:type="paragraph" w:styleId="Heading3">
    <w:name w:val="heading 3"/>
    <w:basedOn w:val="Normal"/>
    <w:next w:val="Normal"/>
    <w:qFormat/>
    <w:rsid w:val="0077555F"/>
    <w:pPr>
      <w:keepNext/>
      <w:jc w:val="right"/>
      <w:outlineLvl w:val="2"/>
    </w:pPr>
    <w:rPr>
      <w:rFonts w:ascii="Arial" w:hAnsi="Arial" w:cs="Arial"/>
      <w:b/>
      <w:bCs/>
    </w:rPr>
  </w:style>
  <w:style w:type="paragraph" w:styleId="Heading4">
    <w:name w:val="heading 4"/>
    <w:basedOn w:val="Normal"/>
    <w:next w:val="Normal"/>
    <w:qFormat/>
    <w:rsid w:val="0077555F"/>
    <w:pPr>
      <w:keepNext/>
      <w:jc w:val="both"/>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77555F"/>
    <w:rPr>
      <w:color w:val="0000FF"/>
      <w:u w:val="single"/>
    </w:rPr>
  </w:style>
  <w:style w:type="character" w:styleId="FollowedHyperlink">
    <w:name w:val="FollowedHyperlink"/>
    <w:basedOn w:val="DefaultParagraphFont"/>
    <w:semiHidden/>
    <w:rsid w:val="0077555F"/>
    <w:rPr>
      <w:color w:val="800080"/>
      <w:u w:val="single"/>
    </w:rPr>
  </w:style>
  <w:style w:type="paragraph" w:styleId="BodyText">
    <w:name w:val="Body Text"/>
    <w:basedOn w:val="Normal"/>
    <w:semiHidden/>
    <w:rsid w:val="0077555F"/>
    <w:pPr>
      <w:jc w:val="right"/>
    </w:pPr>
    <w:rPr>
      <w:rFonts w:ascii="Arial" w:hAnsi="Arial" w:cs="Arial"/>
      <w:b/>
      <w:bCs/>
    </w:rPr>
  </w:style>
  <w:style w:type="paragraph" w:styleId="BodyText2">
    <w:name w:val="Body Text 2"/>
    <w:basedOn w:val="Normal"/>
    <w:semiHidden/>
    <w:rsid w:val="0077555F"/>
    <w:rPr>
      <w:rFonts w:ascii="Arial" w:hAnsi="Arial" w:cs="Arial"/>
      <w:i/>
      <w:iCs/>
    </w:rPr>
  </w:style>
  <w:style w:type="paragraph" w:styleId="BodyText3">
    <w:name w:val="Body Text 3"/>
    <w:basedOn w:val="Normal"/>
    <w:semiHidden/>
    <w:rsid w:val="0077555F"/>
    <w:pPr>
      <w:jc w:val="both"/>
    </w:pPr>
  </w:style>
  <w:style w:type="paragraph" w:styleId="NormalWeb">
    <w:name w:val="Normal (Web)"/>
    <w:basedOn w:val="Normal"/>
    <w:semiHidden/>
    <w:rsid w:val="0077555F"/>
    <w:pPr>
      <w:spacing w:before="100" w:beforeAutospacing="1" w:after="100" w:afterAutospacing="1"/>
    </w:pPr>
    <w:rPr>
      <w:rFonts w:ascii="Arial Unicode MS" w:hAnsi="Arial Unicode MS"/>
      <w:lang w:val="en-US"/>
    </w:rPr>
  </w:style>
  <w:style w:type="paragraph" w:styleId="Header">
    <w:name w:val="header"/>
    <w:basedOn w:val="Normal"/>
    <w:link w:val="HeaderChar"/>
    <w:uiPriority w:val="99"/>
    <w:unhideWhenUsed/>
    <w:rsid w:val="00DD7892"/>
    <w:pPr>
      <w:tabs>
        <w:tab w:val="center" w:pos="4513"/>
        <w:tab w:val="right" w:pos="9026"/>
      </w:tabs>
    </w:pPr>
  </w:style>
  <w:style w:type="character" w:customStyle="1" w:styleId="HeaderChar">
    <w:name w:val="Header Char"/>
    <w:basedOn w:val="DefaultParagraphFont"/>
    <w:link w:val="Header"/>
    <w:uiPriority w:val="99"/>
    <w:rsid w:val="00DD7892"/>
    <w:rPr>
      <w:sz w:val="24"/>
      <w:szCs w:val="24"/>
      <w:lang w:eastAsia="en-US"/>
    </w:rPr>
  </w:style>
  <w:style w:type="paragraph" w:styleId="Footer">
    <w:name w:val="footer"/>
    <w:basedOn w:val="Normal"/>
    <w:link w:val="FooterChar"/>
    <w:uiPriority w:val="99"/>
    <w:unhideWhenUsed/>
    <w:rsid w:val="00DD7892"/>
    <w:pPr>
      <w:tabs>
        <w:tab w:val="center" w:pos="4513"/>
        <w:tab w:val="right" w:pos="9026"/>
      </w:tabs>
    </w:pPr>
  </w:style>
  <w:style w:type="character" w:customStyle="1" w:styleId="FooterChar">
    <w:name w:val="Footer Char"/>
    <w:basedOn w:val="DefaultParagraphFont"/>
    <w:link w:val="Footer"/>
    <w:uiPriority w:val="99"/>
    <w:rsid w:val="00DD7892"/>
    <w:rPr>
      <w:sz w:val="24"/>
      <w:szCs w:val="24"/>
      <w:lang w:eastAsia="en-US"/>
    </w:rPr>
  </w:style>
  <w:style w:type="paragraph" w:styleId="ListParagraph">
    <w:name w:val="List Paragraph"/>
    <w:aliases w:val="Dot pt,List Paragraph1,Colorful List - Accent 11,No Spacing1,List Paragraph Char Char Char,Indicator Text,Numbered Para 1,Bullet 1,F5 List Paragraph,Bullet Points,List Paragraph2,MAIN CONTENT,List Paragraph12"/>
    <w:basedOn w:val="Normal"/>
    <w:link w:val="ListParagraphChar"/>
    <w:uiPriority w:val="34"/>
    <w:qFormat/>
    <w:rsid w:val="00A01F46"/>
    <w:pPr>
      <w:ind w:left="720"/>
    </w:pPr>
  </w:style>
  <w:style w:type="paragraph" w:styleId="PlainText">
    <w:name w:val="Plain Text"/>
    <w:basedOn w:val="Normal"/>
    <w:link w:val="PlainTextChar"/>
    <w:uiPriority w:val="99"/>
    <w:semiHidden/>
    <w:unhideWhenUsed/>
    <w:rsid w:val="00A33541"/>
    <w:rPr>
      <w:rFonts w:ascii="Consolas" w:eastAsiaTheme="minorEastAsia" w:hAnsi="Consolas" w:cstheme="minorBidi"/>
      <w:sz w:val="21"/>
      <w:szCs w:val="21"/>
      <w:lang w:eastAsia="en-GB"/>
    </w:rPr>
  </w:style>
  <w:style w:type="character" w:customStyle="1" w:styleId="PlainTextChar">
    <w:name w:val="Plain Text Char"/>
    <w:basedOn w:val="DefaultParagraphFont"/>
    <w:link w:val="PlainText"/>
    <w:uiPriority w:val="99"/>
    <w:semiHidden/>
    <w:rsid w:val="00A33541"/>
    <w:rPr>
      <w:rFonts w:ascii="Consolas" w:eastAsiaTheme="minorEastAsia" w:hAnsi="Consolas" w:cstheme="minorBidi"/>
      <w:sz w:val="21"/>
      <w:szCs w:val="21"/>
    </w:rPr>
  </w:style>
  <w:style w:type="paragraph" w:styleId="FootnoteText">
    <w:name w:val="footnote text"/>
    <w:basedOn w:val="Normal"/>
    <w:link w:val="FootnoteTextChar"/>
    <w:uiPriority w:val="99"/>
    <w:semiHidden/>
    <w:unhideWhenUsed/>
    <w:rsid w:val="000227E5"/>
    <w:rPr>
      <w:sz w:val="20"/>
      <w:szCs w:val="20"/>
    </w:rPr>
  </w:style>
  <w:style w:type="character" w:customStyle="1" w:styleId="FootnoteTextChar">
    <w:name w:val="Footnote Text Char"/>
    <w:basedOn w:val="DefaultParagraphFont"/>
    <w:link w:val="FootnoteText"/>
    <w:uiPriority w:val="99"/>
    <w:semiHidden/>
    <w:rsid w:val="000227E5"/>
    <w:rPr>
      <w:lang w:eastAsia="en-US"/>
    </w:rPr>
  </w:style>
  <w:style w:type="character" w:styleId="FootnoteReference">
    <w:name w:val="footnote reference"/>
    <w:basedOn w:val="DefaultParagraphFont"/>
    <w:uiPriority w:val="99"/>
    <w:semiHidden/>
    <w:unhideWhenUsed/>
    <w:rsid w:val="000227E5"/>
    <w:rPr>
      <w:vertAlign w:val="superscript"/>
    </w:rPr>
  </w:style>
  <w:style w:type="paragraph" w:customStyle="1" w:styleId="Default">
    <w:name w:val="Default"/>
    <w:rsid w:val="009D5A0A"/>
    <w:pPr>
      <w:autoSpaceDE w:val="0"/>
      <w:autoSpaceDN w:val="0"/>
      <w:adjustRightInd w:val="0"/>
    </w:pPr>
    <w:rPr>
      <w:color w:val="000000"/>
      <w:sz w:val="24"/>
      <w:szCs w:val="24"/>
    </w:rPr>
  </w:style>
  <w:style w:type="character" w:customStyle="1" w:styleId="ListParagraphChar">
    <w:name w:val="List Paragraph Char"/>
    <w:aliases w:val="Dot pt Char,List Paragraph1 Char,Colorful List - Accent 11 Char,No Spacing1 Char,List Paragraph Char Char Char Char,Indicator Text Char,Numbered Para 1 Char,Bullet 1 Char,F5 List Paragraph Char,Bullet Points Char,List Paragraph2 Char"/>
    <w:basedOn w:val="DefaultParagraphFont"/>
    <w:link w:val="ListParagraph"/>
    <w:uiPriority w:val="34"/>
    <w:locked/>
    <w:rsid w:val="00B90883"/>
    <w:rPr>
      <w:sz w:val="24"/>
      <w:szCs w:val="24"/>
      <w:lang w:eastAsia="en-US"/>
    </w:rPr>
  </w:style>
  <w:style w:type="paragraph" w:customStyle="1" w:styleId="CM1">
    <w:name w:val="CM1"/>
    <w:basedOn w:val="Default"/>
    <w:next w:val="Default"/>
    <w:uiPriority w:val="99"/>
    <w:rsid w:val="002C0DC0"/>
    <w:rPr>
      <w:rFonts w:ascii="EUAlbertina" w:hAnsi="EUAlbertina"/>
      <w:color w:val="auto"/>
    </w:rPr>
  </w:style>
  <w:style w:type="paragraph" w:customStyle="1" w:styleId="CM3">
    <w:name w:val="CM3"/>
    <w:basedOn w:val="Default"/>
    <w:next w:val="Default"/>
    <w:uiPriority w:val="99"/>
    <w:rsid w:val="002C0DC0"/>
    <w:rPr>
      <w:rFonts w:ascii="EUAlbertina" w:hAnsi="EUAlbertina"/>
      <w:color w:val="auto"/>
    </w:rPr>
  </w:style>
  <w:style w:type="paragraph" w:styleId="BalloonText">
    <w:name w:val="Balloon Text"/>
    <w:basedOn w:val="Normal"/>
    <w:link w:val="BalloonTextChar"/>
    <w:uiPriority w:val="99"/>
    <w:semiHidden/>
    <w:unhideWhenUsed/>
    <w:rsid w:val="00B529C2"/>
    <w:rPr>
      <w:rFonts w:ascii="Tahoma" w:hAnsi="Tahoma" w:cs="Tahoma"/>
      <w:sz w:val="16"/>
      <w:szCs w:val="16"/>
    </w:rPr>
  </w:style>
  <w:style w:type="character" w:customStyle="1" w:styleId="BalloonTextChar">
    <w:name w:val="Balloon Text Char"/>
    <w:basedOn w:val="DefaultParagraphFont"/>
    <w:link w:val="BalloonText"/>
    <w:uiPriority w:val="99"/>
    <w:semiHidden/>
    <w:rsid w:val="00B529C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165036">
      <w:bodyDiv w:val="1"/>
      <w:marLeft w:val="0"/>
      <w:marRight w:val="0"/>
      <w:marTop w:val="0"/>
      <w:marBottom w:val="0"/>
      <w:divBdr>
        <w:top w:val="none" w:sz="0" w:space="0" w:color="auto"/>
        <w:left w:val="none" w:sz="0" w:space="0" w:color="auto"/>
        <w:bottom w:val="none" w:sz="0" w:space="0" w:color="auto"/>
        <w:right w:val="none" w:sz="0" w:space="0" w:color="auto"/>
      </w:divBdr>
    </w:div>
    <w:div w:id="209653899">
      <w:bodyDiv w:val="1"/>
      <w:marLeft w:val="0"/>
      <w:marRight w:val="0"/>
      <w:marTop w:val="0"/>
      <w:marBottom w:val="0"/>
      <w:divBdr>
        <w:top w:val="none" w:sz="0" w:space="0" w:color="auto"/>
        <w:left w:val="none" w:sz="0" w:space="0" w:color="auto"/>
        <w:bottom w:val="none" w:sz="0" w:space="0" w:color="auto"/>
        <w:right w:val="none" w:sz="0" w:space="0" w:color="auto"/>
      </w:divBdr>
    </w:div>
    <w:div w:id="774593818">
      <w:bodyDiv w:val="1"/>
      <w:marLeft w:val="0"/>
      <w:marRight w:val="0"/>
      <w:marTop w:val="0"/>
      <w:marBottom w:val="0"/>
      <w:divBdr>
        <w:top w:val="none" w:sz="0" w:space="0" w:color="auto"/>
        <w:left w:val="none" w:sz="0" w:space="0" w:color="auto"/>
        <w:bottom w:val="none" w:sz="0" w:space="0" w:color="auto"/>
        <w:right w:val="none" w:sz="0" w:space="0" w:color="auto"/>
      </w:divBdr>
    </w:div>
    <w:div w:id="809178104">
      <w:bodyDiv w:val="1"/>
      <w:marLeft w:val="0"/>
      <w:marRight w:val="0"/>
      <w:marTop w:val="0"/>
      <w:marBottom w:val="0"/>
      <w:divBdr>
        <w:top w:val="none" w:sz="0" w:space="0" w:color="auto"/>
        <w:left w:val="none" w:sz="0" w:space="0" w:color="auto"/>
        <w:bottom w:val="none" w:sz="0" w:space="0" w:color="auto"/>
        <w:right w:val="none" w:sz="0" w:space="0" w:color="auto"/>
      </w:divBdr>
    </w:div>
    <w:div w:id="1072703738">
      <w:bodyDiv w:val="1"/>
      <w:marLeft w:val="0"/>
      <w:marRight w:val="0"/>
      <w:marTop w:val="0"/>
      <w:marBottom w:val="0"/>
      <w:divBdr>
        <w:top w:val="none" w:sz="0" w:space="0" w:color="auto"/>
        <w:left w:val="none" w:sz="0" w:space="0" w:color="auto"/>
        <w:bottom w:val="none" w:sz="0" w:space="0" w:color="auto"/>
        <w:right w:val="none" w:sz="0" w:space="0" w:color="auto"/>
      </w:divBdr>
    </w:div>
    <w:div w:id="1179084677">
      <w:bodyDiv w:val="1"/>
      <w:marLeft w:val="0"/>
      <w:marRight w:val="0"/>
      <w:marTop w:val="0"/>
      <w:marBottom w:val="0"/>
      <w:divBdr>
        <w:top w:val="none" w:sz="0" w:space="0" w:color="auto"/>
        <w:left w:val="none" w:sz="0" w:space="0" w:color="auto"/>
        <w:bottom w:val="none" w:sz="0" w:space="0" w:color="auto"/>
        <w:right w:val="none" w:sz="0" w:space="0" w:color="auto"/>
      </w:divBdr>
    </w:div>
    <w:div w:id="1184392885">
      <w:bodyDiv w:val="1"/>
      <w:marLeft w:val="0"/>
      <w:marRight w:val="0"/>
      <w:marTop w:val="0"/>
      <w:marBottom w:val="0"/>
      <w:divBdr>
        <w:top w:val="none" w:sz="0" w:space="0" w:color="auto"/>
        <w:left w:val="none" w:sz="0" w:space="0" w:color="auto"/>
        <w:bottom w:val="none" w:sz="0" w:space="0" w:color="auto"/>
        <w:right w:val="none" w:sz="0" w:space="0" w:color="auto"/>
      </w:divBdr>
    </w:div>
    <w:div w:id="1322932781">
      <w:bodyDiv w:val="1"/>
      <w:marLeft w:val="0"/>
      <w:marRight w:val="0"/>
      <w:marTop w:val="0"/>
      <w:marBottom w:val="0"/>
      <w:divBdr>
        <w:top w:val="none" w:sz="0" w:space="0" w:color="auto"/>
        <w:left w:val="none" w:sz="0" w:space="0" w:color="auto"/>
        <w:bottom w:val="none" w:sz="0" w:space="0" w:color="auto"/>
        <w:right w:val="none" w:sz="0" w:space="0" w:color="auto"/>
      </w:divBdr>
    </w:div>
    <w:div w:id="1361475190">
      <w:bodyDiv w:val="1"/>
      <w:marLeft w:val="0"/>
      <w:marRight w:val="0"/>
      <w:marTop w:val="0"/>
      <w:marBottom w:val="0"/>
      <w:divBdr>
        <w:top w:val="none" w:sz="0" w:space="0" w:color="auto"/>
        <w:left w:val="none" w:sz="0" w:space="0" w:color="auto"/>
        <w:bottom w:val="none" w:sz="0" w:space="0" w:color="auto"/>
        <w:right w:val="none" w:sz="0" w:space="0" w:color="auto"/>
      </w:divBdr>
    </w:div>
    <w:div w:id="1386103521">
      <w:bodyDiv w:val="1"/>
      <w:marLeft w:val="0"/>
      <w:marRight w:val="0"/>
      <w:marTop w:val="0"/>
      <w:marBottom w:val="0"/>
      <w:divBdr>
        <w:top w:val="none" w:sz="0" w:space="0" w:color="auto"/>
        <w:left w:val="none" w:sz="0" w:space="0" w:color="auto"/>
        <w:bottom w:val="none" w:sz="0" w:space="0" w:color="auto"/>
        <w:right w:val="none" w:sz="0" w:space="0" w:color="auto"/>
      </w:divBdr>
    </w:div>
    <w:div w:id="1479761765">
      <w:bodyDiv w:val="1"/>
      <w:marLeft w:val="0"/>
      <w:marRight w:val="0"/>
      <w:marTop w:val="0"/>
      <w:marBottom w:val="0"/>
      <w:divBdr>
        <w:top w:val="none" w:sz="0" w:space="0" w:color="auto"/>
        <w:left w:val="none" w:sz="0" w:space="0" w:color="auto"/>
        <w:bottom w:val="none" w:sz="0" w:space="0" w:color="auto"/>
        <w:right w:val="none" w:sz="0" w:space="0" w:color="auto"/>
      </w:divBdr>
    </w:div>
    <w:div w:id="1531840751">
      <w:bodyDiv w:val="1"/>
      <w:marLeft w:val="0"/>
      <w:marRight w:val="0"/>
      <w:marTop w:val="0"/>
      <w:marBottom w:val="0"/>
      <w:divBdr>
        <w:top w:val="none" w:sz="0" w:space="0" w:color="auto"/>
        <w:left w:val="none" w:sz="0" w:space="0" w:color="auto"/>
        <w:bottom w:val="none" w:sz="0" w:space="0" w:color="auto"/>
        <w:right w:val="none" w:sz="0" w:space="0" w:color="auto"/>
      </w:divBdr>
    </w:div>
    <w:div w:id="1593932907">
      <w:bodyDiv w:val="1"/>
      <w:marLeft w:val="0"/>
      <w:marRight w:val="0"/>
      <w:marTop w:val="0"/>
      <w:marBottom w:val="0"/>
      <w:divBdr>
        <w:top w:val="none" w:sz="0" w:space="0" w:color="auto"/>
        <w:left w:val="none" w:sz="0" w:space="0" w:color="auto"/>
        <w:bottom w:val="none" w:sz="0" w:space="0" w:color="auto"/>
        <w:right w:val="none" w:sz="0" w:space="0" w:color="auto"/>
      </w:divBdr>
    </w:div>
    <w:div w:id="1713844401">
      <w:bodyDiv w:val="1"/>
      <w:marLeft w:val="0"/>
      <w:marRight w:val="0"/>
      <w:marTop w:val="0"/>
      <w:marBottom w:val="0"/>
      <w:divBdr>
        <w:top w:val="none" w:sz="0" w:space="0" w:color="auto"/>
        <w:left w:val="none" w:sz="0" w:space="0" w:color="auto"/>
        <w:bottom w:val="none" w:sz="0" w:space="0" w:color="auto"/>
        <w:right w:val="none" w:sz="0" w:space="0" w:color="auto"/>
      </w:divBdr>
    </w:div>
    <w:div w:id="1815176544">
      <w:bodyDiv w:val="1"/>
      <w:marLeft w:val="0"/>
      <w:marRight w:val="0"/>
      <w:marTop w:val="0"/>
      <w:marBottom w:val="0"/>
      <w:divBdr>
        <w:top w:val="none" w:sz="0" w:space="0" w:color="auto"/>
        <w:left w:val="none" w:sz="0" w:space="0" w:color="auto"/>
        <w:bottom w:val="none" w:sz="0" w:space="0" w:color="auto"/>
        <w:right w:val="none" w:sz="0" w:space="0" w:color="auto"/>
      </w:divBdr>
    </w:div>
    <w:div w:id="2134708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label version="1.0">
  <element uid="id_newpolicy" value=""/>
  <element uid="id_unclassified" value=""/>
</label>
</file>

<file path=customXml/itemProps1.xml><?xml version="1.0" encoding="utf-8"?>
<ds:datastoreItem xmlns:ds="http://schemas.openxmlformats.org/officeDocument/2006/customXml" ds:itemID="{B61ED1A0-918A-4927-88BE-8F9449017247}">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3960</Words>
  <Characters>22573</Characters>
  <Application>Microsoft Office Word</Application>
  <DocSecurity>4</DocSecurity>
  <Lines>188</Lines>
  <Paragraphs>52</Paragraphs>
  <ScaleCrop>false</ScaleCrop>
  <HeadingPairs>
    <vt:vector size="2" baseType="variant">
      <vt:variant>
        <vt:lpstr>Title</vt:lpstr>
      </vt:variant>
      <vt:variant>
        <vt:i4>1</vt:i4>
      </vt:variant>
    </vt:vector>
  </HeadingPairs>
  <TitlesOfParts>
    <vt:vector size="1" baseType="lpstr">
      <vt:lpstr>STANDARD FORM OF EXPLANATORY MEMORANDUM FOR FIRST PILLAR (COMMUNITY) LEGISLATION</vt:lpstr>
    </vt:vector>
  </TitlesOfParts>
  <Company>Her Majesty's Treasury</Company>
  <LinksUpToDate>false</LinksUpToDate>
  <CharactersWithSpaces>26481</CharactersWithSpaces>
  <SharedDoc>false</SharedDoc>
  <HLinks>
    <vt:vector size="6" baseType="variant">
      <vt:variant>
        <vt:i4>327683</vt:i4>
      </vt:variant>
      <vt:variant>
        <vt:i4>0</vt:i4>
      </vt:variant>
      <vt:variant>
        <vt:i4>0</vt:i4>
      </vt:variant>
      <vt:variant>
        <vt:i4>5</vt:i4>
      </vt:variant>
      <vt:variant>
        <vt:lpwstr>http://www.parliament.uk/documents/upload/webdoc5.doc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FORM OF EXPLANATORY MEMORANDUM FOR FIRST PILLAR (COMMUNITY) LEGISLATION</dc:title>
  <dc:creator>Alex Keattch</dc:creator>
  <cp:lastModifiedBy>Saunders, Les - Cabinet Office [Restricted]</cp:lastModifiedBy>
  <cp:revision>2</cp:revision>
  <cp:lastPrinted>2013-07-10T16:34:00Z</cp:lastPrinted>
  <dcterms:created xsi:type="dcterms:W3CDTF">2013-08-02T11:14:00Z</dcterms:created>
  <dcterms:modified xsi:type="dcterms:W3CDTF">2013-08-02T11:14:00Z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0x010100C7D5FBF9105FA743AFA3251C83E70A4F</vt:lpwstr>
  </property>
  <property fmtid="{D5CDD505-2E9C-101B-9397-08002B2CF9AE}" pid="3" name="bjDocumentSecurityLabel">
    <vt:lpwstr>UNCLASSIFIED</vt:lpwstr>
  </property>
  <property fmtid="{D5CDD505-2E9C-101B-9397-08002B2CF9AE}" pid="4" name="Document Security Label">
    <vt:lpwstr>UNCLASSIFIED</vt:lpwstr>
  </property>
  <property fmtid="{D5CDD505-2E9C-101B-9397-08002B2CF9AE}" pid="5" name="bjDocumentSecurityXML">
    <vt:lpwstr>&lt;label version="1.0"&gt;&lt;element uid="id_newpolicy" value=""/&gt;&lt;element uid="id_unclassified" value=""/&gt;&lt;/label&gt;</vt:lpwstr>
  </property>
  <property fmtid="{D5CDD505-2E9C-101B-9397-08002B2CF9AE}" pid="6" name="bjDocumentSecurityPolicyProp">
    <vt:lpwstr>UK</vt:lpwstr>
  </property>
  <property fmtid="{D5CDD505-2E9C-101B-9397-08002B2CF9AE}" pid="7" name="bjDocumentSecurityPolicyPropID">
    <vt:lpwstr>id_newpolicy</vt:lpwstr>
  </property>
  <property fmtid="{D5CDD505-2E9C-101B-9397-08002B2CF9AE}" pid="8" name="bjDocumentSecurityProp1">
    <vt:lpwstr>UNCLASSIFIED</vt:lpwstr>
  </property>
  <property fmtid="{D5CDD505-2E9C-101B-9397-08002B2CF9AE}" pid="9" name="bjSecLabelProp1ID">
    <vt:lpwstr>id_unclassified</vt:lpwstr>
  </property>
  <property fmtid="{D5CDD505-2E9C-101B-9397-08002B2CF9AE}" pid="10" name="bjDocumentSecurityProp2">
    <vt:lpwstr/>
  </property>
  <property fmtid="{D5CDD505-2E9C-101B-9397-08002B2CF9AE}" pid="11" name="bjSecLabelProp2ID">
    <vt:lpwstr/>
  </property>
  <property fmtid="{D5CDD505-2E9C-101B-9397-08002B2CF9AE}" pid="12" name="bjDocumentSecurityProp3">
    <vt:lpwstr/>
  </property>
  <property fmtid="{D5CDD505-2E9C-101B-9397-08002B2CF9AE}" pid="13" name="bjSecLabelProp3ID">
    <vt:lpwstr/>
  </property>
  <property fmtid="{D5CDD505-2E9C-101B-9397-08002B2CF9AE}" pid="14" name="eGMS.protectiveMarking">
    <vt:lpwstr/>
  </property>
  <property fmtid="{D5CDD505-2E9C-101B-9397-08002B2CF9AE}" pid="15" name="docIndexRef">
    <vt:lpwstr>34428f52-280e-4f11-8a48-f81eae806baa</vt:lpwstr>
  </property>
</Properties>
</file>