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f6adf5b149844419"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350" w:rsidRDefault="00EF3350" w:rsidP="00CF1B8D">
      <w:pPr>
        <w:spacing w:after="120"/>
        <w:jc w:val="right"/>
        <w:rPr>
          <w:rFonts w:asciiTheme="majorHAnsi" w:hAnsiTheme="majorHAnsi" w:cstheme="majorBidi"/>
          <w:b/>
          <w:bCs/>
          <w:color w:val="00B050"/>
          <w:sz w:val="26"/>
          <w:szCs w:val="26"/>
        </w:rPr>
      </w:pPr>
    </w:p>
    <w:p w:rsidR="00EF3350" w:rsidRPr="00A45FD3" w:rsidRDefault="009A15AB" w:rsidP="00EF3350">
      <w:pPr>
        <w:rPr>
          <w:rFonts w:asciiTheme="majorHAnsi" w:hAnsiTheme="majorHAnsi" w:cstheme="majorBidi"/>
          <w:b/>
          <w:bCs/>
          <w:sz w:val="26"/>
          <w:szCs w:val="26"/>
        </w:rPr>
      </w:pPr>
      <w:r>
        <w:rPr>
          <w:rFonts w:asciiTheme="majorHAnsi" w:hAnsiTheme="majorHAnsi" w:cstheme="majorBidi"/>
          <w:b/>
          <w:bCs/>
          <w:sz w:val="26"/>
          <w:szCs w:val="26"/>
        </w:rPr>
        <w:t xml:space="preserve">2014-20 </w:t>
      </w:r>
      <w:r w:rsidR="00CF1B8D" w:rsidRPr="00A45FD3">
        <w:rPr>
          <w:rFonts w:asciiTheme="majorHAnsi" w:hAnsiTheme="majorHAnsi" w:cstheme="majorBidi"/>
          <w:b/>
          <w:bCs/>
          <w:sz w:val="26"/>
          <w:szCs w:val="26"/>
        </w:rPr>
        <w:t>YEI</w:t>
      </w:r>
      <w:r w:rsidR="00A45FD3" w:rsidRPr="00A45FD3">
        <w:rPr>
          <w:rFonts w:asciiTheme="majorHAnsi" w:hAnsiTheme="majorHAnsi" w:cstheme="majorBidi"/>
          <w:b/>
          <w:bCs/>
          <w:sz w:val="26"/>
          <w:szCs w:val="26"/>
        </w:rPr>
        <w:t>/ESF Young People’s</w:t>
      </w:r>
      <w:r w:rsidR="00CF1B8D" w:rsidRPr="00A45FD3">
        <w:rPr>
          <w:rFonts w:asciiTheme="majorHAnsi" w:hAnsiTheme="majorHAnsi" w:cstheme="majorBidi"/>
          <w:b/>
          <w:bCs/>
          <w:sz w:val="26"/>
          <w:szCs w:val="26"/>
        </w:rPr>
        <w:t xml:space="preserve"> Programmes</w:t>
      </w:r>
      <w:r>
        <w:rPr>
          <w:rFonts w:asciiTheme="majorHAnsi" w:hAnsiTheme="majorHAnsi" w:cstheme="majorBidi"/>
          <w:b/>
          <w:bCs/>
          <w:sz w:val="26"/>
          <w:szCs w:val="26"/>
        </w:rPr>
        <w:t xml:space="preserve"> Framework</w:t>
      </w:r>
    </w:p>
    <w:tbl>
      <w:tblPr>
        <w:tblStyle w:val="TableGrid"/>
        <w:tblW w:w="14992" w:type="dxa"/>
        <w:tblLayout w:type="fixed"/>
        <w:tblLook w:val="04A0" w:firstRow="1" w:lastRow="0" w:firstColumn="1" w:lastColumn="0" w:noHBand="0" w:noVBand="1"/>
      </w:tblPr>
      <w:tblGrid>
        <w:gridCol w:w="392"/>
        <w:gridCol w:w="1559"/>
        <w:gridCol w:w="1985"/>
        <w:gridCol w:w="9780"/>
        <w:gridCol w:w="1276"/>
      </w:tblGrid>
      <w:tr w:rsidR="00154447" w:rsidRPr="00154447" w:rsidTr="00B50BB7">
        <w:tc>
          <w:tcPr>
            <w:tcW w:w="392" w:type="dxa"/>
            <w:shd w:val="clear" w:color="auto" w:fill="EAF1DD" w:themeFill="accent3" w:themeFillTint="33"/>
          </w:tcPr>
          <w:p w:rsidR="00154447" w:rsidRPr="00154447" w:rsidRDefault="00154447" w:rsidP="00AD1C27">
            <w:pPr>
              <w:jc w:val="center"/>
              <w:rPr>
                <w:rFonts w:ascii="Arial" w:hAnsi="Arial" w:cs="Arial"/>
                <w:b/>
                <w:sz w:val="24"/>
              </w:rPr>
            </w:pPr>
          </w:p>
        </w:tc>
        <w:tc>
          <w:tcPr>
            <w:tcW w:w="1559" w:type="dxa"/>
            <w:shd w:val="clear" w:color="auto" w:fill="EAF1DD" w:themeFill="accent3" w:themeFillTint="33"/>
            <w:vAlign w:val="center"/>
          </w:tcPr>
          <w:p w:rsidR="00154447" w:rsidRPr="00154447" w:rsidRDefault="00154447" w:rsidP="00AD1C27">
            <w:pPr>
              <w:jc w:val="center"/>
              <w:rPr>
                <w:rFonts w:ascii="Arial" w:hAnsi="Arial" w:cs="Arial"/>
                <w:b/>
                <w:sz w:val="24"/>
              </w:rPr>
            </w:pPr>
            <w:r w:rsidRPr="00154447">
              <w:rPr>
                <w:rFonts w:ascii="Arial" w:hAnsi="Arial" w:cs="Arial"/>
                <w:b/>
                <w:sz w:val="24"/>
              </w:rPr>
              <w:t>Programme</w:t>
            </w:r>
          </w:p>
        </w:tc>
        <w:tc>
          <w:tcPr>
            <w:tcW w:w="1985" w:type="dxa"/>
            <w:shd w:val="clear" w:color="auto" w:fill="EAF1DD" w:themeFill="accent3" w:themeFillTint="33"/>
          </w:tcPr>
          <w:p w:rsidR="00154447" w:rsidRPr="00154447" w:rsidRDefault="00154447" w:rsidP="00AD1C27">
            <w:pPr>
              <w:jc w:val="center"/>
              <w:rPr>
                <w:rFonts w:ascii="Arial" w:hAnsi="Arial" w:cs="Arial"/>
                <w:b/>
                <w:sz w:val="24"/>
              </w:rPr>
            </w:pPr>
            <w:r w:rsidRPr="00154447">
              <w:rPr>
                <w:rFonts w:ascii="Arial" w:hAnsi="Arial" w:cs="Arial"/>
                <w:b/>
                <w:sz w:val="24"/>
              </w:rPr>
              <w:t>Strand</w:t>
            </w:r>
          </w:p>
        </w:tc>
        <w:tc>
          <w:tcPr>
            <w:tcW w:w="9780" w:type="dxa"/>
            <w:shd w:val="clear" w:color="auto" w:fill="EAF1DD" w:themeFill="accent3" w:themeFillTint="33"/>
          </w:tcPr>
          <w:p w:rsidR="00154447" w:rsidRPr="00154447" w:rsidRDefault="00154447" w:rsidP="00AD1C27">
            <w:pPr>
              <w:autoSpaceDE w:val="0"/>
              <w:autoSpaceDN w:val="0"/>
              <w:adjustRightInd w:val="0"/>
              <w:jc w:val="center"/>
              <w:rPr>
                <w:rFonts w:ascii="Arial" w:hAnsi="Arial" w:cs="Arial"/>
                <w:b/>
                <w:sz w:val="24"/>
              </w:rPr>
            </w:pPr>
          </w:p>
        </w:tc>
        <w:tc>
          <w:tcPr>
            <w:tcW w:w="1276" w:type="dxa"/>
            <w:shd w:val="clear" w:color="auto" w:fill="EAF1DD" w:themeFill="accent3" w:themeFillTint="33"/>
          </w:tcPr>
          <w:p w:rsidR="00154447" w:rsidRPr="00154447" w:rsidRDefault="00154447" w:rsidP="00AD1C27">
            <w:pPr>
              <w:jc w:val="center"/>
              <w:rPr>
                <w:rFonts w:ascii="Arial" w:hAnsi="Arial" w:cs="Arial"/>
                <w:b/>
                <w:sz w:val="24"/>
              </w:rPr>
            </w:pPr>
            <w:r w:rsidRPr="00154447">
              <w:rPr>
                <w:rFonts w:ascii="Arial" w:hAnsi="Arial" w:cs="Arial"/>
                <w:b/>
                <w:sz w:val="24"/>
              </w:rPr>
              <w:t>Lead</w:t>
            </w:r>
          </w:p>
        </w:tc>
      </w:tr>
      <w:tr w:rsidR="00154447" w:rsidRPr="00D1131E" w:rsidTr="00B50BB7">
        <w:tc>
          <w:tcPr>
            <w:tcW w:w="392" w:type="dxa"/>
            <w:shd w:val="clear" w:color="auto" w:fill="FFFFFF" w:themeFill="background1"/>
          </w:tcPr>
          <w:p w:rsidR="00154447" w:rsidRPr="00D1131E" w:rsidRDefault="00154447" w:rsidP="00AD1C27">
            <w:pPr>
              <w:jc w:val="center"/>
              <w:rPr>
                <w:rFonts w:ascii="Arial" w:hAnsi="Arial" w:cs="Arial"/>
              </w:rPr>
            </w:pPr>
            <w:r>
              <w:rPr>
                <w:rFonts w:ascii="Arial" w:hAnsi="Arial" w:cs="Arial"/>
              </w:rPr>
              <w:t>1</w:t>
            </w:r>
          </w:p>
        </w:tc>
        <w:tc>
          <w:tcPr>
            <w:tcW w:w="1559" w:type="dxa"/>
            <w:shd w:val="clear" w:color="auto" w:fill="FFFFFF" w:themeFill="background1"/>
          </w:tcPr>
          <w:p w:rsidR="00154447" w:rsidRPr="00D1131E" w:rsidRDefault="00154447" w:rsidP="00AD1C27">
            <w:pPr>
              <w:jc w:val="center"/>
              <w:rPr>
                <w:rFonts w:ascii="Arial" w:hAnsi="Arial" w:cs="Arial"/>
              </w:rPr>
            </w:pPr>
            <w:r w:rsidRPr="00D1131E">
              <w:rPr>
                <w:rFonts w:ascii="Arial" w:hAnsi="Arial" w:cs="Arial"/>
              </w:rPr>
              <w:t>Preventative NEET</w:t>
            </w:r>
          </w:p>
        </w:tc>
        <w:tc>
          <w:tcPr>
            <w:tcW w:w="1985" w:type="dxa"/>
            <w:shd w:val="clear" w:color="auto" w:fill="FFFFFF" w:themeFill="background1"/>
          </w:tcPr>
          <w:p w:rsidR="00154447" w:rsidRPr="00D1131E" w:rsidRDefault="00154447" w:rsidP="00AD1C27">
            <w:pPr>
              <w:jc w:val="center"/>
              <w:rPr>
                <w:rFonts w:ascii="Arial" w:hAnsi="Arial" w:cs="Arial"/>
                <w:b/>
                <w:color w:val="FFFFFF" w:themeColor="background1"/>
                <w:sz w:val="24"/>
              </w:rPr>
            </w:pPr>
          </w:p>
        </w:tc>
        <w:tc>
          <w:tcPr>
            <w:tcW w:w="9780" w:type="dxa"/>
            <w:shd w:val="clear" w:color="auto" w:fill="FFFFFF" w:themeFill="background1"/>
          </w:tcPr>
          <w:p w:rsidR="00154447" w:rsidRPr="0035204A" w:rsidRDefault="00154447" w:rsidP="00AD1C27">
            <w:pPr>
              <w:rPr>
                <w:rFonts w:ascii="Arial" w:hAnsi="Arial" w:cs="Arial"/>
                <w:sz w:val="20"/>
              </w:rPr>
            </w:pPr>
            <w:r w:rsidRPr="0035204A">
              <w:rPr>
                <w:rFonts w:ascii="Arial" w:hAnsi="Arial" w:cs="Arial"/>
                <w:b/>
                <w:sz w:val="20"/>
              </w:rPr>
              <w:t>Eligibility:</w:t>
            </w:r>
            <w:r w:rsidRPr="0035204A">
              <w:rPr>
                <w:rFonts w:ascii="Arial" w:hAnsi="Arial" w:cs="Arial"/>
                <w:sz w:val="20"/>
              </w:rPr>
              <w:t xml:space="preserve"> young people aged 15-19 who are in education or training but are at risk of NEET as identified using Risk of NEET Indicators (RONIs). </w:t>
            </w:r>
          </w:p>
          <w:p w:rsidR="00154447" w:rsidRPr="0035204A" w:rsidRDefault="00154447" w:rsidP="00AD1C27">
            <w:pPr>
              <w:rPr>
                <w:rFonts w:ascii="Arial" w:hAnsi="Arial" w:cs="Arial"/>
                <w:sz w:val="20"/>
              </w:rPr>
            </w:pPr>
          </w:p>
          <w:p w:rsidR="00154447" w:rsidRPr="0035204A" w:rsidRDefault="00154447" w:rsidP="00AD1C27">
            <w:pPr>
              <w:rPr>
                <w:rFonts w:ascii="Arial" w:hAnsi="Arial" w:cs="Arial"/>
                <w:sz w:val="20"/>
              </w:rPr>
            </w:pPr>
            <w:r w:rsidRPr="0035204A">
              <w:rPr>
                <w:rFonts w:ascii="Arial" w:hAnsi="Arial" w:cs="Arial"/>
                <w:b/>
                <w:sz w:val="20"/>
              </w:rPr>
              <w:t xml:space="preserve">Approach: </w:t>
            </w:r>
            <w:r w:rsidRPr="0035204A">
              <w:rPr>
                <w:rFonts w:ascii="Arial" w:hAnsi="Arial" w:cs="Arial"/>
                <w:sz w:val="20"/>
              </w:rPr>
              <w:t xml:space="preserve">The intention is to have a single co-ordinated Pan-London programme that works with schools, colleges and learning providers and that we should resist from introducing further initiatives during the funding cycle (Jan 15- Dec 17). The programme should be delivered as separate lots for each sub-regional cluster. </w:t>
            </w:r>
          </w:p>
          <w:p w:rsidR="00154447" w:rsidRPr="0035204A" w:rsidRDefault="00154447" w:rsidP="00AD1C27">
            <w:pPr>
              <w:rPr>
                <w:rFonts w:ascii="Arial" w:hAnsi="Arial" w:cs="Arial"/>
                <w:sz w:val="20"/>
              </w:rPr>
            </w:pPr>
            <w:r w:rsidRPr="0035204A">
              <w:rPr>
                <w:rFonts w:ascii="Arial" w:hAnsi="Arial" w:cs="Arial"/>
                <w:sz w:val="20"/>
              </w:rPr>
              <w:t xml:space="preserve">Local authorities should identify the learning institutions with young people (15-19) at risk of NEET and introduce the Prime Contractor (or delivery partner). In some boroughs, targeting schools with retention and / or achievement rates that are below average may also be appropriate. The institution and the contractor / provider will agree the young people with whom to engage and their individual programme of support. The Prime Contractor will notify the local authority of the young person’s status (engaged or left). </w:t>
            </w:r>
          </w:p>
          <w:p w:rsidR="00154447" w:rsidRPr="0035204A" w:rsidRDefault="00154447" w:rsidP="00AD1C27">
            <w:pPr>
              <w:rPr>
                <w:rFonts w:ascii="Arial" w:hAnsi="Arial" w:cs="Arial"/>
                <w:sz w:val="20"/>
              </w:rPr>
            </w:pPr>
            <w:r w:rsidRPr="0035204A">
              <w:rPr>
                <w:rFonts w:ascii="Arial" w:hAnsi="Arial" w:cs="Arial"/>
                <w:sz w:val="20"/>
              </w:rPr>
              <w:t xml:space="preserve"> </w:t>
            </w:r>
          </w:p>
          <w:p w:rsidR="00154447" w:rsidRPr="0035204A" w:rsidRDefault="00154447" w:rsidP="00AD1C27">
            <w:pPr>
              <w:rPr>
                <w:rFonts w:ascii="Arial" w:hAnsi="Arial" w:cs="Arial"/>
                <w:sz w:val="20"/>
              </w:rPr>
            </w:pPr>
            <w:r w:rsidRPr="0035204A">
              <w:rPr>
                <w:rFonts w:ascii="Arial" w:hAnsi="Arial" w:cs="Arial"/>
                <w:sz w:val="20"/>
              </w:rPr>
              <w:t xml:space="preserve">Building on the learning from programme delivered in the 2010-13 funding round, the programme should provide ‘wrap around support’ – a combination of mentoring and 1:1 support – to young people that encourages their retention in existing learning opportunities, rather than offer alternative learning pathways with limited progression routes. To prepare young people for further study or entry into the labour market, appropriate support will need to be given to ensure attainment of English and maths at GCSE grade C or above, or alternative appropriate qualifications assuring the young person’s competence in literacy and numeracy. The programme should also incorporate gateways to progression, including Traineeships or Apprenticeships where this is more appropriate for the young person. </w:t>
            </w:r>
          </w:p>
          <w:p w:rsidR="00154447" w:rsidRPr="0035204A" w:rsidRDefault="00154447" w:rsidP="00AD1C27">
            <w:pPr>
              <w:rPr>
                <w:rFonts w:ascii="Arial" w:hAnsi="Arial" w:cs="Arial"/>
                <w:sz w:val="20"/>
              </w:rPr>
            </w:pPr>
            <w:r w:rsidRPr="0035204A">
              <w:rPr>
                <w:rFonts w:ascii="Arial" w:hAnsi="Arial" w:cs="Arial"/>
                <w:sz w:val="20"/>
              </w:rPr>
              <w:t xml:space="preserve"> </w:t>
            </w:r>
          </w:p>
          <w:p w:rsidR="00154447" w:rsidRPr="0035204A" w:rsidRDefault="00154447" w:rsidP="00AD1C27">
            <w:pPr>
              <w:rPr>
                <w:rFonts w:ascii="Arial" w:hAnsi="Arial" w:cs="Arial"/>
                <w:sz w:val="20"/>
              </w:rPr>
            </w:pPr>
            <w:r w:rsidRPr="0035204A">
              <w:rPr>
                <w:rFonts w:ascii="Arial" w:hAnsi="Arial" w:cs="Arial"/>
                <w:sz w:val="20"/>
              </w:rPr>
              <w:t xml:space="preserve">The programme should provide for long-term interventions where necessary - enabling young people to be supported into sustained outcomes. This will mean providing intensive support programmes at key transition points (i.e. leaving school, completing courses etc.) Where the young person is 18+ and is claiming benefit, the provider will engage with the relevant organisation or if it is JSA, with the relevant JCP adviser. </w:t>
            </w:r>
          </w:p>
          <w:p w:rsidR="00154447" w:rsidRPr="00D1131E" w:rsidRDefault="00154447" w:rsidP="00AD1C27">
            <w:pPr>
              <w:rPr>
                <w:rFonts w:ascii="Arial" w:hAnsi="Arial" w:cs="Arial"/>
                <w:b/>
                <w:color w:val="FFFFFF" w:themeColor="background1"/>
                <w:sz w:val="24"/>
              </w:rPr>
            </w:pPr>
          </w:p>
        </w:tc>
        <w:tc>
          <w:tcPr>
            <w:tcW w:w="1276" w:type="dxa"/>
            <w:shd w:val="clear" w:color="auto" w:fill="FFFFFF" w:themeFill="background1"/>
          </w:tcPr>
          <w:p w:rsidR="00154447" w:rsidRDefault="00154447" w:rsidP="00AD1C27">
            <w:pPr>
              <w:jc w:val="center"/>
              <w:rPr>
                <w:rFonts w:ascii="Arial" w:hAnsi="Arial" w:cs="Arial"/>
              </w:rPr>
            </w:pPr>
            <w:r w:rsidRPr="00D1131E">
              <w:rPr>
                <w:rFonts w:ascii="Arial" w:hAnsi="Arial" w:cs="Arial"/>
              </w:rPr>
              <w:t>LC: YPES</w:t>
            </w:r>
          </w:p>
          <w:p w:rsidR="00154447" w:rsidRPr="00D1131E" w:rsidRDefault="00154447" w:rsidP="00AD1C27">
            <w:pPr>
              <w:jc w:val="center"/>
              <w:rPr>
                <w:rFonts w:ascii="Arial" w:hAnsi="Arial" w:cs="Arial"/>
              </w:rPr>
            </w:pPr>
          </w:p>
        </w:tc>
      </w:tr>
      <w:tr w:rsidR="00154447" w:rsidRPr="00D1131E" w:rsidTr="00B50BB7">
        <w:tc>
          <w:tcPr>
            <w:tcW w:w="392" w:type="dxa"/>
            <w:shd w:val="clear" w:color="auto" w:fill="FFFFFF" w:themeFill="background1"/>
          </w:tcPr>
          <w:p w:rsidR="00154447" w:rsidRPr="00D1131E" w:rsidRDefault="00154447" w:rsidP="00AD1C27">
            <w:pPr>
              <w:jc w:val="center"/>
              <w:rPr>
                <w:rFonts w:ascii="Arial" w:hAnsi="Arial" w:cs="Arial"/>
              </w:rPr>
            </w:pPr>
            <w:r>
              <w:rPr>
                <w:rFonts w:ascii="Arial" w:hAnsi="Arial" w:cs="Arial"/>
              </w:rPr>
              <w:t>2</w:t>
            </w:r>
          </w:p>
        </w:tc>
        <w:tc>
          <w:tcPr>
            <w:tcW w:w="1559" w:type="dxa"/>
            <w:shd w:val="clear" w:color="auto" w:fill="FFFFFF" w:themeFill="background1"/>
          </w:tcPr>
          <w:p w:rsidR="00154447" w:rsidRPr="00D1131E" w:rsidRDefault="00154447" w:rsidP="00AD1C27">
            <w:pPr>
              <w:jc w:val="center"/>
              <w:rPr>
                <w:rFonts w:ascii="Arial" w:hAnsi="Arial" w:cs="Arial"/>
              </w:rPr>
            </w:pPr>
            <w:r w:rsidRPr="00D1131E">
              <w:rPr>
                <w:rFonts w:ascii="Arial" w:hAnsi="Arial" w:cs="Arial"/>
              </w:rPr>
              <w:t>NEET Re-engagement</w:t>
            </w:r>
          </w:p>
        </w:tc>
        <w:tc>
          <w:tcPr>
            <w:tcW w:w="1985" w:type="dxa"/>
            <w:shd w:val="clear" w:color="auto" w:fill="FFFFFF" w:themeFill="background1"/>
          </w:tcPr>
          <w:p w:rsidR="00154447" w:rsidRPr="00D1131E" w:rsidRDefault="00154447" w:rsidP="00AD1C27">
            <w:pPr>
              <w:jc w:val="center"/>
              <w:rPr>
                <w:rFonts w:ascii="Arial" w:hAnsi="Arial" w:cs="Arial"/>
                <w:b/>
                <w:color w:val="FFFFFF" w:themeColor="background1"/>
                <w:sz w:val="24"/>
              </w:rPr>
            </w:pPr>
          </w:p>
        </w:tc>
        <w:tc>
          <w:tcPr>
            <w:tcW w:w="9780" w:type="dxa"/>
            <w:shd w:val="clear" w:color="auto" w:fill="FFFFFF" w:themeFill="background1"/>
          </w:tcPr>
          <w:p w:rsidR="00154447" w:rsidRDefault="00154447" w:rsidP="00AD1C27">
            <w:pPr>
              <w:jc w:val="both"/>
              <w:rPr>
                <w:rFonts w:ascii="Arial" w:hAnsi="Arial" w:cs="Arial"/>
                <w:b/>
                <w:sz w:val="20"/>
                <w:szCs w:val="20"/>
              </w:rPr>
            </w:pPr>
          </w:p>
          <w:p w:rsidR="00154447" w:rsidRPr="0035204A" w:rsidRDefault="00154447" w:rsidP="00AD1C27">
            <w:pPr>
              <w:jc w:val="both"/>
              <w:rPr>
                <w:rFonts w:ascii="Arial" w:hAnsi="Arial" w:cs="Arial"/>
                <w:sz w:val="20"/>
                <w:szCs w:val="20"/>
              </w:rPr>
            </w:pPr>
            <w:r w:rsidRPr="0035204A">
              <w:rPr>
                <w:rFonts w:ascii="Arial" w:hAnsi="Arial" w:cs="Arial"/>
                <w:b/>
                <w:sz w:val="20"/>
                <w:szCs w:val="20"/>
              </w:rPr>
              <w:t>Eligibility:</w:t>
            </w:r>
            <w:r w:rsidRPr="0035204A">
              <w:rPr>
                <w:rFonts w:ascii="Arial" w:hAnsi="Arial" w:cs="Arial"/>
                <w:sz w:val="20"/>
                <w:szCs w:val="20"/>
              </w:rPr>
              <w:t xml:space="preserve"> any young person aged 16-24 who is NEET. (</w:t>
            </w:r>
            <w:r w:rsidRPr="0035204A">
              <w:rPr>
                <w:rFonts w:ascii="Arial" w:hAnsi="Arial" w:cs="Arial"/>
                <w:i/>
                <w:sz w:val="20"/>
                <w:szCs w:val="20"/>
              </w:rPr>
              <w:t>Starting age is 16 because there are separate statutory requirements for under-16 participation, participation of 16-17 year-olds and the participation of young people over 17</w:t>
            </w:r>
            <w:r w:rsidRPr="0035204A">
              <w:rPr>
                <w:rFonts w:ascii="Arial" w:hAnsi="Arial" w:cs="Arial"/>
                <w:sz w:val="20"/>
                <w:szCs w:val="20"/>
              </w:rPr>
              <w:t>).  It is proposed that there should be no other eligibility requirement in terms of age, duration of NEET or prior educational attainment.</w:t>
            </w:r>
          </w:p>
          <w:p w:rsidR="00154447" w:rsidRPr="0035204A" w:rsidRDefault="00154447" w:rsidP="00AD1C27">
            <w:pPr>
              <w:jc w:val="both"/>
              <w:rPr>
                <w:rFonts w:ascii="Arial" w:hAnsi="Arial" w:cs="Arial"/>
                <w:sz w:val="20"/>
                <w:szCs w:val="20"/>
              </w:rPr>
            </w:pPr>
          </w:p>
          <w:p w:rsidR="00154447" w:rsidRPr="0035204A" w:rsidRDefault="00154447" w:rsidP="00AD1C27">
            <w:pPr>
              <w:jc w:val="both"/>
              <w:rPr>
                <w:rFonts w:ascii="Arial" w:hAnsi="Arial" w:cs="Arial"/>
                <w:sz w:val="20"/>
                <w:szCs w:val="20"/>
              </w:rPr>
            </w:pPr>
            <w:r w:rsidRPr="0035204A">
              <w:rPr>
                <w:rFonts w:ascii="Arial" w:hAnsi="Arial" w:cs="Arial"/>
                <w:b/>
                <w:sz w:val="20"/>
                <w:szCs w:val="20"/>
              </w:rPr>
              <w:lastRenderedPageBreak/>
              <w:t xml:space="preserve">Approach: </w:t>
            </w:r>
            <w:r w:rsidRPr="0035204A">
              <w:rPr>
                <w:rFonts w:ascii="Arial" w:hAnsi="Arial" w:cs="Arial"/>
                <w:sz w:val="20"/>
                <w:szCs w:val="20"/>
              </w:rPr>
              <w:t xml:space="preserve">Although there will be a single programme for the whole of London, delivery will be through a single Prime Contractor in each sub-regional cluster. </w:t>
            </w:r>
          </w:p>
          <w:p w:rsidR="00154447" w:rsidRPr="0035204A" w:rsidRDefault="00154447" w:rsidP="00AD1C27">
            <w:pPr>
              <w:jc w:val="both"/>
              <w:rPr>
                <w:rFonts w:ascii="Arial" w:hAnsi="Arial" w:cs="Arial"/>
                <w:sz w:val="20"/>
                <w:szCs w:val="20"/>
              </w:rPr>
            </w:pPr>
            <w:r w:rsidRPr="0035204A">
              <w:rPr>
                <w:rFonts w:ascii="Arial" w:hAnsi="Arial" w:cs="Arial"/>
                <w:sz w:val="20"/>
                <w:szCs w:val="20"/>
              </w:rPr>
              <w:t>The delivery model should consist of:</w:t>
            </w:r>
          </w:p>
          <w:p w:rsidR="00154447" w:rsidRPr="0035204A" w:rsidRDefault="00154447" w:rsidP="00154447">
            <w:pPr>
              <w:pStyle w:val="ListParagraph"/>
              <w:numPr>
                <w:ilvl w:val="0"/>
                <w:numId w:val="8"/>
              </w:numPr>
              <w:jc w:val="both"/>
              <w:rPr>
                <w:rFonts w:cs="Arial"/>
                <w:sz w:val="20"/>
                <w:szCs w:val="20"/>
              </w:rPr>
            </w:pPr>
            <w:r w:rsidRPr="0035204A">
              <w:rPr>
                <w:rFonts w:cs="Arial"/>
                <w:sz w:val="20"/>
                <w:szCs w:val="20"/>
              </w:rPr>
              <w:t>Outreach recruitment, with the delivery partners working in conjunction with each other and with local authorities</w:t>
            </w:r>
          </w:p>
          <w:p w:rsidR="00154447" w:rsidRPr="0035204A" w:rsidRDefault="00154447" w:rsidP="00154447">
            <w:pPr>
              <w:pStyle w:val="ListParagraph"/>
              <w:numPr>
                <w:ilvl w:val="0"/>
                <w:numId w:val="8"/>
              </w:numPr>
              <w:jc w:val="both"/>
              <w:rPr>
                <w:rFonts w:cs="Arial"/>
                <w:sz w:val="20"/>
                <w:szCs w:val="20"/>
              </w:rPr>
            </w:pPr>
            <w:r w:rsidRPr="0035204A">
              <w:rPr>
                <w:rFonts w:cs="Arial"/>
                <w:sz w:val="20"/>
                <w:szCs w:val="20"/>
              </w:rPr>
              <w:t>Providing impartial and independent personalised support – a combination of advice and guidance, personal planning, mentoring and on-going1:1 support – to young people that encourages either their return to existing learning opportunities; participation in Traineeships or Apprenticeships; or entry into jobs, as appropriate for the young person</w:t>
            </w:r>
          </w:p>
          <w:p w:rsidR="00154447" w:rsidRPr="0035204A" w:rsidRDefault="00154447" w:rsidP="00154447">
            <w:pPr>
              <w:pStyle w:val="ListParagraph"/>
              <w:numPr>
                <w:ilvl w:val="0"/>
                <w:numId w:val="8"/>
              </w:numPr>
              <w:jc w:val="both"/>
              <w:rPr>
                <w:rFonts w:cs="Arial"/>
                <w:sz w:val="20"/>
                <w:szCs w:val="20"/>
              </w:rPr>
            </w:pPr>
            <w:r w:rsidRPr="0035204A">
              <w:rPr>
                <w:rFonts w:cs="Arial"/>
                <w:sz w:val="20"/>
                <w:szCs w:val="20"/>
              </w:rPr>
              <w:t>On-going ‘wrap around support’ - mentoring and 1:1 support - to enable young people to secure sustained outcomes and to overcome risk of early drop-out</w:t>
            </w:r>
          </w:p>
          <w:p w:rsidR="00154447" w:rsidRPr="0035204A" w:rsidRDefault="00154447" w:rsidP="00154447">
            <w:pPr>
              <w:pStyle w:val="ListParagraph"/>
              <w:numPr>
                <w:ilvl w:val="0"/>
                <w:numId w:val="8"/>
              </w:numPr>
              <w:jc w:val="both"/>
              <w:rPr>
                <w:rFonts w:cs="Arial"/>
                <w:sz w:val="20"/>
                <w:szCs w:val="20"/>
              </w:rPr>
            </w:pPr>
            <w:r w:rsidRPr="0035204A">
              <w:rPr>
                <w:rFonts w:cs="Arial"/>
                <w:sz w:val="20"/>
                <w:szCs w:val="20"/>
              </w:rPr>
              <w:t>Non-accredited provision, including personal tuition – especially in English and maths – that supports mainstream delivery</w:t>
            </w:r>
          </w:p>
          <w:p w:rsidR="00154447" w:rsidRPr="0035204A" w:rsidRDefault="00154447" w:rsidP="00154447">
            <w:pPr>
              <w:pStyle w:val="ListParagraph"/>
              <w:numPr>
                <w:ilvl w:val="0"/>
                <w:numId w:val="8"/>
              </w:numPr>
              <w:jc w:val="both"/>
              <w:rPr>
                <w:rFonts w:cs="Arial"/>
                <w:sz w:val="20"/>
                <w:szCs w:val="20"/>
              </w:rPr>
            </w:pPr>
            <w:r w:rsidRPr="0035204A">
              <w:rPr>
                <w:rFonts w:cs="Arial"/>
                <w:sz w:val="20"/>
                <w:szCs w:val="20"/>
              </w:rPr>
              <w:t>An ‘elastic’ programme that provides for longer-term support, both pre- and post-progression, where necessary</w:t>
            </w:r>
          </w:p>
          <w:p w:rsidR="00154447" w:rsidRPr="0035204A" w:rsidRDefault="00154447" w:rsidP="00154447">
            <w:pPr>
              <w:pStyle w:val="ListParagraph"/>
              <w:numPr>
                <w:ilvl w:val="0"/>
                <w:numId w:val="8"/>
              </w:numPr>
              <w:jc w:val="both"/>
              <w:rPr>
                <w:rFonts w:cs="Arial"/>
                <w:sz w:val="20"/>
                <w:szCs w:val="20"/>
              </w:rPr>
            </w:pPr>
            <w:r w:rsidRPr="0035204A">
              <w:rPr>
                <w:rFonts w:cs="Arial"/>
                <w:sz w:val="20"/>
                <w:szCs w:val="20"/>
              </w:rPr>
              <w:t xml:space="preserve">A ‘structured ending’ where support is gradually tapered off </w:t>
            </w:r>
          </w:p>
          <w:p w:rsidR="00154447" w:rsidRPr="0035204A" w:rsidRDefault="00154447" w:rsidP="00154447">
            <w:pPr>
              <w:pStyle w:val="ListParagraph"/>
              <w:numPr>
                <w:ilvl w:val="0"/>
                <w:numId w:val="8"/>
              </w:numPr>
              <w:jc w:val="both"/>
              <w:rPr>
                <w:rFonts w:cs="Arial"/>
                <w:sz w:val="20"/>
                <w:szCs w:val="20"/>
              </w:rPr>
            </w:pPr>
            <w:r w:rsidRPr="0035204A">
              <w:rPr>
                <w:rFonts w:cs="Arial"/>
                <w:sz w:val="20"/>
                <w:szCs w:val="20"/>
              </w:rPr>
              <w:t>Where the young person is 18+ and is claiming benefit, the provider will engage with the relevant organisation or if it is JSA, with the relevant JCP adviser.</w:t>
            </w:r>
          </w:p>
          <w:p w:rsidR="00154447" w:rsidRPr="0035204A" w:rsidRDefault="00154447" w:rsidP="00AD1C27">
            <w:pPr>
              <w:jc w:val="both"/>
              <w:rPr>
                <w:rFonts w:ascii="Arial" w:hAnsi="Arial" w:cs="Arial"/>
                <w:sz w:val="20"/>
                <w:szCs w:val="20"/>
              </w:rPr>
            </w:pPr>
          </w:p>
          <w:p w:rsidR="00154447" w:rsidRPr="0035204A" w:rsidRDefault="00154447" w:rsidP="00AD1C27">
            <w:pPr>
              <w:jc w:val="both"/>
              <w:rPr>
                <w:rFonts w:ascii="Arial" w:hAnsi="Arial" w:cs="Arial"/>
                <w:sz w:val="20"/>
                <w:szCs w:val="20"/>
              </w:rPr>
            </w:pPr>
            <w:r w:rsidRPr="0035204A">
              <w:rPr>
                <w:rFonts w:ascii="Arial" w:hAnsi="Arial" w:cs="Arial"/>
                <w:sz w:val="20"/>
                <w:szCs w:val="20"/>
              </w:rPr>
              <w:t>The payment system should:</w:t>
            </w:r>
          </w:p>
          <w:p w:rsidR="00154447" w:rsidRPr="0035204A" w:rsidRDefault="00154447" w:rsidP="00154447">
            <w:pPr>
              <w:pStyle w:val="ListParagraph"/>
              <w:numPr>
                <w:ilvl w:val="0"/>
                <w:numId w:val="9"/>
              </w:numPr>
              <w:jc w:val="both"/>
              <w:rPr>
                <w:rFonts w:cs="Arial"/>
                <w:sz w:val="20"/>
                <w:szCs w:val="20"/>
              </w:rPr>
            </w:pPr>
            <w:r w:rsidRPr="0035204A">
              <w:rPr>
                <w:rFonts w:cs="Arial"/>
                <w:sz w:val="20"/>
                <w:szCs w:val="20"/>
              </w:rPr>
              <w:t>Take account of the average length of stay on the current Youth Contract</w:t>
            </w:r>
          </w:p>
          <w:p w:rsidR="00154447" w:rsidRPr="0035204A" w:rsidRDefault="00154447" w:rsidP="00154447">
            <w:pPr>
              <w:pStyle w:val="ListParagraph"/>
              <w:numPr>
                <w:ilvl w:val="0"/>
                <w:numId w:val="9"/>
              </w:numPr>
              <w:jc w:val="both"/>
              <w:rPr>
                <w:rFonts w:cs="Arial"/>
                <w:sz w:val="20"/>
                <w:szCs w:val="20"/>
              </w:rPr>
            </w:pPr>
            <w:r w:rsidRPr="0035204A">
              <w:rPr>
                <w:rFonts w:cs="Arial"/>
                <w:sz w:val="20"/>
                <w:szCs w:val="20"/>
              </w:rPr>
              <w:t>Provide an enhancement based on the length of time entrants have been NEET and an appropriate weighting for progression and retention into an EET outcome.</w:t>
            </w:r>
          </w:p>
          <w:p w:rsidR="00154447" w:rsidRPr="0035204A" w:rsidRDefault="00154447" w:rsidP="00154447">
            <w:pPr>
              <w:pStyle w:val="ListParagraph"/>
              <w:numPr>
                <w:ilvl w:val="0"/>
                <w:numId w:val="9"/>
              </w:numPr>
              <w:jc w:val="both"/>
              <w:rPr>
                <w:rFonts w:cs="Arial"/>
                <w:sz w:val="20"/>
                <w:szCs w:val="20"/>
              </w:rPr>
            </w:pPr>
            <w:r w:rsidRPr="0035204A">
              <w:rPr>
                <w:rFonts w:cs="Arial"/>
                <w:sz w:val="20"/>
                <w:szCs w:val="20"/>
              </w:rPr>
              <w:t>Enable providers to make payments to participants in the form of an allowance in a similar way that mainstream schools and colleges use their bursary funds.</w:t>
            </w:r>
          </w:p>
          <w:p w:rsidR="00154447" w:rsidRPr="0035204A" w:rsidRDefault="00154447" w:rsidP="00AD1C27">
            <w:pPr>
              <w:pStyle w:val="ListParagraph"/>
              <w:ind w:left="780"/>
              <w:jc w:val="both"/>
              <w:rPr>
                <w:rFonts w:cs="Arial"/>
                <w:sz w:val="20"/>
                <w:szCs w:val="20"/>
              </w:rPr>
            </w:pPr>
          </w:p>
          <w:p w:rsidR="00154447" w:rsidRPr="0035204A" w:rsidRDefault="00154447" w:rsidP="00AD1C27">
            <w:pPr>
              <w:rPr>
                <w:rFonts w:ascii="Arial" w:hAnsi="Arial" w:cs="Arial"/>
                <w:sz w:val="20"/>
                <w:szCs w:val="20"/>
              </w:rPr>
            </w:pPr>
            <w:r w:rsidRPr="0035204A">
              <w:rPr>
                <w:rFonts w:ascii="Arial" w:hAnsi="Arial" w:cs="Arial"/>
                <w:sz w:val="20"/>
                <w:szCs w:val="20"/>
              </w:rPr>
              <w:t>Although most young people are likely to re-enter learning, those who move into employment should be RPA compliant.</w:t>
            </w:r>
          </w:p>
          <w:p w:rsidR="00154447" w:rsidRPr="0035204A" w:rsidRDefault="00154447" w:rsidP="00AD1C27">
            <w:pPr>
              <w:autoSpaceDE w:val="0"/>
              <w:autoSpaceDN w:val="0"/>
              <w:adjustRightInd w:val="0"/>
              <w:rPr>
                <w:rFonts w:ascii="Arial" w:hAnsi="Arial" w:cs="Arial"/>
                <w:b/>
                <w:color w:val="FFFFFF" w:themeColor="background1"/>
                <w:sz w:val="20"/>
                <w:szCs w:val="20"/>
              </w:rPr>
            </w:pPr>
          </w:p>
        </w:tc>
        <w:tc>
          <w:tcPr>
            <w:tcW w:w="1276" w:type="dxa"/>
            <w:shd w:val="clear" w:color="auto" w:fill="FFFFFF" w:themeFill="background1"/>
          </w:tcPr>
          <w:p w:rsidR="00154447" w:rsidRDefault="00154447" w:rsidP="00AD1C27">
            <w:pPr>
              <w:jc w:val="center"/>
              <w:rPr>
                <w:rFonts w:ascii="Arial" w:hAnsi="Arial" w:cs="Arial"/>
              </w:rPr>
            </w:pPr>
            <w:r w:rsidRPr="00D1131E">
              <w:rPr>
                <w:rFonts w:ascii="Arial" w:hAnsi="Arial" w:cs="Arial"/>
              </w:rPr>
              <w:lastRenderedPageBreak/>
              <w:t>LC: YPES</w:t>
            </w:r>
          </w:p>
          <w:p w:rsidR="00154447" w:rsidRPr="00D1131E" w:rsidRDefault="00154447" w:rsidP="00AD1C27">
            <w:pPr>
              <w:jc w:val="center"/>
              <w:rPr>
                <w:rFonts w:ascii="Arial" w:hAnsi="Arial" w:cs="Arial"/>
              </w:rPr>
            </w:pPr>
          </w:p>
        </w:tc>
      </w:tr>
      <w:tr w:rsidR="00154447" w:rsidRPr="00D1131E" w:rsidTr="00B50BB7">
        <w:tc>
          <w:tcPr>
            <w:tcW w:w="392" w:type="dxa"/>
            <w:shd w:val="clear" w:color="auto" w:fill="FFFFFF" w:themeFill="background1"/>
          </w:tcPr>
          <w:p w:rsidR="00154447" w:rsidRPr="00D1131E" w:rsidRDefault="00154447" w:rsidP="00AD1C27">
            <w:pPr>
              <w:jc w:val="center"/>
              <w:rPr>
                <w:rFonts w:ascii="Arial" w:hAnsi="Arial" w:cs="Arial"/>
              </w:rPr>
            </w:pPr>
            <w:r>
              <w:rPr>
                <w:rFonts w:ascii="Arial" w:hAnsi="Arial" w:cs="Arial"/>
              </w:rPr>
              <w:lastRenderedPageBreak/>
              <w:t>3</w:t>
            </w:r>
          </w:p>
        </w:tc>
        <w:tc>
          <w:tcPr>
            <w:tcW w:w="1559" w:type="dxa"/>
            <w:shd w:val="clear" w:color="auto" w:fill="FFFFFF" w:themeFill="background1"/>
          </w:tcPr>
          <w:p w:rsidR="00154447" w:rsidRPr="00D1131E" w:rsidRDefault="00154447" w:rsidP="00AD1C27">
            <w:pPr>
              <w:jc w:val="center"/>
              <w:rPr>
                <w:rFonts w:ascii="Arial" w:hAnsi="Arial" w:cs="Arial"/>
              </w:rPr>
            </w:pPr>
            <w:r w:rsidRPr="00D1131E">
              <w:rPr>
                <w:rFonts w:ascii="Arial" w:hAnsi="Arial" w:cs="Arial"/>
              </w:rPr>
              <w:t>Targeted provision: NEET interventions</w:t>
            </w:r>
          </w:p>
        </w:tc>
        <w:tc>
          <w:tcPr>
            <w:tcW w:w="1985" w:type="dxa"/>
            <w:tcBorders>
              <w:bottom w:val="single" w:sz="4" w:space="0" w:color="auto"/>
            </w:tcBorders>
            <w:shd w:val="clear" w:color="auto" w:fill="FFFFFF" w:themeFill="background1"/>
          </w:tcPr>
          <w:p w:rsidR="00154447" w:rsidRPr="00D1131E" w:rsidRDefault="00154447" w:rsidP="00AD1C27">
            <w:pPr>
              <w:jc w:val="center"/>
              <w:rPr>
                <w:rFonts w:ascii="Arial" w:hAnsi="Arial" w:cs="Arial"/>
                <w:b/>
                <w:color w:val="FFFFFF" w:themeColor="background1"/>
                <w:sz w:val="24"/>
              </w:rPr>
            </w:pPr>
          </w:p>
        </w:tc>
        <w:tc>
          <w:tcPr>
            <w:tcW w:w="9780" w:type="dxa"/>
            <w:tcBorders>
              <w:bottom w:val="single" w:sz="4" w:space="0" w:color="auto"/>
            </w:tcBorders>
            <w:shd w:val="clear" w:color="auto" w:fill="FFFFFF" w:themeFill="background1"/>
          </w:tcPr>
          <w:p w:rsidR="00154447" w:rsidRDefault="00154447" w:rsidP="00AD1C27">
            <w:pPr>
              <w:autoSpaceDE w:val="0"/>
              <w:autoSpaceDN w:val="0"/>
              <w:adjustRightInd w:val="0"/>
              <w:jc w:val="both"/>
              <w:rPr>
                <w:rFonts w:ascii="Arial" w:hAnsi="Arial" w:cs="Arial"/>
                <w:b/>
                <w:sz w:val="20"/>
                <w:szCs w:val="20"/>
              </w:rPr>
            </w:pPr>
          </w:p>
          <w:p w:rsidR="00154447" w:rsidRPr="0035204A" w:rsidRDefault="00154447" w:rsidP="00AD1C27">
            <w:pPr>
              <w:autoSpaceDE w:val="0"/>
              <w:autoSpaceDN w:val="0"/>
              <w:adjustRightInd w:val="0"/>
              <w:jc w:val="both"/>
              <w:rPr>
                <w:rFonts w:ascii="Arial" w:hAnsi="Arial" w:cs="Arial"/>
                <w:sz w:val="20"/>
                <w:szCs w:val="20"/>
              </w:rPr>
            </w:pPr>
            <w:r w:rsidRPr="0035204A">
              <w:rPr>
                <w:rFonts w:ascii="Arial" w:hAnsi="Arial" w:cs="Arial"/>
                <w:b/>
                <w:sz w:val="20"/>
                <w:szCs w:val="20"/>
              </w:rPr>
              <w:t>Eligibility:</w:t>
            </w:r>
            <w:r w:rsidRPr="0035204A">
              <w:rPr>
                <w:rFonts w:ascii="Arial" w:hAnsi="Arial" w:cs="Arial"/>
                <w:sz w:val="20"/>
                <w:szCs w:val="20"/>
              </w:rPr>
              <w:t xml:space="preserve"> Young people aged 15-24 who are NEET and whose background or characteristics suggests they require additional support into employment and training. These include:</w:t>
            </w:r>
          </w:p>
          <w:p w:rsidR="00154447" w:rsidRPr="0035204A" w:rsidRDefault="00154447" w:rsidP="00154447">
            <w:pPr>
              <w:pStyle w:val="ListParagraph"/>
              <w:numPr>
                <w:ilvl w:val="0"/>
                <w:numId w:val="10"/>
              </w:numPr>
              <w:autoSpaceDE w:val="0"/>
              <w:autoSpaceDN w:val="0"/>
              <w:adjustRightInd w:val="0"/>
              <w:jc w:val="both"/>
              <w:rPr>
                <w:rFonts w:cs="Arial"/>
                <w:sz w:val="20"/>
                <w:szCs w:val="20"/>
              </w:rPr>
            </w:pPr>
            <w:r w:rsidRPr="0035204A">
              <w:rPr>
                <w:rFonts w:cs="Arial"/>
                <w:sz w:val="20"/>
                <w:szCs w:val="20"/>
              </w:rPr>
              <w:t>Refugee / migrant children</w:t>
            </w:r>
          </w:p>
          <w:p w:rsidR="00154447" w:rsidRPr="0035204A" w:rsidRDefault="00154447" w:rsidP="00154447">
            <w:pPr>
              <w:pStyle w:val="ListParagraph"/>
              <w:numPr>
                <w:ilvl w:val="0"/>
                <w:numId w:val="10"/>
              </w:numPr>
              <w:autoSpaceDE w:val="0"/>
              <w:autoSpaceDN w:val="0"/>
              <w:adjustRightInd w:val="0"/>
              <w:jc w:val="both"/>
              <w:rPr>
                <w:rFonts w:cs="Arial"/>
                <w:sz w:val="20"/>
                <w:szCs w:val="20"/>
              </w:rPr>
            </w:pPr>
            <w:r w:rsidRPr="0035204A">
              <w:rPr>
                <w:rFonts w:cs="Arial"/>
                <w:sz w:val="20"/>
                <w:szCs w:val="20"/>
              </w:rPr>
              <w:t xml:space="preserve">Children in care / care leavers </w:t>
            </w:r>
          </w:p>
          <w:p w:rsidR="00154447" w:rsidRPr="0035204A" w:rsidRDefault="00154447" w:rsidP="00154447">
            <w:pPr>
              <w:pStyle w:val="ListParagraph"/>
              <w:numPr>
                <w:ilvl w:val="0"/>
                <w:numId w:val="10"/>
              </w:numPr>
              <w:autoSpaceDE w:val="0"/>
              <w:autoSpaceDN w:val="0"/>
              <w:adjustRightInd w:val="0"/>
              <w:jc w:val="both"/>
              <w:rPr>
                <w:rFonts w:cs="Arial"/>
                <w:sz w:val="20"/>
                <w:szCs w:val="20"/>
              </w:rPr>
            </w:pPr>
            <w:r w:rsidRPr="0035204A">
              <w:rPr>
                <w:rFonts w:cs="Arial"/>
                <w:sz w:val="20"/>
                <w:szCs w:val="20"/>
              </w:rPr>
              <w:t>Homeless young people</w:t>
            </w:r>
          </w:p>
          <w:p w:rsidR="00154447" w:rsidRPr="0035204A" w:rsidRDefault="00154447" w:rsidP="00154447">
            <w:pPr>
              <w:pStyle w:val="ListParagraph"/>
              <w:numPr>
                <w:ilvl w:val="0"/>
                <w:numId w:val="10"/>
              </w:numPr>
              <w:autoSpaceDE w:val="0"/>
              <w:autoSpaceDN w:val="0"/>
              <w:adjustRightInd w:val="0"/>
              <w:jc w:val="both"/>
              <w:rPr>
                <w:rFonts w:cs="Arial"/>
                <w:sz w:val="20"/>
                <w:szCs w:val="20"/>
              </w:rPr>
            </w:pPr>
            <w:r w:rsidRPr="0035204A">
              <w:rPr>
                <w:rFonts w:cs="Arial"/>
                <w:sz w:val="20"/>
                <w:szCs w:val="20"/>
              </w:rPr>
              <w:t>Travellers</w:t>
            </w:r>
          </w:p>
          <w:p w:rsidR="00154447" w:rsidRPr="0035204A" w:rsidRDefault="00154447" w:rsidP="00154447">
            <w:pPr>
              <w:pStyle w:val="ListParagraph"/>
              <w:numPr>
                <w:ilvl w:val="0"/>
                <w:numId w:val="10"/>
              </w:numPr>
              <w:autoSpaceDE w:val="0"/>
              <w:autoSpaceDN w:val="0"/>
              <w:adjustRightInd w:val="0"/>
              <w:jc w:val="both"/>
              <w:rPr>
                <w:rFonts w:cs="Arial"/>
                <w:sz w:val="20"/>
                <w:szCs w:val="20"/>
              </w:rPr>
            </w:pPr>
            <w:r w:rsidRPr="0035204A">
              <w:rPr>
                <w:rFonts w:cs="Arial"/>
                <w:sz w:val="20"/>
                <w:szCs w:val="20"/>
              </w:rPr>
              <w:t>Those who have been excluded from school, with special emphasis on those who are members of gangs or are prone to gang membership</w:t>
            </w:r>
          </w:p>
          <w:p w:rsidR="00154447" w:rsidRPr="0035204A" w:rsidRDefault="00154447" w:rsidP="00154447">
            <w:pPr>
              <w:pStyle w:val="ListParagraph"/>
              <w:numPr>
                <w:ilvl w:val="0"/>
                <w:numId w:val="10"/>
              </w:numPr>
              <w:autoSpaceDE w:val="0"/>
              <w:autoSpaceDN w:val="0"/>
              <w:adjustRightInd w:val="0"/>
              <w:jc w:val="both"/>
              <w:rPr>
                <w:rFonts w:cs="Arial"/>
                <w:sz w:val="20"/>
                <w:szCs w:val="20"/>
              </w:rPr>
            </w:pPr>
            <w:r w:rsidRPr="0035204A">
              <w:rPr>
                <w:rFonts w:cs="Arial"/>
                <w:sz w:val="20"/>
                <w:szCs w:val="20"/>
              </w:rPr>
              <w:lastRenderedPageBreak/>
              <w:t>Those with mental health difficulties</w:t>
            </w:r>
          </w:p>
          <w:p w:rsidR="00154447" w:rsidRPr="0035204A" w:rsidRDefault="00154447" w:rsidP="00154447">
            <w:pPr>
              <w:pStyle w:val="ListParagraph"/>
              <w:numPr>
                <w:ilvl w:val="0"/>
                <w:numId w:val="10"/>
              </w:numPr>
              <w:autoSpaceDE w:val="0"/>
              <w:autoSpaceDN w:val="0"/>
              <w:adjustRightInd w:val="0"/>
              <w:jc w:val="both"/>
              <w:rPr>
                <w:rFonts w:cs="Arial"/>
                <w:sz w:val="20"/>
                <w:szCs w:val="20"/>
              </w:rPr>
            </w:pPr>
            <w:r w:rsidRPr="0035204A">
              <w:rPr>
                <w:rFonts w:cs="Arial"/>
                <w:sz w:val="20"/>
                <w:szCs w:val="20"/>
              </w:rPr>
              <w:t>Those with  drug/ alcohol abuse issues</w:t>
            </w:r>
          </w:p>
          <w:p w:rsidR="00154447" w:rsidRPr="0035204A" w:rsidRDefault="00154447" w:rsidP="00154447">
            <w:pPr>
              <w:pStyle w:val="ListParagraph"/>
              <w:numPr>
                <w:ilvl w:val="0"/>
                <w:numId w:val="10"/>
              </w:numPr>
              <w:autoSpaceDE w:val="0"/>
              <w:autoSpaceDN w:val="0"/>
              <w:adjustRightInd w:val="0"/>
              <w:jc w:val="both"/>
              <w:rPr>
                <w:rFonts w:cs="Arial"/>
                <w:sz w:val="20"/>
                <w:szCs w:val="20"/>
              </w:rPr>
            </w:pPr>
            <w:r w:rsidRPr="0035204A">
              <w:rPr>
                <w:rFonts w:cs="Arial"/>
                <w:sz w:val="20"/>
                <w:szCs w:val="20"/>
              </w:rPr>
              <w:t>LLDD</w:t>
            </w:r>
          </w:p>
          <w:p w:rsidR="00154447" w:rsidRPr="0035204A" w:rsidRDefault="00154447" w:rsidP="00154447">
            <w:pPr>
              <w:pStyle w:val="ListParagraph"/>
              <w:numPr>
                <w:ilvl w:val="0"/>
                <w:numId w:val="10"/>
              </w:numPr>
              <w:autoSpaceDE w:val="0"/>
              <w:autoSpaceDN w:val="0"/>
              <w:adjustRightInd w:val="0"/>
              <w:jc w:val="both"/>
              <w:rPr>
                <w:rFonts w:cs="Arial"/>
                <w:sz w:val="20"/>
                <w:szCs w:val="20"/>
              </w:rPr>
            </w:pPr>
            <w:r w:rsidRPr="0035204A">
              <w:rPr>
                <w:rFonts w:cs="Arial"/>
                <w:sz w:val="20"/>
                <w:szCs w:val="20"/>
              </w:rPr>
              <w:t>Teenage parents and parents-to-be</w:t>
            </w:r>
          </w:p>
          <w:p w:rsidR="00154447" w:rsidRPr="0035204A" w:rsidRDefault="00154447" w:rsidP="00154447">
            <w:pPr>
              <w:pStyle w:val="ListParagraph"/>
              <w:numPr>
                <w:ilvl w:val="0"/>
                <w:numId w:val="10"/>
              </w:numPr>
              <w:autoSpaceDE w:val="0"/>
              <w:autoSpaceDN w:val="0"/>
              <w:adjustRightInd w:val="0"/>
              <w:jc w:val="both"/>
              <w:rPr>
                <w:rFonts w:cs="Arial"/>
                <w:sz w:val="20"/>
                <w:szCs w:val="20"/>
              </w:rPr>
            </w:pPr>
            <w:r w:rsidRPr="0035204A">
              <w:rPr>
                <w:rFonts w:cs="Arial"/>
                <w:sz w:val="20"/>
                <w:szCs w:val="20"/>
              </w:rPr>
              <w:t>Young carers</w:t>
            </w:r>
          </w:p>
          <w:p w:rsidR="00154447" w:rsidRPr="0035204A" w:rsidRDefault="00154447" w:rsidP="00154447">
            <w:pPr>
              <w:pStyle w:val="ListParagraph"/>
              <w:numPr>
                <w:ilvl w:val="0"/>
                <w:numId w:val="10"/>
              </w:numPr>
              <w:autoSpaceDE w:val="0"/>
              <w:autoSpaceDN w:val="0"/>
              <w:adjustRightInd w:val="0"/>
              <w:jc w:val="both"/>
              <w:rPr>
                <w:rFonts w:cs="Arial"/>
                <w:sz w:val="20"/>
                <w:szCs w:val="20"/>
              </w:rPr>
            </w:pPr>
            <w:r w:rsidRPr="0035204A">
              <w:rPr>
                <w:rFonts w:cs="Arial"/>
                <w:sz w:val="20"/>
                <w:szCs w:val="20"/>
              </w:rPr>
              <w:t>Those in need of literacy, numeracy and ESOL training</w:t>
            </w:r>
          </w:p>
          <w:p w:rsidR="00154447" w:rsidRPr="0035204A" w:rsidRDefault="00154447" w:rsidP="00AD1C27">
            <w:pPr>
              <w:autoSpaceDE w:val="0"/>
              <w:autoSpaceDN w:val="0"/>
              <w:adjustRightInd w:val="0"/>
              <w:jc w:val="both"/>
              <w:rPr>
                <w:rFonts w:ascii="Arial" w:hAnsi="Arial" w:cs="Arial"/>
                <w:sz w:val="20"/>
                <w:szCs w:val="20"/>
              </w:rPr>
            </w:pPr>
          </w:p>
          <w:p w:rsidR="00154447" w:rsidRPr="0035204A" w:rsidRDefault="00154447" w:rsidP="00AD1C27">
            <w:pPr>
              <w:autoSpaceDE w:val="0"/>
              <w:autoSpaceDN w:val="0"/>
              <w:adjustRightInd w:val="0"/>
              <w:jc w:val="both"/>
              <w:rPr>
                <w:rFonts w:ascii="Arial" w:hAnsi="Arial" w:cs="Arial"/>
                <w:sz w:val="20"/>
                <w:szCs w:val="20"/>
              </w:rPr>
            </w:pPr>
            <w:r w:rsidRPr="0035204A">
              <w:rPr>
                <w:rFonts w:ascii="Arial" w:hAnsi="Arial" w:cs="Arial"/>
                <w:sz w:val="20"/>
                <w:szCs w:val="20"/>
              </w:rPr>
              <w:t>The characteristics of these young people suggest that they are furthest from the labour market and often experience multiple barriers to their entry to and retention in formal study and employment.</w:t>
            </w:r>
          </w:p>
          <w:p w:rsidR="00154447" w:rsidRPr="0035204A" w:rsidRDefault="00154447" w:rsidP="00AD1C27">
            <w:pPr>
              <w:autoSpaceDE w:val="0"/>
              <w:autoSpaceDN w:val="0"/>
              <w:adjustRightInd w:val="0"/>
              <w:jc w:val="both"/>
              <w:rPr>
                <w:rFonts w:ascii="Arial" w:hAnsi="Arial" w:cs="Arial"/>
                <w:sz w:val="20"/>
                <w:szCs w:val="20"/>
              </w:rPr>
            </w:pPr>
          </w:p>
          <w:p w:rsidR="00154447" w:rsidRPr="0035204A" w:rsidRDefault="00154447" w:rsidP="00AD1C27">
            <w:pPr>
              <w:autoSpaceDE w:val="0"/>
              <w:autoSpaceDN w:val="0"/>
              <w:adjustRightInd w:val="0"/>
              <w:jc w:val="both"/>
              <w:rPr>
                <w:rFonts w:ascii="Arial" w:hAnsi="Arial" w:cs="Arial"/>
                <w:sz w:val="20"/>
                <w:szCs w:val="20"/>
              </w:rPr>
            </w:pPr>
            <w:r w:rsidRPr="0035204A">
              <w:rPr>
                <w:rFonts w:ascii="Arial" w:hAnsi="Arial" w:cs="Arial"/>
                <w:b/>
                <w:sz w:val="20"/>
                <w:szCs w:val="20"/>
              </w:rPr>
              <w:t xml:space="preserve">Approach: </w:t>
            </w:r>
            <w:r w:rsidRPr="0035204A">
              <w:rPr>
                <w:rFonts w:ascii="Arial" w:hAnsi="Arial" w:cs="Arial"/>
                <w:sz w:val="20"/>
                <w:szCs w:val="20"/>
              </w:rPr>
              <w:t>Each local authority should provide a short statement on the characteristics or localities they wish to prioritise. The statement should be refreshed at the end of the funding cycle.</w:t>
            </w:r>
          </w:p>
          <w:p w:rsidR="00154447" w:rsidRPr="0035204A" w:rsidRDefault="00154447" w:rsidP="00AD1C27">
            <w:pPr>
              <w:autoSpaceDE w:val="0"/>
              <w:autoSpaceDN w:val="0"/>
              <w:adjustRightInd w:val="0"/>
              <w:jc w:val="both"/>
              <w:rPr>
                <w:rFonts w:ascii="Arial" w:hAnsi="Arial" w:cs="Arial"/>
                <w:sz w:val="20"/>
                <w:szCs w:val="20"/>
              </w:rPr>
            </w:pPr>
          </w:p>
          <w:p w:rsidR="00154447" w:rsidRPr="0035204A" w:rsidRDefault="00154447" w:rsidP="00AD1C27">
            <w:pPr>
              <w:autoSpaceDE w:val="0"/>
              <w:autoSpaceDN w:val="0"/>
              <w:adjustRightInd w:val="0"/>
              <w:jc w:val="both"/>
              <w:rPr>
                <w:rFonts w:ascii="Arial" w:hAnsi="Arial" w:cs="Arial"/>
                <w:sz w:val="20"/>
                <w:szCs w:val="20"/>
              </w:rPr>
            </w:pPr>
            <w:r w:rsidRPr="0035204A">
              <w:rPr>
                <w:rFonts w:ascii="Arial" w:hAnsi="Arial" w:cs="Arial"/>
                <w:sz w:val="20"/>
                <w:szCs w:val="20"/>
              </w:rPr>
              <w:t>There should be a single Prime Contractor for each cluster that will be required to source appropriate delivery partners to deliver the requirements for each borough. This should result in better resourced niche provision (either from specialist organisations or local Third Sector Organisations). Local authorities will then be expected to work closely with delivery partners to engage with young people and provide more co-ordinated access to services and multi-agency support. Where the young person is 18+ and is claiming benefit, the provider will engage with the relevant organisation or if it is JSA, with the relevant JCP adviser.</w:t>
            </w:r>
          </w:p>
          <w:p w:rsidR="00154447" w:rsidRPr="0035204A" w:rsidRDefault="00154447" w:rsidP="00AD1C27">
            <w:pPr>
              <w:autoSpaceDE w:val="0"/>
              <w:autoSpaceDN w:val="0"/>
              <w:adjustRightInd w:val="0"/>
              <w:jc w:val="both"/>
              <w:rPr>
                <w:rFonts w:ascii="Arial" w:hAnsi="Arial" w:cs="Arial"/>
                <w:sz w:val="20"/>
                <w:szCs w:val="20"/>
              </w:rPr>
            </w:pPr>
            <w:r w:rsidRPr="0035204A">
              <w:rPr>
                <w:rFonts w:ascii="Arial" w:hAnsi="Arial" w:cs="Arial"/>
                <w:sz w:val="20"/>
                <w:szCs w:val="20"/>
              </w:rPr>
              <w:t xml:space="preserve">Participants will be offered a programme that is carefully tailored to meet their needs and based on the achievement of a personal goal, which may mean </w:t>
            </w:r>
          </w:p>
          <w:p w:rsidR="00154447" w:rsidRPr="0035204A" w:rsidRDefault="00154447" w:rsidP="00154447">
            <w:pPr>
              <w:pStyle w:val="ListParagraph"/>
              <w:numPr>
                <w:ilvl w:val="0"/>
                <w:numId w:val="11"/>
              </w:numPr>
              <w:autoSpaceDE w:val="0"/>
              <w:autoSpaceDN w:val="0"/>
              <w:adjustRightInd w:val="0"/>
              <w:jc w:val="both"/>
              <w:rPr>
                <w:rFonts w:cs="Arial"/>
                <w:sz w:val="20"/>
                <w:szCs w:val="20"/>
              </w:rPr>
            </w:pPr>
            <w:r w:rsidRPr="0035204A">
              <w:rPr>
                <w:rFonts w:cs="Arial"/>
                <w:sz w:val="20"/>
                <w:szCs w:val="20"/>
              </w:rPr>
              <w:t>entry into an education or training course that provides the participant with the qualifications and credentials that enables subsequent progression</w:t>
            </w:r>
          </w:p>
          <w:p w:rsidR="00154447" w:rsidRPr="0035204A" w:rsidRDefault="00154447" w:rsidP="00154447">
            <w:pPr>
              <w:pStyle w:val="ListParagraph"/>
              <w:numPr>
                <w:ilvl w:val="0"/>
                <w:numId w:val="11"/>
              </w:numPr>
              <w:autoSpaceDE w:val="0"/>
              <w:autoSpaceDN w:val="0"/>
              <w:adjustRightInd w:val="0"/>
              <w:jc w:val="both"/>
              <w:rPr>
                <w:rFonts w:cs="Arial"/>
                <w:sz w:val="20"/>
                <w:szCs w:val="20"/>
              </w:rPr>
            </w:pPr>
            <w:r w:rsidRPr="0035204A">
              <w:rPr>
                <w:rFonts w:cs="Arial"/>
                <w:sz w:val="20"/>
                <w:szCs w:val="20"/>
              </w:rPr>
              <w:t>entry into a Traineeship, Apprenticeship or a job without training</w:t>
            </w:r>
          </w:p>
          <w:p w:rsidR="00154447" w:rsidRDefault="00154447" w:rsidP="00AD1C27">
            <w:pPr>
              <w:rPr>
                <w:rFonts w:ascii="Arial" w:hAnsi="Arial" w:cs="Arial"/>
                <w:sz w:val="20"/>
                <w:szCs w:val="20"/>
              </w:rPr>
            </w:pPr>
            <w:r w:rsidRPr="0035204A">
              <w:rPr>
                <w:rFonts w:ascii="Arial" w:hAnsi="Arial" w:cs="Arial"/>
                <w:sz w:val="20"/>
                <w:szCs w:val="20"/>
              </w:rPr>
              <w:t>Cluster-based networking between local authorities, Prime Contractors and delivery partners will be essential</w:t>
            </w:r>
          </w:p>
          <w:p w:rsidR="00B50BB7" w:rsidRDefault="00B50BB7" w:rsidP="00AD1C27">
            <w:pPr>
              <w:rPr>
                <w:rFonts w:ascii="Arial" w:hAnsi="Arial" w:cs="Arial"/>
                <w:sz w:val="20"/>
                <w:szCs w:val="20"/>
              </w:rPr>
            </w:pPr>
          </w:p>
          <w:p w:rsidR="00B50BB7" w:rsidRDefault="00B50BB7" w:rsidP="00AD1C27">
            <w:pPr>
              <w:rPr>
                <w:rFonts w:ascii="Arial" w:hAnsi="Arial" w:cs="Arial"/>
                <w:sz w:val="20"/>
                <w:szCs w:val="20"/>
              </w:rPr>
            </w:pPr>
          </w:p>
          <w:p w:rsidR="00B50BB7" w:rsidRDefault="00B50BB7" w:rsidP="00AD1C27">
            <w:pPr>
              <w:rPr>
                <w:rFonts w:ascii="Arial" w:hAnsi="Arial" w:cs="Arial"/>
                <w:sz w:val="20"/>
                <w:szCs w:val="20"/>
              </w:rPr>
            </w:pPr>
          </w:p>
          <w:p w:rsidR="00B50BB7" w:rsidRDefault="00B50BB7" w:rsidP="00AD1C27">
            <w:pPr>
              <w:rPr>
                <w:rFonts w:ascii="Arial" w:hAnsi="Arial" w:cs="Arial"/>
                <w:sz w:val="20"/>
                <w:szCs w:val="20"/>
              </w:rPr>
            </w:pPr>
          </w:p>
          <w:p w:rsidR="00B50BB7" w:rsidRDefault="00B50BB7" w:rsidP="00AD1C27">
            <w:pPr>
              <w:rPr>
                <w:rFonts w:ascii="Arial" w:hAnsi="Arial" w:cs="Arial"/>
                <w:sz w:val="20"/>
                <w:szCs w:val="20"/>
              </w:rPr>
            </w:pPr>
          </w:p>
          <w:p w:rsidR="00B50BB7" w:rsidRPr="0035204A" w:rsidRDefault="00B50BB7" w:rsidP="00AD1C27">
            <w:pPr>
              <w:rPr>
                <w:rFonts w:ascii="Arial" w:hAnsi="Arial" w:cs="Arial"/>
                <w:b/>
                <w:color w:val="FFFFFF" w:themeColor="background1"/>
                <w:sz w:val="20"/>
                <w:szCs w:val="20"/>
              </w:rPr>
            </w:pPr>
          </w:p>
        </w:tc>
        <w:tc>
          <w:tcPr>
            <w:tcW w:w="1276" w:type="dxa"/>
            <w:tcBorders>
              <w:bottom w:val="single" w:sz="4" w:space="0" w:color="auto"/>
            </w:tcBorders>
            <w:shd w:val="clear" w:color="auto" w:fill="FFFFFF" w:themeFill="background1"/>
          </w:tcPr>
          <w:p w:rsidR="00154447" w:rsidRDefault="00154447" w:rsidP="00AD1C27">
            <w:pPr>
              <w:jc w:val="center"/>
              <w:rPr>
                <w:rFonts w:ascii="Arial" w:hAnsi="Arial" w:cs="Arial"/>
              </w:rPr>
            </w:pPr>
            <w:r w:rsidRPr="00D1131E">
              <w:rPr>
                <w:rFonts w:ascii="Arial" w:hAnsi="Arial" w:cs="Arial"/>
              </w:rPr>
              <w:lastRenderedPageBreak/>
              <w:t>GLA: Delivery Unit</w:t>
            </w:r>
          </w:p>
          <w:p w:rsidR="00154447" w:rsidRPr="00D1131E" w:rsidRDefault="00154447" w:rsidP="00AD1C27">
            <w:pPr>
              <w:jc w:val="center"/>
              <w:rPr>
                <w:rFonts w:ascii="Arial" w:hAnsi="Arial" w:cs="Arial"/>
              </w:rPr>
            </w:pPr>
          </w:p>
        </w:tc>
      </w:tr>
      <w:tr w:rsidR="00B50BB7" w:rsidRPr="00D1131E" w:rsidTr="00A718BF">
        <w:tc>
          <w:tcPr>
            <w:tcW w:w="392" w:type="dxa"/>
            <w:vMerge w:val="restart"/>
          </w:tcPr>
          <w:p w:rsidR="00B50BB7" w:rsidRPr="00D1131E" w:rsidRDefault="00B50BB7" w:rsidP="00AD1C27">
            <w:pPr>
              <w:jc w:val="center"/>
              <w:rPr>
                <w:rFonts w:ascii="Arial" w:hAnsi="Arial" w:cs="Arial"/>
              </w:rPr>
            </w:pPr>
            <w:r>
              <w:rPr>
                <w:rFonts w:ascii="Arial" w:hAnsi="Arial" w:cs="Arial"/>
              </w:rPr>
              <w:lastRenderedPageBreak/>
              <w:t>4</w:t>
            </w:r>
          </w:p>
        </w:tc>
        <w:tc>
          <w:tcPr>
            <w:tcW w:w="1559" w:type="dxa"/>
            <w:vMerge w:val="restart"/>
          </w:tcPr>
          <w:p w:rsidR="00B50BB7" w:rsidRDefault="00B50BB7" w:rsidP="00AD1C27">
            <w:pPr>
              <w:jc w:val="center"/>
              <w:rPr>
                <w:rFonts w:ascii="Arial" w:hAnsi="Arial" w:cs="Arial"/>
              </w:rPr>
            </w:pPr>
            <w:r w:rsidRPr="00D1131E">
              <w:rPr>
                <w:rFonts w:ascii="Arial" w:hAnsi="Arial" w:cs="Arial"/>
              </w:rPr>
              <w:t xml:space="preserve">Enhancing the London </w:t>
            </w:r>
            <w:r w:rsidRPr="00D1131E">
              <w:rPr>
                <w:rFonts w:ascii="Arial" w:hAnsi="Arial" w:cs="Arial"/>
              </w:rPr>
              <w:lastRenderedPageBreak/>
              <w:t>Careers Offer</w:t>
            </w:r>
          </w:p>
          <w:p w:rsidR="00B50BB7" w:rsidRDefault="00B50BB7" w:rsidP="00AD1C27">
            <w:pPr>
              <w:jc w:val="center"/>
              <w:rPr>
                <w:rFonts w:ascii="Arial" w:hAnsi="Arial" w:cs="Arial"/>
              </w:rPr>
            </w:pPr>
          </w:p>
          <w:p w:rsidR="00B50BB7" w:rsidRDefault="00B50BB7" w:rsidP="00AD1C27">
            <w:pPr>
              <w:jc w:val="center"/>
              <w:rPr>
                <w:rFonts w:ascii="Arial" w:hAnsi="Arial" w:cs="Arial"/>
              </w:rPr>
            </w:pPr>
          </w:p>
          <w:p w:rsidR="00B50BB7" w:rsidRDefault="00B50BB7" w:rsidP="00AD1C27">
            <w:pPr>
              <w:jc w:val="center"/>
              <w:rPr>
                <w:rFonts w:ascii="Arial" w:hAnsi="Arial" w:cs="Arial"/>
              </w:rPr>
            </w:pPr>
          </w:p>
          <w:p w:rsidR="00B50BB7" w:rsidRDefault="00B50BB7" w:rsidP="00AD1C27">
            <w:pPr>
              <w:jc w:val="center"/>
              <w:rPr>
                <w:rFonts w:ascii="Arial" w:hAnsi="Arial" w:cs="Arial"/>
              </w:rPr>
            </w:pPr>
          </w:p>
          <w:p w:rsidR="00B50BB7" w:rsidRDefault="00B50BB7" w:rsidP="00AD1C27">
            <w:pPr>
              <w:jc w:val="center"/>
              <w:rPr>
                <w:rFonts w:ascii="Arial" w:hAnsi="Arial" w:cs="Arial"/>
              </w:rPr>
            </w:pPr>
          </w:p>
          <w:p w:rsidR="00B50BB7" w:rsidRDefault="00B50BB7" w:rsidP="00AD1C27">
            <w:pPr>
              <w:jc w:val="center"/>
              <w:rPr>
                <w:rFonts w:ascii="Arial" w:hAnsi="Arial" w:cs="Arial"/>
              </w:rPr>
            </w:pPr>
          </w:p>
          <w:p w:rsidR="00B50BB7" w:rsidRDefault="00B50BB7" w:rsidP="00AD1C27">
            <w:pPr>
              <w:jc w:val="center"/>
              <w:rPr>
                <w:rFonts w:ascii="Arial" w:hAnsi="Arial" w:cs="Arial"/>
              </w:rPr>
            </w:pPr>
          </w:p>
          <w:p w:rsidR="00B50BB7" w:rsidRDefault="00B50BB7" w:rsidP="00AD1C27">
            <w:pPr>
              <w:jc w:val="center"/>
              <w:rPr>
                <w:rFonts w:ascii="Arial" w:hAnsi="Arial" w:cs="Arial"/>
              </w:rPr>
            </w:pPr>
          </w:p>
          <w:p w:rsidR="00B50BB7" w:rsidRDefault="00B50BB7" w:rsidP="00AD1C27">
            <w:pPr>
              <w:jc w:val="center"/>
              <w:rPr>
                <w:rFonts w:ascii="Arial" w:hAnsi="Arial" w:cs="Arial"/>
              </w:rPr>
            </w:pPr>
          </w:p>
          <w:p w:rsidR="00B50BB7" w:rsidRDefault="00B50BB7" w:rsidP="00AD1C27">
            <w:pPr>
              <w:jc w:val="center"/>
              <w:rPr>
                <w:rFonts w:ascii="Arial" w:hAnsi="Arial" w:cs="Arial"/>
              </w:rPr>
            </w:pPr>
          </w:p>
          <w:p w:rsidR="00B50BB7" w:rsidRDefault="00B50BB7" w:rsidP="00AD1C27">
            <w:pPr>
              <w:jc w:val="center"/>
              <w:rPr>
                <w:rFonts w:ascii="Arial" w:hAnsi="Arial" w:cs="Arial"/>
              </w:rPr>
            </w:pPr>
          </w:p>
          <w:p w:rsidR="00B50BB7" w:rsidRDefault="00B50BB7" w:rsidP="00AD1C27">
            <w:pPr>
              <w:jc w:val="center"/>
              <w:rPr>
                <w:rFonts w:ascii="Arial" w:hAnsi="Arial" w:cs="Arial"/>
              </w:rPr>
            </w:pPr>
          </w:p>
          <w:p w:rsidR="00B50BB7" w:rsidRDefault="00B50BB7" w:rsidP="00AD1C27">
            <w:pPr>
              <w:jc w:val="center"/>
              <w:rPr>
                <w:rFonts w:ascii="Arial" w:hAnsi="Arial" w:cs="Arial"/>
              </w:rPr>
            </w:pPr>
          </w:p>
          <w:p w:rsidR="00B50BB7" w:rsidRDefault="00B50BB7" w:rsidP="00AD1C27">
            <w:pPr>
              <w:jc w:val="center"/>
              <w:rPr>
                <w:rFonts w:ascii="Arial" w:hAnsi="Arial" w:cs="Arial"/>
              </w:rPr>
            </w:pPr>
          </w:p>
          <w:p w:rsidR="00B50BB7" w:rsidRDefault="00B50BB7" w:rsidP="00AD1C27">
            <w:pPr>
              <w:jc w:val="center"/>
              <w:rPr>
                <w:rFonts w:ascii="Arial" w:hAnsi="Arial" w:cs="Arial"/>
              </w:rPr>
            </w:pPr>
          </w:p>
          <w:p w:rsidR="00B50BB7" w:rsidRDefault="00B50BB7" w:rsidP="00AD1C27">
            <w:pPr>
              <w:jc w:val="center"/>
              <w:rPr>
                <w:rFonts w:ascii="Arial" w:hAnsi="Arial" w:cs="Arial"/>
              </w:rPr>
            </w:pPr>
          </w:p>
          <w:p w:rsidR="00B50BB7" w:rsidRDefault="00B50BB7" w:rsidP="00AD1C27">
            <w:pPr>
              <w:jc w:val="center"/>
              <w:rPr>
                <w:rFonts w:ascii="Arial" w:hAnsi="Arial" w:cs="Arial"/>
              </w:rPr>
            </w:pPr>
          </w:p>
          <w:p w:rsidR="00B50BB7" w:rsidRDefault="00B50BB7" w:rsidP="00AD1C27">
            <w:pPr>
              <w:jc w:val="center"/>
              <w:rPr>
                <w:rFonts w:ascii="Arial" w:hAnsi="Arial" w:cs="Arial"/>
              </w:rPr>
            </w:pPr>
          </w:p>
          <w:p w:rsidR="00B50BB7" w:rsidRPr="00D1131E" w:rsidRDefault="00B50BB7" w:rsidP="00AD1C27">
            <w:pPr>
              <w:jc w:val="center"/>
              <w:rPr>
                <w:rFonts w:ascii="Arial" w:hAnsi="Arial" w:cs="Arial"/>
              </w:rPr>
            </w:pPr>
          </w:p>
        </w:tc>
        <w:tc>
          <w:tcPr>
            <w:tcW w:w="1985" w:type="dxa"/>
            <w:tcBorders>
              <w:bottom w:val="dashed" w:sz="4" w:space="0" w:color="auto"/>
            </w:tcBorders>
            <w:shd w:val="clear" w:color="auto" w:fill="FFFFFF" w:themeFill="background1"/>
          </w:tcPr>
          <w:p w:rsidR="00B50BB7" w:rsidRPr="003E4C2B" w:rsidRDefault="00B50BB7" w:rsidP="00AD1C27">
            <w:pPr>
              <w:jc w:val="center"/>
              <w:rPr>
                <w:rFonts w:ascii="Arial" w:hAnsi="Arial" w:cs="Arial"/>
              </w:rPr>
            </w:pPr>
            <w:r w:rsidRPr="003E4C2B">
              <w:rPr>
                <w:rFonts w:ascii="Arial" w:hAnsi="Arial" w:cs="Arial"/>
              </w:rPr>
              <w:lastRenderedPageBreak/>
              <w:t>i)</w:t>
            </w:r>
            <w:r>
              <w:rPr>
                <w:rFonts w:ascii="Arial" w:hAnsi="Arial" w:cs="Arial"/>
              </w:rPr>
              <w:t xml:space="preserve"> </w:t>
            </w:r>
            <w:r w:rsidRPr="003E4C2B">
              <w:rPr>
                <w:rFonts w:ascii="Arial" w:hAnsi="Arial" w:cs="Arial"/>
              </w:rPr>
              <w:t xml:space="preserve">Building the capacity of </w:t>
            </w:r>
            <w:r w:rsidRPr="003E4C2B">
              <w:rPr>
                <w:rFonts w:ascii="Arial" w:hAnsi="Arial" w:cs="Arial"/>
              </w:rPr>
              <w:lastRenderedPageBreak/>
              <w:t>organisations to offer guidance</w:t>
            </w:r>
            <w:r>
              <w:rPr>
                <w:rStyle w:val="FootnoteReference"/>
                <w:rFonts w:ascii="Arial" w:hAnsi="Arial" w:cs="Arial"/>
              </w:rPr>
              <w:footnoteReference w:id="1"/>
            </w:r>
          </w:p>
          <w:p w:rsidR="00B50BB7" w:rsidRDefault="00B50BB7" w:rsidP="00AD1C27">
            <w:pPr>
              <w:jc w:val="center"/>
              <w:rPr>
                <w:rFonts w:ascii="Arial" w:hAnsi="Arial" w:cs="Arial"/>
              </w:rPr>
            </w:pPr>
          </w:p>
          <w:p w:rsidR="00B50BB7" w:rsidRDefault="00B50BB7" w:rsidP="00AD1C27">
            <w:pPr>
              <w:jc w:val="center"/>
              <w:rPr>
                <w:rFonts w:ascii="Arial" w:hAnsi="Arial" w:cs="Arial"/>
              </w:rPr>
            </w:pPr>
          </w:p>
          <w:p w:rsidR="00B50BB7" w:rsidRDefault="00B50BB7" w:rsidP="00AD1C27">
            <w:pPr>
              <w:jc w:val="center"/>
              <w:rPr>
                <w:rFonts w:ascii="Arial" w:hAnsi="Arial" w:cs="Arial"/>
              </w:rPr>
            </w:pPr>
          </w:p>
          <w:p w:rsidR="00B50BB7" w:rsidRPr="00D1131E" w:rsidRDefault="00B50BB7" w:rsidP="00AD1C27">
            <w:pPr>
              <w:jc w:val="center"/>
              <w:rPr>
                <w:rFonts w:ascii="Arial" w:hAnsi="Arial" w:cs="Arial"/>
              </w:rPr>
            </w:pPr>
          </w:p>
        </w:tc>
        <w:tc>
          <w:tcPr>
            <w:tcW w:w="9780" w:type="dxa"/>
            <w:tcBorders>
              <w:bottom w:val="dashed" w:sz="4" w:space="0" w:color="auto"/>
            </w:tcBorders>
            <w:shd w:val="clear" w:color="auto" w:fill="FFFFFF" w:themeFill="background1"/>
          </w:tcPr>
          <w:p w:rsidR="00B50BB7" w:rsidRPr="0035204A" w:rsidRDefault="00B50BB7" w:rsidP="00AD1C27">
            <w:pPr>
              <w:autoSpaceDE w:val="0"/>
              <w:autoSpaceDN w:val="0"/>
              <w:adjustRightInd w:val="0"/>
              <w:jc w:val="both"/>
              <w:rPr>
                <w:rFonts w:ascii="Arial" w:hAnsi="Arial" w:cs="Arial"/>
                <w:b/>
                <w:sz w:val="20"/>
                <w:szCs w:val="20"/>
              </w:rPr>
            </w:pPr>
            <w:r w:rsidRPr="0035204A">
              <w:rPr>
                <w:rFonts w:ascii="Arial" w:hAnsi="Arial" w:cs="Arial"/>
                <w:b/>
                <w:sz w:val="20"/>
                <w:szCs w:val="20"/>
              </w:rPr>
              <w:lastRenderedPageBreak/>
              <w:t>Approach:</w:t>
            </w:r>
          </w:p>
          <w:p w:rsidR="00B50BB7" w:rsidRPr="0035204A" w:rsidRDefault="00B50BB7" w:rsidP="00586347">
            <w:pPr>
              <w:numPr>
                <w:ilvl w:val="0"/>
                <w:numId w:val="5"/>
              </w:numPr>
              <w:autoSpaceDE w:val="0"/>
              <w:autoSpaceDN w:val="0"/>
              <w:adjustRightInd w:val="0"/>
              <w:jc w:val="both"/>
              <w:rPr>
                <w:rFonts w:ascii="Arial" w:hAnsi="Arial" w:cs="Arial"/>
                <w:sz w:val="20"/>
                <w:szCs w:val="20"/>
              </w:rPr>
            </w:pPr>
            <w:r w:rsidRPr="0035204A">
              <w:rPr>
                <w:rFonts w:ascii="Arial" w:hAnsi="Arial" w:cs="Arial"/>
                <w:sz w:val="20"/>
                <w:szCs w:val="20"/>
              </w:rPr>
              <w:t xml:space="preserve">Establish cluster-based networks who will identify and disseminate effective and innovative practice in schools and </w:t>
            </w:r>
            <w:proofErr w:type="gramStart"/>
            <w:r w:rsidRPr="0035204A">
              <w:rPr>
                <w:rFonts w:ascii="Arial" w:hAnsi="Arial" w:cs="Arial"/>
                <w:sz w:val="20"/>
                <w:szCs w:val="20"/>
              </w:rPr>
              <w:t>colleges that adds</w:t>
            </w:r>
            <w:proofErr w:type="gramEnd"/>
            <w:r w:rsidRPr="0035204A">
              <w:rPr>
                <w:rFonts w:ascii="Arial" w:hAnsi="Arial" w:cs="Arial"/>
                <w:sz w:val="20"/>
                <w:szCs w:val="20"/>
              </w:rPr>
              <w:t xml:space="preserve"> value to young people; supports them particularly at key transition </w:t>
            </w:r>
            <w:r w:rsidRPr="0035204A">
              <w:rPr>
                <w:rFonts w:ascii="Arial" w:hAnsi="Arial" w:cs="Arial"/>
                <w:sz w:val="20"/>
                <w:szCs w:val="20"/>
              </w:rPr>
              <w:lastRenderedPageBreak/>
              <w:t xml:space="preserve">points; and secures retention and progression. </w:t>
            </w:r>
          </w:p>
          <w:p w:rsidR="00B50BB7" w:rsidRPr="0035204A" w:rsidRDefault="00B50BB7" w:rsidP="00586347">
            <w:pPr>
              <w:numPr>
                <w:ilvl w:val="0"/>
                <w:numId w:val="5"/>
              </w:numPr>
              <w:autoSpaceDE w:val="0"/>
              <w:autoSpaceDN w:val="0"/>
              <w:adjustRightInd w:val="0"/>
              <w:jc w:val="both"/>
              <w:rPr>
                <w:rFonts w:ascii="Arial" w:hAnsi="Arial" w:cs="Arial"/>
                <w:sz w:val="20"/>
                <w:szCs w:val="20"/>
              </w:rPr>
            </w:pPr>
            <w:r w:rsidRPr="0035204A">
              <w:rPr>
                <w:rFonts w:ascii="Arial" w:hAnsi="Arial" w:cs="Arial"/>
                <w:sz w:val="20"/>
                <w:szCs w:val="20"/>
              </w:rPr>
              <w:t xml:space="preserve">Identify and disseminate effective practice in engaging businesses and parents in helping young people plan their future. </w:t>
            </w:r>
          </w:p>
          <w:p w:rsidR="00B50BB7" w:rsidRDefault="00B50BB7" w:rsidP="00586347">
            <w:pPr>
              <w:numPr>
                <w:ilvl w:val="0"/>
                <w:numId w:val="5"/>
              </w:numPr>
              <w:autoSpaceDE w:val="0"/>
              <w:autoSpaceDN w:val="0"/>
              <w:adjustRightInd w:val="0"/>
              <w:jc w:val="both"/>
              <w:rPr>
                <w:rFonts w:ascii="Arial" w:hAnsi="Arial" w:cs="Arial"/>
                <w:sz w:val="20"/>
                <w:szCs w:val="20"/>
              </w:rPr>
            </w:pPr>
            <w:r w:rsidRPr="0035204A">
              <w:rPr>
                <w:rFonts w:ascii="Arial" w:hAnsi="Arial" w:cs="Arial"/>
                <w:sz w:val="20"/>
                <w:szCs w:val="20"/>
              </w:rPr>
              <w:t>Provide school / college staff in each cluster area with information and professional support and facilitate collaborative working, employer engagement and links to Further and Higher Education.</w:t>
            </w:r>
          </w:p>
          <w:p w:rsidR="00586347" w:rsidRPr="0035204A" w:rsidRDefault="00586347" w:rsidP="00586347">
            <w:pPr>
              <w:pStyle w:val="ListParagraph"/>
              <w:numPr>
                <w:ilvl w:val="0"/>
                <w:numId w:val="5"/>
              </w:numPr>
              <w:rPr>
                <w:rFonts w:cs="Arial"/>
                <w:sz w:val="20"/>
                <w:szCs w:val="20"/>
              </w:rPr>
            </w:pPr>
            <w:r w:rsidRPr="0035204A">
              <w:rPr>
                <w:rFonts w:cs="Arial"/>
                <w:sz w:val="20"/>
                <w:szCs w:val="20"/>
              </w:rPr>
              <w:t>Improve teachers’ and parents’ awareness of the benefits of Apprenticeships to young people [via the cluster based networks]</w:t>
            </w:r>
          </w:p>
          <w:p w:rsidR="00586347" w:rsidRPr="0035204A" w:rsidRDefault="00586347" w:rsidP="00586347">
            <w:pPr>
              <w:autoSpaceDE w:val="0"/>
              <w:autoSpaceDN w:val="0"/>
              <w:adjustRightInd w:val="0"/>
              <w:ind w:left="360"/>
              <w:jc w:val="both"/>
              <w:rPr>
                <w:rFonts w:ascii="Arial" w:hAnsi="Arial" w:cs="Arial"/>
                <w:sz w:val="20"/>
                <w:szCs w:val="20"/>
              </w:rPr>
            </w:pPr>
          </w:p>
          <w:p w:rsidR="00B50BB7" w:rsidRPr="0035204A" w:rsidRDefault="00B50BB7" w:rsidP="00AD1C27">
            <w:pPr>
              <w:autoSpaceDE w:val="0"/>
              <w:autoSpaceDN w:val="0"/>
              <w:adjustRightInd w:val="0"/>
              <w:jc w:val="both"/>
              <w:rPr>
                <w:rFonts w:ascii="Arial" w:hAnsi="Arial" w:cs="Arial"/>
                <w:sz w:val="20"/>
                <w:szCs w:val="20"/>
              </w:rPr>
            </w:pPr>
          </w:p>
        </w:tc>
        <w:tc>
          <w:tcPr>
            <w:tcW w:w="1276" w:type="dxa"/>
            <w:tcBorders>
              <w:bottom w:val="dashed" w:sz="4" w:space="0" w:color="auto"/>
            </w:tcBorders>
            <w:shd w:val="clear" w:color="auto" w:fill="FFFFFF" w:themeFill="background1"/>
          </w:tcPr>
          <w:p w:rsidR="00B50BB7" w:rsidRDefault="00B50BB7" w:rsidP="00AD1C27">
            <w:pPr>
              <w:jc w:val="center"/>
              <w:rPr>
                <w:rFonts w:ascii="Arial" w:hAnsi="Arial" w:cs="Arial"/>
              </w:rPr>
            </w:pPr>
            <w:r w:rsidRPr="00D1131E">
              <w:rPr>
                <w:rFonts w:ascii="Arial" w:hAnsi="Arial" w:cs="Arial"/>
              </w:rPr>
              <w:lastRenderedPageBreak/>
              <w:t xml:space="preserve">GLA: Education </w:t>
            </w:r>
            <w:r w:rsidRPr="00D1131E">
              <w:rPr>
                <w:rFonts w:ascii="Arial" w:hAnsi="Arial" w:cs="Arial"/>
              </w:rPr>
              <w:lastRenderedPageBreak/>
              <w:t>and Youth</w:t>
            </w:r>
          </w:p>
          <w:p w:rsidR="00A718BF" w:rsidRDefault="00A718BF" w:rsidP="00AD1C27">
            <w:pPr>
              <w:jc w:val="center"/>
              <w:rPr>
                <w:rFonts w:ascii="Arial" w:hAnsi="Arial" w:cs="Arial"/>
              </w:rPr>
            </w:pPr>
          </w:p>
          <w:p w:rsidR="00B50BB7" w:rsidRDefault="00B50BB7" w:rsidP="00AD1C27">
            <w:pPr>
              <w:jc w:val="center"/>
              <w:rPr>
                <w:rFonts w:ascii="Arial" w:hAnsi="Arial" w:cs="Arial"/>
              </w:rPr>
            </w:pPr>
            <w:r>
              <w:rPr>
                <w:rFonts w:ascii="Arial" w:hAnsi="Arial" w:cs="Arial"/>
              </w:rPr>
              <w:t>w/ London Councils</w:t>
            </w:r>
          </w:p>
          <w:p w:rsidR="00B50BB7" w:rsidRPr="00D1131E" w:rsidRDefault="00B50BB7" w:rsidP="00AD1C27">
            <w:pPr>
              <w:jc w:val="center"/>
              <w:rPr>
                <w:rFonts w:ascii="Arial" w:hAnsi="Arial" w:cs="Arial"/>
              </w:rPr>
            </w:pPr>
          </w:p>
        </w:tc>
      </w:tr>
      <w:tr w:rsidR="00A718BF" w:rsidRPr="00D1131E" w:rsidTr="00A718BF">
        <w:tc>
          <w:tcPr>
            <w:tcW w:w="392" w:type="dxa"/>
            <w:vMerge/>
          </w:tcPr>
          <w:p w:rsidR="00A718BF" w:rsidRDefault="00A718BF" w:rsidP="00AD1C27">
            <w:pPr>
              <w:jc w:val="center"/>
              <w:rPr>
                <w:rFonts w:ascii="Arial" w:hAnsi="Arial" w:cs="Arial"/>
              </w:rPr>
            </w:pPr>
          </w:p>
        </w:tc>
        <w:tc>
          <w:tcPr>
            <w:tcW w:w="1559" w:type="dxa"/>
            <w:vMerge/>
          </w:tcPr>
          <w:p w:rsidR="00A718BF" w:rsidRPr="00D1131E" w:rsidRDefault="00A718BF" w:rsidP="00AD1C27">
            <w:pPr>
              <w:jc w:val="center"/>
              <w:rPr>
                <w:rFonts w:ascii="Arial" w:hAnsi="Arial" w:cs="Arial"/>
              </w:rPr>
            </w:pPr>
          </w:p>
        </w:tc>
        <w:tc>
          <w:tcPr>
            <w:tcW w:w="1985" w:type="dxa"/>
            <w:tcBorders>
              <w:top w:val="dashed" w:sz="4" w:space="0" w:color="auto"/>
              <w:bottom w:val="single" w:sz="4" w:space="0" w:color="auto"/>
            </w:tcBorders>
            <w:shd w:val="clear" w:color="auto" w:fill="FFFFFF" w:themeFill="background1"/>
          </w:tcPr>
          <w:p w:rsidR="00A718BF" w:rsidRPr="003E4C2B" w:rsidRDefault="00A718BF" w:rsidP="00643A15">
            <w:pPr>
              <w:jc w:val="center"/>
              <w:rPr>
                <w:rFonts w:ascii="Arial" w:hAnsi="Arial" w:cs="Arial"/>
              </w:rPr>
            </w:pPr>
            <w:r>
              <w:rPr>
                <w:rFonts w:ascii="Arial" w:hAnsi="Arial" w:cs="Arial"/>
              </w:rPr>
              <w:t xml:space="preserve">ii) </w:t>
            </w:r>
            <w:r w:rsidRPr="003C4C4C">
              <w:rPr>
                <w:rFonts w:ascii="Arial" w:hAnsi="Arial" w:cs="Arial"/>
              </w:rPr>
              <w:t>Recognition of employability skills and potential</w:t>
            </w:r>
            <w:r>
              <w:rPr>
                <w:rFonts w:ascii="Arial" w:hAnsi="Arial" w:cs="Arial"/>
                <w:vertAlign w:val="superscript"/>
              </w:rPr>
              <w:t>2</w:t>
            </w:r>
          </w:p>
        </w:tc>
        <w:tc>
          <w:tcPr>
            <w:tcW w:w="9780" w:type="dxa"/>
            <w:tcBorders>
              <w:top w:val="dashed" w:sz="4" w:space="0" w:color="auto"/>
              <w:bottom w:val="single" w:sz="4" w:space="0" w:color="auto"/>
            </w:tcBorders>
            <w:shd w:val="clear" w:color="auto" w:fill="FFFFFF" w:themeFill="background1"/>
          </w:tcPr>
          <w:p w:rsidR="00A718BF" w:rsidRPr="0035204A" w:rsidRDefault="00A718BF" w:rsidP="00AD1C27">
            <w:pPr>
              <w:autoSpaceDE w:val="0"/>
              <w:autoSpaceDN w:val="0"/>
              <w:adjustRightInd w:val="0"/>
              <w:rPr>
                <w:rFonts w:ascii="Arial" w:hAnsi="Arial" w:cs="Arial"/>
                <w:sz w:val="20"/>
                <w:szCs w:val="20"/>
              </w:rPr>
            </w:pPr>
            <w:r w:rsidRPr="0035204A">
              <w:rPr>
                <w:rFonts w:ascii="Arial" w:hAnsi="Arial" w:cs="Arial"/>
                <w:b/>
                <w:sz w:val="20"/>
                <w:szCs w:val="20"/>
              </w:rPr>
              <w:t xml:space="preserve">Approach: </w:t>
            </w:r>
            <w:r w:rsidRPr="0035204A">
              <w:rPr>
                <w:rFonts w:ascii="Arial" w:hAnsi="Arial" w:cs="Arial"/>
                <w:sz w:val="20"/>
                <w:szCs w:val="20"/>
              </w:rPr>
              <w:t xml:space="preserve">There are several borough-based employability initiatives being trialled and the common elements of their design could be better incorporated into a Pan-London Employability Framework (delivered by local, cross-borough or cluster-based initiatives) </w:t>
            </w:r>
          </w:p>
          <w:p w:rsidR="00A718BF" w:rsidRPr="0035204A" w:rsidRDefault="00A718BF" w:rsidP="00AD1C27">
            <w:pPr>
              <w:autoSpaceDE w:val="0"/>
              <w:autoSpaceDN w:val="0"/>
              <w:adjustRightInd w:val="0"/>
              <w:jc w:val="both"/>
              <w:rPr>
                <w:rFonts w:ascii="Arial" w:hAnsi="Arial" w:cs="Arial"/>
                <w:b/>
                <w:sz w:val="20"/>
                <w:szCs w:val="20"/>
              </w:rPr>
            </w:pPr>
          </w:p>
        </w:tc>
        <w:tc>
          <w:tcPr>
            <w:tcW w:w="1276" w:type="dxa"/>
            <w:tcBorders>
              <w:top w:val="dashed" w:sz="4" w:space="0" w:color="auto"/>
              <w:bottom w:val="single" w:sz="4" w:space="0" w:color="auto"/>
            </w:tcBorders>
            <w:shd w:val="clear" w:color="auto" w:fill="FFFFFF" w:themeFill="background1"/>
          </w:tcPr>
          <w:p w:rsidR="00A718BF" w:rsidRDefault="00A718BF" w:rsidP="002E5755">
            <w:pPr>
              <w:jc w:val="center"/>
              <w:rPr>
                <w:rFonts w:ascii="Arial" w:hAnsi="Arial" w:cs="Arial"/>
              </w:rPr>
            </w:pPr>
            <w:r w:rsidRPr="00D1131E">
              <w:rPr>
                <w:rFonts w:ascii="Arial" w:hAnsi="Arial" w:cs="Arial"/>
              </w:rPr>
              <w:t>LC: YPES</w:t>
            </w:r>
          </w:p>
          <w:p w:rsidR="00A718BF" w:rsidRPr="00D1131E" w:rsidRDefault="00A718BF" w:rsidP="002E5755">
            <w:pPr>
              <w:jc w:val="center"/>
              <w:rPr>
                <w:rFonts w:ascii="Arial" w:hAnsi="Arial" w:cs="Arial"/>
              </w:rPr>
            </w:pPr>
          </w:p>
        </w:tc>
      </w:tr>
      <w:tr w:rsidR="00A718BF" w:rsidRPr="00D1131E" w:rsidTr="00B50BB7">
        <w:tc>
          <w:tcPr>
            <w:tcW w:w="392" w:type="dxa"/>
            <w:vMerge/>
          </w:tcPr>
          <w:p w:rsidR="00A718BF" w:rsidRPr="00D1131E" w:rsidRDefault="00A718BF" w:rsidP="00AD1C27">
            <w:pPr>
              <w:jc w:val="center"/>
              <w:rPr>
                <w:rFonts w:ascii="Arial" w:hAnsi="Arial" w:cs="Arial"/>
              </w:rPr>
            </w:pPr>
          </w:p>
        </w:tc>
        <w:tc>
          <w:tcPr>
            <w:tcW w:w="1559" w:type="dxa"/>
            <w:vMerge/>
          </w:tcPr>
          <w:p w:rsidR="00A718BF" w:rsidRPr="00D1131E" w:rsidRDefault="00A718BF" w:rsidP="00AD1C27">
            <w:pPr>
              <w:jc w:val="center"/>
              <w:rPr>
                <w:rFonts w:ascii="Arial" w:hAnsi="Arial" w:cs="Arial"/>
              </w:rPr>
            </w:pPr>
          </w:p>
        </w:tc>
        <w:tc>
          <w:tcPr>
            <w:tcW w:w="1985" w:type="dxa"/>
            <w:tcBorders>
              <w:bottom w:val="single" w:sz="4" w:space="0" w:color="auto"/>
            </w:tcBorders>
            <w:shd w:val="clear" w:color="auto" w:fill="FFFFFF" w:themeFill="background1"/>
          </w:tcPr>
          <w:p w:rsidR="00A718BF" w:rsidRPr="00D1131E" w:rsidRDefault="00A718BF" w:rsidP="00643A15">
            <w:pPr>
              <w:jc w:val="center"/>
              <w:rPr>
                <w:rFonts w:ascii="Arial" w:hAnsi="Arial" w:cs="Arial"/>
              </w:rPr>
            </w:pPr>
            <w:r>
              <w:rPr>
                <w:rFonts w:ascii="Arial" w:hAnsi="Arial" w:cs="Arial"/>
              </w:rPr>
              <w:t>iii) Face-to-face guidance</w:t>
            </w:r>
          </w:p>
        </w:tc>
        <w:tc>
          <w:tcPr>
            <w:tcW w:w="9780" w:type="dxa"/>
            <w:tcBorders>
              <w:bottom w:val="single" w:sz="4" w:space="0" w:color="auto"/>
            </w:tcBorders>
            <w:shd w:val="clear" w:color="auto" w:fill="FFFFFF" w:themeFill="background1"/>
          </w:tcPr>
          <w:p w:rsidR="00A718BF" w:rsidRPr="0035204A" w:rsidRDefault="00A718BF" w:rsidP="00AD1C27">
            <w:pPr>
              <w:autoSpaceDE w:val="0"/>
              <w:autoSpaceDN w:val="0"/>
              <w:adjustRightInd w:val="0"/>
              <w:spacing w:after="120"/>
              <w:jc w:val="both"/>
              <w:rPr>
                <w:rFonts w:ascii="Arial" w:hAnsi="Arial" w:cs="Arial"/>
                <w:sz w:val="20"/>
                <w:szCs w:val="20"/>
              </w:rPr>
            </w:pPr>
            <w:r w:rsidRPr="0035204A">
              <w:rPr>
                <w:rFonts w:ascii="Arial" w:hAnsi="Arial" w:cs="Arial"/>
                <w:b/>
                <w:sz w:val="20"/>
                <w:szCs w:val="20"/>
              </w:rPr>
              <w:t>Eligibility / Target Group</w:t>
            </w:r>
            <w:r w:rsidRPr="0035204A">
              <w:rPr>
                <w:rFonts w:ascii="Arial" w:hAnsi="Arial" w:cs="Arial"/>
                <w:sz w:val="20"/>
                <w:szCs w:val="20"/>
                <w:u w:val="single"/>
              </w:rPr>
              <w:t>:</w:t>
            </w:r>
            <w:r w:rsidRPr="0035204A">
              <w:rPr>
                <w:rFonts w:ascii="Arial" w:hAnsi="Arial" w:cs="Arial"/>
                <w:sz w:val="20"/>
                <w:szCs w:val="20"/>
              </w:rPr>
              <w:t xml:space="preserve"> all young people in London aged 15-24.</w:t>
            </w:r>
          </w:p>
          <w:p w:rsidR="00A718BF" w:rsidRPr="0035204A" w:rsidRDefault="00A718BF" w:rsidP="00AD1C27">
            <w:pPr>
              <w:autoSpaceDE w:val="0"/>
              <w:autoSpaceDN w:val="0"/>
              <w:adjustRightInd w:val="0"/>
              <w:jc w:val="both"/>
              <w:rPr>
                <w:rFonts w:ascii="Arial" w:hAnsi="Arial" w:cs="Arial"/>
                <w:b/>
                <w:sz w:val="20"/>
                <w:szCs w:val="20"/>
              </w:rPr>
            </w:pPr>
            <w:r w:rsidRPr="0035204A">
              <w:rPr>
                <w:rFonts w:ascii="Arial" w:hAnsi="Arial" w:cs="Arial"/>
                <w:b/>
                <w:sz w:val="20"/>
                <w:szCs w:val="20"/>
              </w:rPr>
              <w:t>Approach:</w:t>
            </w:r>
          </w:p>
          <w:p w:rsidR="00A718BF" w:rsidRPr="0035204A" w:rsidRDefault="00A718BF" w:rsidP="00154447">
            <w:pPr>
              <w:numPr>
                <w:ilvl w:val="0"/>
                <w:numId w:val="4"/>
              </w:numPr>
              <w:autoSpaceDE w:val="0"/>
              <w:autoSpaceDN w:val="0"/>
              <w:adjustRightInd w:val="0"/>
              <w:jc w:val="both"/>
              <w:rPr>
                <w:rFonts w:ascii="Arial" w:hAnsi="Arial" w:cs="Arial"/>
                <w:sz w:val="20"/>
                <w:szCs w:val="20"/>
              </w:rPr>
            </w:pPr>
            <w:r w:rsidRPr="0035204A">
              <w:rPr>
                <w:rFonts w:ascii="Arial" w:hAnsi="Arial" w:cs="Arial"/>
                <w:sz w:val="20"/>
                <w:szCs w:val="20"/>
              </w:rPr>
              <w:t>Address the lack of access to face-to-face guidance for young people who are NEET through an extension of guidance services offered by the National Careers Service to all young people, targeting those who are not currently engaged in learning</w:t>
            </w:r>
          </w:p>
          <w:p w:rsidR="00A718BF" w:rsidRDefault="00A718BF" w:rsidP="00154447">
            <w:pPr>
              <w:numPr>
                <w:ilvl w:val="0"/>
                <w:numId w:val="4"/>
              </w:numPr>
              <w:autoSpaceDE w:val="0"/>
              <w:autoSpaceDN w:val="0"/>
              <w:adjustRightInd w:val="0"/>
              <w:jc w:val="both"/>
              <w:rPr>
                <w:rFonts w:ascii="Arial" w:hAnsi="Arial" w:cs="Arial"/>
                <w:sz w:val="20"/>
                <w:szCs w:val="20"/>
              </w:rPr>
            </w:pPr>
            <w:r w:rsidRPr="0035204A">
              <w:rPr>
                <w:rFonts w:ascii="Arial" w:hAnsi="Arial" w:cs="Arial"/>
                <w:sz w:val="20"/>
                <w:szCs w:val="20"/>
              </w:rPr>
              <w:t>Provide locally based brokerage services to ensure young people are supported through critical points and sign-posted to the most effective provider to meet their needs.</w:t>
            </w:r>
          </w:p>
          <w:p w:rsidR="00A718BF" w:rsidRPr="0035204A" w:rsidRDefault="00A718BF" w:rsidP="00B50BB7">
            <w:pPr>
              <w:autoSpaceDE w:val="0"/>
              <w:autoSpaceDN w:val="0"/>
              <w:adjustRightInd w:val="0"/>
              <w:ind w:left="360"/>
              <w:jc w:val="both"/>
              <w:rPr>
                <w:rFonts w:ascii="Arial" w:hAnsi="Arial" w:cs="Arial"/>
                <w:sz w:val="20"/>
                <w:szCs w:val="20"/>
              </w:rPr>
            </w:pPr>
          </w:p>
        </w:tc>
        <w:tc>
          <w:tcPr>
            <w:tcW w:w="1276" w:type="dxa"/>
            <w:shd w:val="clear" w:color="auto" w:fill="FFFFFF" w:themeFill="background1"/>
          </w:tcPr>
          <w:p w:rsidR="00A718BF" w:rsidRDefault="00A718BF" w:rsidP="00AD1C27">
            <w:pPr>
              <w:jc w:val="center"/>
              <w:rPr>
                <w:rFonts w:ascii="Arial" w:hAnsi="Arial" w:cs="Arial"/>
              </w:rPr>
            </w:pPr>
            <w:r w:rsidRPr="00D1131E">
              <w:rPr>
                <w:rFonts w:ascii="Arial" w:hAnsi="Arial" w:cs="Arial"/>
              </w:rPr>
              <w:t>LC: YPES</w:t>
            </w:r>
          </w:p>
          <w:p w:rsidR="00A718BF" w:rsidRPr="00D1131E" w:rsidRDefault="00A718BF" w:rsidP="00AD1C27">
            <w:pPr>
              <w:jc w:val="center"/>
              <w:rPr>
                <w:rFonts w:ascii="Arial" w:hAnsi="Arial" w:cs="Arial"/>
              </w:rPr>
            </w:pPr>
          </w:p>
        </w:tc>
      </w:tr>
      <w:tr w:rsidR="00A718BF" w:rsidRPr="00D1131E" w:rsidTr="00B50BB7">
        <w:tc>
          <w:tcPr>
            <w:tcW w:w="392" w:type="dxa"/>
            <w:vMerge w:val="restart"/>
          </w:tcPr>
          <w:p w:rsidR="00A718BF" w:rsidRPr="00D1131E" w:rsidRDefault="00A718BF" w:rsidP="00AD1C27">
            <w:pPr>
              <w:jc w:val="center"/>
              <w:rPr>
                <w:rFonts w:ascii="Arial" w:hAnsi="Arial" w:cs="Arial"/>
              </w:rPr>
            </w:pPr>
            <w:r>
              <w:rPr>
                <w:rFonts w:ascii="Arial" w:hAnsi="Arial" w:cs="Arial"/>
              </w:rPr>
              <w:t>5</w:t>
            </w:r>
          </w:p>
        </w:tc>
        <w:tc>
          <w:tcPr>
            <w:tcW w:w="1559" w:type="dxa"/>
            <w:vMerge w:val="restart"/>
          </w:tcPr>
          <w:p w:rsidR="00A718BF" w:rsidRPr="00D1131E" w:rsidRDefault="00A718BF" w:rsidP="00AD1C27">
            <w:pPr>
              <w:jc w:val="center"/>
              <w:rPr>
                <w:rFonts w:ascii="Arial" w:hAnsi="Arial" w:cs="Arial"/>
              </w:rPr>
            </w:pPr>
            <w:r>
              <w:rPr>
                <w:rFonts w:ascii="Arial" w:hAnsi="Arial" w:cs="Arial"/>
              </w:rPr>
              <w:t>Employability Support</w:t>
            </w:r>
          </w:p>
        </w:tc>
        <w:tc>
          <w:tcPr>
            <w:tcW w:w="1985" w:type="dxa"/>
          </w:tcPr>
          <w:p w:rsidR="00A718BF" w:rsidRPr="00D1131E" w:rsidRDefault="00A718BF" w:rsidP="00AD1C27">
            <w:pPr>
              <w:jc w:val="center"/>
              <w:rPr>
                <w:rFonts w:ascii="Arial" w:hAnsi="Arial" w:cs="Arial"/>
              </w:rPr>
            </w:pPr>
            <w:r w:rsidRPr="00D1131E">
              <w:rPr>
                <w:rFonts w:ascii="Arial" w:hAnsi="Arial" w:cs="Arial"/>
              </w:rPr>
              <w:t xml:space="preserve">Education </w:t>
            </w:r>
            <w:r>
              <w:rPr>
                <w:rFonts w:ascii="Arial" w:hAnsi="Arial" w:cs="Arial"/>
              </w:rPr>
              <w:t>b</w:t>
            </w:r>
            <w:r w:rsidRPr="00D1131E">
              <w:rPr>
                <w:rFonts w:ascii="Arial" w:hAnsi="Arial" w:cs="Arial"/>
              </w:rPr>
              <w:t xml:space="preserve">usiness </w:t>
            </w:r>
            <w:r>
              <w:rPr>
                <w:rFonts w:ascii="Arial" w:hAnsi="Arial" w:cs="Arial"/>
              </w:rPr>
              <w:t>l</w:t>
            </w:r>
            <w:r w:rsidRPr="00D1131E">
              <w:rPr>
                <w:rFonts w:ascii="Arial" w:hAnsi="Arial" w:cs="Arial"/>
              </w:rPr>
              <w:t>inks</w:t>
            </w:r>
            <w:r>
              <w:rPr>
                <w:rFonts w:ascii="Arial" w:hAnsi="Arial" w:cs="Arial"/>
                <w:vertAlign w:val="superscript"/>
              </w:rPr>
              <w:t>2</w:t>
            </w:r>
          </w:p>
        </w:tc>
        <w:tc>
          <w:tcPr>
            <w:tcW w:w="9780" w:type="dxa"/>
          </w:tcPr>
          <w:p w:rsidR="00A718BF" w:rsidRPr="0035204A" w:rsidRDefault="00A718BF" w:rsidP="00E473F7">
            <w:pPr>
              <w:autoSpaceDE w:val="0"/>
              <w:autoSpaceDN w:val="0"/>
              <w:adjustRightInd w:val="0"/>
              <w:jc w:val="both"/>
              <w:rPr>
                <w:rFonts w:ascii="Arial" w:hAnsi="Arial" w:cs="Arial"/>
                <w:b/>
                <w:sz w:val="20"/>
                <w:szCs w:val="20"/>
              </w:rPr>
            </w:pPr>
            <w:r w:rsidRPr="0035204A">
              <w:rPr>
                <w:rFonts w:ascii="Arial" w:hAnsi="Arial" w:cs="Arial"/>
                <w:b/>
                <w:sz w:val="20"/>
                <w:szCs w:val="20"/>
              </w:rPr>
              <w:t xml:space="preserve">Approach: </w:t>
            </w:r>
          </w:p>
          <w:p w:rsidR="00A718BF" w:rsidRPr="0035204A" w:rsidRDefault="00A718BF" w:rsidP="00E473F7">
            <w:pPr>
              <w:pStyle w:val="ListParagraph"/>
              <w:numPr>
                <w:ilvl w:val="0"/>
                <w:numId w:val="14"/>
              </w:numPr>
              <w:autoSpaceDE w:val="0"/>
              <w:autoSpaceDN w:val="0"/>
              <w:adjustRightInd w:val="0"/>
              <w:jc w:val="both"/>
              <w:rPr>
                <w:rFonts w:cs="Arial"/>
                <w:sz w:val="20"/>
                <w:szCs w:val="20"/>
              </w:rPr>
            </w:pPr>
            <w:r w:rsidRPr="0035204A">
              <w:rPr>
                <w:rFonts w:cs="Arial"/>
                <w:sz w:val="20"/>
                <w:szCs w:val="20"/>
              </w:rPr>
              <w:t xml:space="preserve">Campaign and sales work to support an increase employer involvement in schools – including, governance, supporting the provision of employability skills, shaping the curriculum, helping assess vocational qualifications and participating in careers work </w:t>
            </w:r>
          </w:p>
          <w:p w:rsidR="00A718BF" w:rsidRPr="0035204A" w:rsidRDefault="00A718BF" w:rsidP="00E473F7">
            <w:pPr>
              <w:pStyle w:val="ListParagraph"/>
              <w:numPr>
                <w:ilvl w:val="0"/>
                <w:numId w:val="14"/>
              </w:numPr>
              <w:autoSpaceDE w:val="0"/>
              <w:autoSpaceDN w:val="0"/>
              <w:adjustRightInd w:val="0"/>
              <w:jc w:val="both"/>
              <w:rPr>
                <w:rFonts w:cs="Arial"/>
                <w:sz w:val="20"/>
                <w:szCs w:val="20"/>
              </w:rPr>
            </w:pPr>
            <w:r w:rsidRPr="0035204A">
              <w:rPr>
                <w:rFonts w:cs="Arial"/>
                <w:sz w:val="20"/>
                <w:szCs w:val="20"/>
              </w:rPr>
              <w:t xml:space="preserve">Coordinate engagement with large employers </w:t>
            </w:r>
          </w:p>
          <w:p w:rsidR="00A718BF" w:rsidRPr="0035204A" w:rsidRDefault="00A718BF" w:rsidP="00E473F7">
            <w:pPr>
              <w:pStyle w:val="ListParagraph"/>
              <w:numPr>
                <w:ilvl w:val="0"/>
                <w:numId w:val="14"/>
              </w:numPr>
              <w:autoSpaceDE w:val="0"/>
              <w:autoSpaceDN w:val="0"/>
              <w:adjustRightInd w:val="0"/>
              <w:jc w:val="both"/>
              <w:rPr>
                <w:rFonts w:cs="Arial"/>
                <w:sz w:val="20"/>
                <w:szCs w:val="20"/>
              </w:rPr>
            </w:pPr>
            <w:r w:rsidRPr="0035204A">
              <w:rPr>
                <w:rFonts w:cs="Arial"/>
                <w:sz w:val="20"/>
                <w:szCs w:val="20"/>
              </w:rPr>
              <w:t xml:space="preserve">Provide local support to develop links between education and small / medium-sized and micro businesses </w:t>
            </w:r>
          </w:p>
          <w:p w:rsidR="00A718BF" w:rsidRPr="0035204A" w:rsidRDefault="00A718BF" w:rsidP="00E473F7">
            <w:pPr>
              <w:pStyle w:val="ListParagraph"/>
              <w:numPr>
                <w:ilvl w:val="0"/>
                <w:numId w:val="14"/>
              </w:numPr>
              <w:autoSpaceDE w:val="0"/>
              <w:autoSpaceDN w:val="0"/>
              <w:adjustRightInd w:val="0"/>
              <w:jc w:val="both"/>
              <w:rPr>
                <w:rFonts w:cs="Arial"/>
                <w:sz w:val="20"/>
                <w:szCs w:val="20"/>
              </w:rPr>
            </w:pPr>
            <w:r w:rsidRPr="0035204A">
              <w:rPr>
                <w:rFonts w:cs="Arial"/>
                <w:sz w:val="20"/>
                <w:szCs w:val="20"/>
              </w:rPr>
              <w:t>Support employers to identify and design work experience placements that deliver practical business benefits as well as opportunities for young people.</w:t>
            </w:r>
          </w:p>
          <w:p w:rsidR="00A718BF" w:rsidRPr="0035204A" w:rsidRDefault="00A718BF" w:rsidP="00E473F7">
            <w:pPr>
              <w:pStyle w:val="ListParagraph"/>
              <w:numPr>
                <w:ilvl w:val="0"/>
                <w:numId w:val="14"/>
              </w:numPr>
              <w:autoSpaceDE w:val="0"/>
              <w:autoSpaceDN w:val="0"/>
              <w:adjustRightInd w:val="0"/>
              <w:jc w:val="both"/>
              <w:rPr>
                <w:rFonts w:cs="Arial"/>
                <w:sz w:val="20"/>
                <w:szCs w:val="20"/>
              </w:rPr>
            </w:pPr>
            <w:r w:rsidRPr="0035204A">
              <w:rPr>
                <w:rFonts w:cs="Arial"/>
                <w:sz w:val="20"/>
                <w:szCs w:val="20"/>
              </w:rPr>
              <w:t xml:space="preserve">Provide mentoring support to employers to increase the success and sustainability of opportunities. </w:t>
            </w:r>
          </w:p>
          <w:p w:rsidR="00A718BF" w:rsidRPr="0035204A" w:rsidRDefault="00A718BF" w:rsidP="00E473F7">
            <w:pPr>
              <w:pStyle w:val="ListParagraph"/>
              <w:numPr>
                <w:ilvl w:val="0"/>
                <w:numId w:val="14"/>
              </w:numPr>
              <w:autoSpaceDE w:val="0"/>
              <w:autoSpaceDN w:val="0"/>
              <w:adjustRightInd w:val="0"/>
              <w:jc w:val="both"/>
              <w:rPr>
                <w:rFonts w:cs="Arial"/>
                <w:sz w:val="20"/>
                <w:szCs w:val="20"/>
              </w:rPr>
            </w:pPr>
            <w:r w:rsidRPr="0035204A">
              <w:rPr>
                <w:rFonts w:cs="Arial"/>
                <w:sz w:val="20"/>
                <w:szCs w:val="20"/>
              </w:rPr>
              <w:t xml:space="preserve">Linking companies and universities with schools to help mentor students to encourage </w:t>
            </w:r>
            <w:r w:rsidRPr="0035204A">
              <w:rPr>
                <w:rFonts w:cs="Arial"/>
                <w:sz w:val="20"/>
                <w:szCs w:val="20"/>
              </w:rPr>
              <w:lastRenderedPageBreak/>
              <w:t>entrepreneurship and understand related business concepts and processes</w:t>
            </w:r>
          </w:p>
          <w:p w:rsidR="00A718BF" w:rsidRPr="0035204A" w:rsidRDefault="00A718BF" w:rsidP="00586347">
            <w:pPr>
              <w:autoSpaceDE w:val="0"/>
              <w:autoSpaceDN w:val="0"/>
              <w:adjustRightInd w:val="0"/>
              <w:jc w:val="both"/>
              <w:rPr>
                <w:rFonts w:ascii="Arial" w:hAnsi="Arial" w:cs="Arial"/>
                <w:b/>
                <w:sz w:val="20"/>
                <w:szCs w:val="20"/>
              </w:rPr>
            </w:pPr>
          </w:p>
        </w:tc>
        <w:tc>
          <w:tcPr>
            <w:tcW w:w="1276" w:type="dxa"/>
          </w:tcPr>
          <w:p w:rsidR="00A718BF" w:rsidRDefault="00A718BF" w:rsidP="00AD1C27">
            <w:pPr>
              <w:jc w:val="center"/>
              <w:rPr>
                <w:rFonts w:ascii="Arial" w:hAnsi="Arial" w:cs="Arial"/>
              </w:rPr>
            </w:pPr>
            <w:r>
              <w:rPr>
                <w:rFonts w:ascii="Arial" w:hAnsi="Arial" w:cs="Arial"/>
              </w:rPr>
              <w:lastRenderedPageBreak/>
              <w:t>GLA: Education &amp; Youth</w:t>
            </w:r>
          </w:p>
          <w:p w:rsidR="00A718BF" w:rsidRPr="00D1131E" w:rsidRDefault="00A718BF" w:rsidP="00AD1C27">
            <w:pPr>
              <w:jc w:val="center"/>
              <w:rPr>
                <w:rFonts w:ascii="Arial" w:hAnsi="Arial" w:cs="Arial"/>
              </w:rPr>
            </w:pPr>
          </w:p>
        </w:tc>
      </w:tr>
      <w:tr w:rsidR="00A718BF" w:rsidRPr="00D1131E" w:rsidTr="00B50BB7">
        <w:tc>
          <w:tcPr>
            <w:tcW w:w="392" w:type="dxa"/>
            <w:vMerge/>
          </w:tcPr>
          <w:p w:rsidR="00A718BF" w:rsidRDefault="00A718BF" w:rsidP="00AD1C27">
            <w:pPr>
              <w:jc w:val="center"/>
              <w:rPr>
                <w:rFonts w:ascii="Arial" w:hAnsi="Arial" w:cs="Arial"/>
              </w:rPr>
            </w:pPr>
          </w:p>
        </w:tc>
        <w:tc>
          <w:tcPr>
            <w:tcW w:w="1559" w:type="dxa"/>
            <w:vMerge/>
          </w:tcPr>
          <w:p w:rsidR="00A718BF" w:rsidRDefault="00A718BF" w:rsidP="00AD1C27">
            <w:pPr>
              <w:jc w:val="center"/>
              <w:rPr>
                <w:rFonts w:ascii="Arial" w:hAnsi="Arial" w:cs="Arial"/>
              </w:rPr>
            </w:pPr>
          </w:p>
        </w:tc>
        <w:tc>
          <w:tcPr>
            <w:tcW w:w="1985" w:type="dxa"/>
          </w:tcPr>
          <w:p w:rsidR="00A718BF" w:rsidRPr="00D1131E" w:rsidRDefault="00A718BF" w:rsidP="003F7ADE">
            <w:pPr>
              <w:jc w:val="center"/>
              <w:rPr>
                <w:rFonts w:ascii="Arial" w:hAnsi="Arial" w:cs="Arial"/>
              </w:rPr>
            </w:pPr>
            <w:r w:rsidRPr="00D1131E">
              <w:rPr>
                <w:rFonts w:ascii="Arial" w:hAnsi="Arial" w:cs="Arial"/>
              </w:rPr>
              <w:t>Promoting Apprenticeships</w:t>
            </w:r>
            <w:r>
              <w:rPr>
                <w:rFonts w:ascii="Arial" w:hAnsi="Arial" w:cs="Arial"/>
              </w:rPr>
              <w:t xml:space="preserve"> and e</w:t>
            </w:r>
            <w:r w:rsidRPr="00D1131E">
              <w:rPr>
                <w:rFonts w:ascii="Arial" w:hAnsi="Arial" w:cs="Arial"/>
              </w:rPr>
              <w:t>ncouraging businesses to employ young people</w:t>
            </w:r>
          </w:p>
          <w:p w:rsidR="00A718BF" w:rsidRDefault="00A718BF" w:rsidP="003F7ADE">
            <w:pPr>
              <w:jc w:val="center"/>
              <w:rPr>
                <w:rFonts w:ascii="Arial" w:hAnsi="Arial" w:cs="Arial"/>
              </w:rPr>
            </w:pPr>
          </w:p>
          <w:p w:rsidR="00A718BF" w:rsidRPr="00D1131E" w:rsidRDefault="00A718BF" w:rsidP="003F7ADE">
            <w:pPr>
              <w:jc w:val="center"/>
              <w:rPr>
                <w:rFonts w:ascii="Arial" w:hAnsi="Arial" w:cs="Arial"/>
              </w:rPr>
            </w:pPr>
          </w:p>
        </w:tc>
        <w:tc>
          <w:tcPr>
            <w:tcW w:w="9780" w:type="dxa"/>
          </w:tcPr>
          <w:p w:rsidR="00A718BF" w:rsidRDefault="00A718BF" w:rsidP="003F7ADE">
            <w:pPr>
              <w:autoSpaceDE w:val="0"/>
              <w:autoSpaceDN w:val="0"/>
              <w:adjustRightInd w:val="0"/>
              <w:jc w:val="both"/>
              <w:rPr>
                <w:rFonts w:ascii="Arial" w:hAnsi="Arial" w:cs="Arial"/>
                <w:b/>
                <w:sz w:val="20"/>
                <w:szCs w:val="20"/>
              </w:rPr>
            </w:pPr>
          </w:p>
          <w:p w:rsidR="00A718BF" w:rsidRDefault="00A718BF" w:rsidP="003F7ADE">
            <w:pPr>
              <w:autoSpaceDE w:val="0"/>
              <w:autoSpaceDN w:val="0"/>
              <w:adjustRightInd w:val="0"/>
              <w:jc w:val="both"/>
              <w:rPr>
                <w:rFonts w:ascii="Arial" w:hAnsi="Arial" w:cs="Arial"/>
                <w:b/>
                <w:sz w:val="20"/>
                <w:szCs w:val="20"/>
              </w:rPr>
            </w:pPr>
            <w:r w:rsidRPr="0035204A">
              <w:rPr>
                <w:rFonts w:ascii="Arial" w:hAnsi="Arial" w:cs="Arial"/>
                <w:b/>
                <w:sz w:val="20"/>
                <w:szCs w:val="20"/>
              </w:rPr>
              <w:t xml:space="preserve">Approach: </w:t>
            </w:r>
          </w:p>
          <w:p w:rsidR="00A718BF" w:rsidRPr="00586347" w:rsidRDefault="00A718BF" w:rsidP="00586347">
            <w:pPr>
              <w:autoSpaceDE w:val="0"/>
              <w:autoSpaceDN w:val="0"/>
              <w:adjustRightInd w:val="0"/>
              <w:jc w:val="both"/>
              <w:rPr>
                <w:rFonts w:cs="Arial"/>
                <w:sz w:val="20"/>
                <w:szCs w:val="20"/>
              </w:rPr>
            </w:pPr>
            <w:r w:rsidRPr="00586347">
              <w:rPr>
                <w:rFonts w:cs="Arial"/>
                <w:sz w:val="20"/>
                <w:szCs w:val="20"/>
              </w:rPr>
              <w:t xml:space="preserve">Campaign and sales work to support employers to provide a more comprehensive offer of work opportunities, including work experience and Apprenticeships (including 16-18 apprenticeships).  This extends to considering a possible range of incentives that could be offered to both participants and employers, especially SMEs. </w:t>
            </w:r>
          </w:p>
          <w:p w:rsidR="00A718BF" w:rsidRDefault="00A718BF" w:rsidP="00586347">
            <w:pPr>
              <w:autoSpaceDE w:val="0"/>
              <w:autoSpaceDN w:val="0"/>
              <w:adjustRightInd w:val="0"/>
              <w:jc w:val="both"/>
              <w:rPr>
                <w:rFonts w:ascii="Arial" w:hAnsi="Arial" w:cs="Arial"/>
                <w:sz w:val="20"/>
                <w:szCs w:val="20"/>
              </w:rPr>
            </w:pPr>
          </w:p>
          <w:p w:rsidR="00A718BF" w:rsidRPr="0035204A" w:rsidRDefault="00A718BF" w:rsidP="00586347">
            <w:pPr>
              <w:pStyle w:val="ListParagraph"/>
              <w:numPr>
                <w:ilvl w:val="0"/>
                <w:numId w:val="13"/>
              </w:numPr>
              <w:autoSpaceDE w:val="0"/>
              <w:autoSpaceDN w:val="0"/>
              <w:adjustRightInd w:val="0"/>
              <w:jc w:val="both"/>
              <w:rPr>
                <w:rFonts w:cs="Arial"/>
                <w:sz w:val="20"/>
                <w:szCs w:val="20"/>
              </w:rPr>
            </w:pPr>
            <w:r w:rsidRPr="0035204A">
              <w:rPr>
                <w:rFonts w:cs="Arial"/>
                <w:sz w:val="20"/>
                <w:szCs w:val="20"/>
              </w:rPr>
              <w:t>Co-ordinate the engagement of businesses of all sizes and types in education, skills and employment offer in London</w:t>
            </w:r>
          </w:p>
          <w:p w:rsidR="00A718BF" w:rsidRPr="0035204A" w:rsidRDefault="00A718BF" w:rsidP="00586347">
            <w:pPr>
              <w:pStyle w:val="ListParagraph"/>
              <w:numPr>
                <w:ilvl w:val="0"/>
                <w:numId w:val="13"/>
              </w:numPr>
              <w:autoSpaceDE w:val="0"/>
              <w:autoSpaceDN w:val="0"/>
              <w:adjustRightInd w:val="0"/>
              <w:jc w:val="both"/>
              <w:rPr>
                <w:rFonts w:cs="Arial"/>
                <w:sz w:val="20"/>
                <w:szCs w:val="20"/>
              </w:rPr>
            </w:pPr>
            <w:r w:rsidRPr="0035204A">
              <w:rPr>
                <w:rFonts w:cs="Arial"/>
                <w:sz w:val="20"/>
                <w:szCs w:val="20"/>
              </w:rPr>
              <w:t>Develop the capacity of London’s businesses to provide young people with opportunities for work experience, employment and skills progression</w:t>
            </w:r>
          </w:p>
          <w:p w:rsidR="00A718BF" w:rsidRDefault="00A718BF" w:rsidP="00586347">
            <w:pPr>
              <w:autoSpaceDE w:val="0"/>
              <w:autoSpaceDN w:val="0"/>
              <w:adjustRightInd w:val="0"/>
              <w:jc w:val="both"/>
              <w:rPr>
                <w:rFonts w:ascii="Arial" w:hAnsi="Arial" w:cs="Arial"/>
                <w:sz w:val="20"/>
                <w:szCs w:val="20"/>
              </w:rPr>
            </w:pPr>
          </w:p>
          <w:p w:rsidR="00A718BF" w:rsidRPr="00586347" w:rsidRDefault="00A718BF" w:rsidP="00586347">
            <w:pPr>
              <w:autoSpaceDE w:val="0"/>
              <w:autoSpaceDN w:val="0"/>
              <w:adjustRightInd w:val="0"/>
              <w:jc w:val="both"/>
              <w:rPr>
                <w:rFonts w:cs="Arial"/>
                <w:sz w:val="20"/>
                <w:szCs w:val="20"/>
              </w:rPr>
            </w:pPr>
            <w:r w:rsidRPr="00586347">
              <w:rPr>
                <w:rFonts w:cs="Arial"/>
                <w:sz w:val="20"/>
                <w:szCs w:val="20"/>
              </w:rPr>
              <w:t>Conduct activities that boost the credibility of Apprenticeships and Traineeships and address the low uptake in London, for example:</w:t>
            </w:r>
          </w:p>
          <w:p w:rsidR="00A718BF" w:rsidRPr="0035204A" w:rsidRDefault="00A718BF" w:rsidP="003F7ADE">
            <w:pPr>
              <w:pStyle w:val="ListParagraph"/>
              <w:numPr>
                <w:ilvl w:val="0"/>
                <w:numId w:val="4"/>
              </w:numPr>
              <w:rPr>
                <w:rFonts w:cs="Arial"/>
                <w:sz w:val="20"/>
                <w:szCs w:val="20"/>
              </w:rPr>
            </w:pPr>
            <w:r w:rsidRPr="0035204A">
              <w:rPr>
                <w:rFonts w:cs="Arial"/>
                <w:sz w:val="20"/>
                <w:szCs w:val="20"/>
              </w:rPr>
              <w:t>Provide opportunities for advocates (both young people and businesses) of Apprenticeships and Traineeships to promote the benefits of the programmes to their peers</w:t>
            </w:r>
          </w:p>
          <w:p w:rsidR="00A718BF" w:rsidRPr="0035204A" w:rsidRDefault="00A718BF" w:rsidP="003F7ADE">
            <w:pPr>
              <w:pStyle w:val="ListParagraph"/>
              <w:numPr>
                <w:ilvl w:val="0"/>
                <w:numId w:val="4"/>
              </w:numPr>
              <w:rPr>
                <w:rFonts w:cs="Arial"/>
                <w:sz w:val="20"/>
                <w:szCs w:val="20"/>
              </w:rPr>
            </w:pPr>
            <w:r w:rsidRPr="0035204A">
              <w:rPr>
                <w:rFonts w:cs="Arial"/>
                <w:sz w:val="20"/>
                <w:szCs w:val="20"/>
              </w:rPr>
              <w:t>Align the promotion of Apprenticeships and Traineeships to locally-targeted recruitment and training initiatives</w:t>
            </w:r>
          </w:p>
          <w:p w:rsidR="00A718BF" w:rsidRDefault="00A718BF" w:rsidP="003F7ADE">
            <w:pPr>
              <w:pStyle w:val="ListParagraph"/>
              <w:numPr>
                <w:ilvl w:val="0"/>
                <w:numId w:val="4"/>
              </w:numPr>
              <w:autoSpaceDE w:val="0"/>
              <w:autoSpaceDN w:val="0"/>
              <w:adjustRightInd w:val="0"/>
              <w:jc w:val="both"/>
              <w:rPr>
                <w:rFonts w:cs="Arial"/>
                <w:sz w:val="20"/>
                <w:szCs w:val="20"/>
              </w:rPr>
            </w:pPr>
            <w:r w:rsidRPr="0035204A">
              <w:rPr>
                <w:rFonts w:cs="Arial"/>
                <w:sz w:val="20"/>
                <w:szCs w:val="20"/>
              </w:rPr>
              <w:t>Increase access to higher level skills provision, especially Apprenticeships, in sectors and opportunity areas most closely associated with London’s economy.</w:t>
            </w:r>
          </w:p>
          <w:p w:rsidR="00A718BF" w:rsidRDefault="00A718BF" w:rsidP="00586347">
            <w:pPr>
              <w:autoSpaceDE w:val="0"/>
              <w:autoSpaceDN w:val="0"/>
              <w:adjustRightInd w:val="0"/>
              <w:jc w:val="both"/>
              <w:rPr>
                <w:rFonts w:cs="Arial"/>
                <w:sz w:val="20"/>
                <w:szCs w:val="20"/>
              </w:rPr>
            </w:pPr>
          </w:p>
          <w:p w:rsidR="00A718BF" w:rsidRPr="0035204A" w:rsidRDefault="00A718BF" w:rsidP="00586347">
            <w:pPr>
              <w:autoSpaceDE w:val="0"/>
              <w:autoSpaceDN w:val="0"/>
              <w:adjustRightInd w:val="0"/>
              <w:jc w:val="both"/>
              <w:rPr>
                <w:rFonts w:ascii="Arial" w:hAnsi="Arial" w:cs="Arial"/>
                <w:b/>
                <w:sz w:val="20"/>
                <w:szCs w:val="20"/>
              </w:rPr>
            </w:pPr>
          </w:p>
        </w:tc>
        <w:tc>
          <w:tcPr>
            <w:tcW w:w="1276" w:type="dxa"/>
          </w:tcPr>
          <w:p w:rsidR="00A718BF" w:rsidRDefault="00A718BF" w:rsidP="00AD1C27">
            <w:pPr>
              <w:jc w:val="center"/>
              <w:rPr>
                <w:rFonts w:ascii="Arial" w:hAnsi="Arial" w:cs="Arial"/>
              </w:rPr>
            </w:pPr>
            <w:r>
              <w:rPr>
                <w:rFonts w:ascii="Arial" w:hAnsi="Arial" w:cs="Arial"/>
              </w:rPr>
              <w:t>GLA: EBPU</w:t>
            </w:r>
          </w:p>
          <w:p w:rsidR="00A718BF" w:rsidRPr="00D1131E" w:rsidRDefault="00A718BF" w:rsidP="00AD1C27">
            <w:pPr>
              <w:jc w:val="center"/>
              <w:rPr>
                <w:rFonts w:ascii="Arial" w:hAnsi="Arial" w:cs="Arial"/>
              </w:rPr>
            </w:pPr>
          </w:p>
        </w:tc>
      </w:tr>
      <w:tr w:rsidR="00A718BF" w:rsidRPr="00D1131E" w:rsidTr="00B50BB7">
        <w:tc>
          <w:tcPr>
            <w:tcW w:w="392" w:type="dxa"/>
            <w:vMerge/>
          </w:tcPr>
          <w:p w:rsidR="00A718BF" w:rsidRPr="00D1131E" w:rsidRDefault="00A718BF" w:rsidP="00AD1C27">
            <w:pPr>
              <w:rPr>
                <w:rFonts w:ascii="Arial" w:hAnsi="Arial" w:cs="Arial"/>
              </w:rPr>
            </w:pPr>
          </w:p>
        </w:tc>
        <w:tc>
          <w:tcPr>
            <w:tcW w:w="1559" w:type="dxa"/>
            <w:vMerge/>
          </w:tcPr>
          <w:p w:rsidR="00A718BF" w:rsidRPr="00D1131E" w:rsidRDefault="00A718BF" w:rsidP="00AD1C27">
            <w:pPr>
              <w:jc w:val="center"/>
              <w:rPr>
                <w:rFonts w:ascii="Arial" w:hAnsi="Arial" w:cs="Arial"/>
              </w:rPr>
            </w:pPr>
          </w:p>
        </w:tc>
        <w:tc>
          <w:tcPr>
            <w:tcW w:w="1985" w:type="dxa"/>
          </w:tcPr>
          <w:p w:rsidR="00A718BF" w:rsidRPr="00D1131E" w:rsidRDefault="00A718BF" w:rsidP="00AD1C27">
            <w:pPr>
              <w:jc w:val="center"/>
              <w:rPr>
                <w:rFonts w:ascii="Arial" w:hAnsi="Arial" w:cs="Arial"/>
              </w:rPr>
            </w:pPr>
            <w:r>
              <w:rPr>
                <w:rFonts w:ascii="Arial" w:hAnsi="Arial" w:cs="Arial"/>
              </w:rPr>
              <w:t>Encouraging entrepreneurship</w:t>
            </w:r>
          </w:p>
        </w:tc>
        <w:tc>
          <w:tcPr>
            <w:tcW w:w="9780" w:type="dxa"/>
          </w:tcPr>
          <w:p w:rsidR="00A718BF" w:rsidRPr="0035204A" w:rsidRDefault="00A718BF" w:rsidP="00AD1C27">
            <w:pPr>
              <w:autoSpaceDE w:val="0"/>
              <w:autoSpaceDN w:val="0"/>
              <w:adjustRightInd w:val="0"/>
              <w:jc w:val="both"/>
              <w:rPr>
                <w:rFonts w:ascii="Arial" w:hAnsi="Arial" w:cs="Arial"/>
                <w:sz w:val="20"/>
                <w:szCs w:val="20"/>
              </w:rPr>
            </w:pPr>
            <w:r w:rsidRPr="0035204A">
              <w:rPr>
                <w:rFonts w:ascii="Arial" w:hAnsi="Arial" w:cs="Arial"/>
                <w:b/>
                <w:sz w:val="20"/>
                <w:szCs w:val="20"/>
              </w:rPr>
              <w:t xml:space="preserve">Approach: </w:t>
            </w:r>
            <w:r w:rsidRPr="0035204A">
              <w:rPr>
                <w:rFonts w:ascii="Arial" w:hAnsi="Arial" w:cs="Arial"/>
                <w:sz w:val="20"/>
                <w:szCs w:val="20"/>
              </w:rPr>
              <w:t>Develop innovative approaches to promote entrepreneurship opportunities to unemployed young people. This could include:</w:t>
            </w:r>
          </w:p>
          <w:p w:rsidR="00A718BF" w:rsidRPr="0035204A" w:rsidRDefault="00A718BF" w:rsidP="00154447">
            <w:pPr>
              <w:pStyle w:val="ListParagraph"/>
              <w:numPr>
                <w:ilvl w:val="0"/>
                <w:numId w:val="7"/>
              </w:numPr>
              <w:autoSpaceDE w:val="0"/>
              <w:autoSpaceDN w:val="0"/>
              <w:adjustRightInd w:val="0"/>
              <w:jc w:val="both"/>
              <w:rPr>
                <w:rFonts w:cs="Arial"/>
                <w:sz w:val="20"/>
                <w:szCs w:val="20"/>
              </w:rPr>
            </w:pPr>
            <w:r w:rsidRPr="0035204A">
              <w:rPr>
                <w:rFonts w:cs="Arial"/>
                <w:sz w:val="20"/>
                <w:szCs w:val="20"/>
              </w:rPr>
              <w:t xml:space="preserve">Creating opportunities with large companies to develop talent, raise aspirations and enable unemployed young people to demonstrate entrepreneurial and employability skills </w:t>
            </w:r>
          </w:p>
          <w:p w:rsidR="00A718BF" w:rsidRDefault="00A718BF" w:rsidP="00AD1C27">
            <w:pPr>
              <w:autoSpaceDE w:val="0"/>
              <w:autoSpaceDN w:val="0"/>
              <w:adjustRightInd w:val="0"/>
              <w:jc w:val="both"/>
              <w:rPr>
                <w:rFonts w:ascii="Arial" w:hAnsi="Arial" w:cs="Arial"/>
                <w:b/>
                <w:sz w:val="20"/>
                <w:szCs w:val="20"/>
              </w:rPr>
            </w:pPr>
          </w:p>
          <w:p w:rsidR="00A718BF" w:rsidRPr="0035204A" w:rsidRDefault="00A718BF" w:rsidP="00AD1C27">
            <w:pPr>
              <w:autoSpaceDE w:val="0"/>
              <w:autoSpaceDN w:val="0"/>
              <w:adjustRightInd w:val="0"/>
              <w:jc w:val="both"/>
              <w:rPr>
                <w:rFonts w:ascii="Arial" w:hAnsi="Arial" w:cs="Arial"/>
                <w:b/>
                <w:sz w:val="20"/>
                <w:szCs w:val="20"/>
              </w:rPr>
            </w:pPr>
          </w:p>
        </w:tc>
        <w:tc>
          <w:tcPr>
            <w:tcW w:w="1276" w:type="dxa"/>
          </w:tcPr>
          <w:p w:rsidR="00A718BF" w:rsidRDefault="00A718BF" w:rsidP="00AD1C27">
            <w:pPr>
              <w:jc w:val="center"/>
              <w:rPr>
                <w:rFonts w:ascii="Arial" w:hAnsi="Arial" w:cs="Arial"/>
              </w:rPr>
            </w:pPr>
            <w:r w:rsidRPr="00D1131E">
              <w:rPr>
                <w:rFonts w:ascii="Arial" w:hAnsi="Arial" w:cs="Arial"/>
              </w:rPr>
              <w:t>GLA: EBP</w:t>
            </w:r>
            <w:r>
              <w:rPr>
                <w:rFonts w:ascii="Arial" w:hAnsi="Arial" w:cs="Arial"/>
              </w:rPr>
              <w:t>U</w:t>
            </w:r>
          </w:p>
          <w:p w:rsidR="00A718BF" w:rsidRDefault="00A718BF" w:rsidP="00AD1C27">
            <w:pPr>
              <w:jc w:val="center"/>
              <w:rPr>
                <w:rFonts w:ascii="Arial" w:hAnsi="Arial" w:cs="Arial"/>
              </w:rPr>
            </w:pPr>
          </w:p>
          <w:p w:rsidR="00A718BF" w:rsidRDefault="00A718BF" w:rsidP="00AD1C27">
            <w:pPr>
              <w:jc w:val="center"/>
              <w:rPr>
                <w:rFonts w:ascii="Arial" w:hAnsi="Arial" w:cs="Arial"/>
              </w:rPr>
            </w:pPr>
          </w:p>
          <w:p w:rsidR="00A718BF" w:rsidRPr="00D1131E" w:rsidRDefault="00A718BF" w:rsidP="00AD1C27">
            <w:pPr>
              <w:jc w:val="center"/>
              <w:rPr>
                <w:rFonts w:ascii="Arial" w:hAnsi="Arial" w:cs="Arial"/>
              </w:rPr>
            </w:pPr>
          </w:p>
          <w:p w:rsidR="00A718BF" w:rsidRPr="00D1131E" w:rsidDel="00B80492" w:rsidRDefault="00A718BF" w:rsidP="00AD1C27">
            <w:pPr>
              <w:jc w:val="center"/>
              <w:rPr>
                <w:rFonts w:ascii="Arial" w:hAnsi="Arial" w:cs="Arial"/>
              </w:rPr>
            </w:pPr>
          </w:p>
        </w:tc>
      </w:tr>
      <w:tr w:rsidR="00A718BF" w:rsidRPr="00D1131E" w:rsidTr="00B50BB7">
        <w:tc>
          <w:tcPr>
            <w:tcW w:w="392" w:type="dxa"/>
            <w:vMerge/>
          </w:tcPr>
          <w:p w:rsidR="00A718BF" w:rsidRPr="00D1131E" w:rsidRDefault="00A718BF" w:rsidP="00AD1C27">
            <w:pPr>
              <w:rPr>
                <w:rFonts w:ascii="Arial" w:hAnsi="Arial" w:cs="Arial"/>
              </w:rPr>
            </w:pPr>
          </w:p>
        </w:tc>
        <w:tc>
          <w:tcPr>
            <w:tcW w:w="1559" w:type="dxa"/>
            <w:vMerge/>
          </w:tcPr>
          <w:p w:rsidR="00A718BF" w:rsidRPr="00D1131E" w:rsidRDefault="00A718BF" w:rsidP="00AD1C27">
            <w:pPr>
              <w:jc w:val="center"/>
              <w:rPr>
                <w:rFonts w:ascii="Arial" w:hAnsi="Arial" w:cs="Arial"/>
              </w:rPr>
            </w:pPr>
          </w:p>
        </w:tc>
        <w:tc>
          <w:tcPr>
            <w:tcW w:w="1985" w:type="dxa"/>
          </w:tcPr>
          <w:p w:rsidR="00A718BF" w:rsidRPr="00D1131E" w:rsidRDefault="00A718BF" w:rsidP="00B50BB7">
            <w:pPr>
              <w:jc w:val="center"/>
              <w:rPr>
                <w:rFonts w:ascii="Arial" w:hAnsi="Arial" w:cs="Arial"/>
              </w:rPr>
            </w:pPr>
            <w:r>
              <w:rPr>
                <w:rFonts w:ascii="Arial" w:hAnsi="Arial" w:cs="Arial"/>
              </w:rPr>
              <w:t>Employment Support</w:t>
            </w:r>
          </w:p>
        </w:tc>
        <w:tc>
          <w:tcPr>
            <w:tcW w:w="9780" w:type="dxa"/>
          </w:tcPr>
          <w:p w:rsidR="00A718BF" w:rsidRPr="0035204A" w:rsidRDefault="00A718BF" w:rsidP="00AD1C27">
            <w:pPr>
              <w:autoSpaceDE w:val="0"/>
              <w:autoSpaceDN w:val="0"/>
              <w:adjustRightInd w:val="0"/>
              <w:jc w:val="both"/>
              <w:rPr>
                <w:rFonts w:ascii="Arial" w:hAnsi="Arial" w:cs="Arial"/>
                <w:sz w:val="20"/>
                <w:szCs w:val="20"/>
              </w:rPr>
            </w:pPr>
            <w:r w:rsidRPr="0035204A">
              <w:rPr>
                <w:rFonts w:ascii="Arial" w:hAnsi="Arial" w:cs="Arial"/>
                <w:b/>
                <w:sz w:val="20"/>
                <w:szCs w:val="20"/>
              </w:rPr>
              <w:t xml:space="preserve">Approach: </w:t>
            </w:r>
          </w:p>
          <w:p w:rsidR="00A718BF" w:rsidRPr="0035204A" w:rsidRDefault="00A718BF" w:rsidP="00154447">
            <w:pPr>
              <w:pStyle w:val="ListParagraph"/>
              <w:numPr>
                <w:ilvl w:val="0"/>
                <w:numId w:val="6"/>
              </w:numPr>
              <w:autoSpaceDE w:val="0"/>
              <w:autoSpaceDN w:val="0"/>
              <w:adjustRightInd w:val="0"/>
              <w:jc w:val="both"/>
              <w:rPr>
                <w:rFonts w:cs="Arial"/>
                <w:sz w:val="20"/>
                <w:szCs w:val="20"/>
              </w:rPr>
            </w:pPr>
            <w:r w:rsidRPr="0035204A">
              <w:rPr>
                <w:rFonts w:cs="Arial"/>
                <w:sz w:val="20"/>
                <w:szCs w:val="20"/>
              </w:rPr>
              <w:t>Provide targeted assistance to young unemployed people, especially those at some distance from entering the labour market</w:t>
            </w:r>
          </w:p>
          <w:p w:rsidR="00A718BF" w:rsidRPr="0035204A" w:rsidRDefault="00A718BF" w:rsidP="00154447">
            <w:pPr>
              <w:pStyle w:val="ListParagraph"/>
              <w:numPr>
                <w:ilvl w:val="0"/>
                <w:numId w:val="6"/>
              </w:numPr>
              <w:autoSpaceDE w:val="0"/>
              <w:autoSpaceDN w:val="0"/>
              <w:adjustRightInd w:val="0"/>
              <w:jc w:val="both"/>
              <w:rPr>
                <w:rFonts w:cs="Arial"/>
                <w:sz w:val="20"/>
                <w:szCs w:val="20"/>
              </w:rPr>
            </w:pPr>
            <w:r w:rsidRPr="0035204A">
              <w:rPr>
                <w:rFonts w:cs="Arial"/>
                <w:sz w:val="20"/>
                <w:szCs w:val="20"/>
              </w:rPr>
              <w:t xml:space="preserve">There should be an emphasis on building: independent learning skills, employability skills and potential, and resilience.  Work experience, internships and voluntary work in both Public and Private Sectors or in The Third Sector and / or part-time, evening or week-end work may also be incorporated into individual programmes to develop and demonstrate the employability skills of participants. </w:t>
            </w:r>
          </w:p>
          <w:p w:rsidR="00A718BF" w:rsidRPr="0035204A" w:rsidRDefault="00A718BF" w:rsidP="00154447">
            <w:pPr>
              <w:pStyle w:val="ListParagraph"/>
              <w:numPr>
                <w:ilvl w:val="0"/>
                <w:numId w:val="6"/>
              </w:numPr>
              <w:autoSpaceDE w:val="0"/>
              <w:autoSpaceDN w:val="0"/>
              <w:adjustRightInd w:val="0"/>
              <w:jc w:val="both"/>
              <w:rPr>
                <w:rFonts w:cs="Arial"/>
                <w:sz w:val="20"/>
                <w:szCs w:val="20"/>
              </w:rPr>
            </w:pPr>
            <w:r w:rsidRPr="0035204A">
              <w:rPr>
                <w:rFonts w:cs="Arial"/>
                <w:sz w:val="20"/>
                <w:szCs w:val="20"/>
              </w:rPr>
              <w:lastRenderedPageBreak/>
              <w:t xml:space="preserve">Programmes will need to be personalised where young people are in receipt of JSA. </w:t>
            </w:r>
          </w:p>
          <w:p w:rsidR="00A718BF" w:rsidRPr="0035204A" w:rsidRDefault="00A718BF" w:rsidP="00154447">
            <w:pPr>
              <w:pStyle w:val="ListParagraph"/>
              <w:numPr>
                <w:ilvl w:val="0"/>
                <w:numId w:val="6"/>
              </w:numPr>
              <w:autoSpaceDE w:val="0"/>
              <w:autoSpaceDN w:val="0"/>
              <w:adjustRightInd w:val="0"/>
              <w:jc w:val="both"/>
              <w:rPr>
                <w:rFonts w:cs="Arial"/>
                <w:sz w:val="20"/>
                <w:szCs w:val="20"/>
              </w:rPr>
            </w:pPr>
            <w:r w:rsidRPr="0035204A">
              <w:rPr>
                <w:rFonts w:cs="Arial"/>
                <w:sz w:val="20"/>
                <w:szCs w:val="20"/>
              </w:rPr>
              <w:t>All individual programmes will need to incorporate on-going support to participants as they access, enter and remain in learning or employment destinations. The programme may need to use a broad range of outcomes appropriate to differing circumstances of young people.</w:t>
            </w:r>
          </w:p>
          <w:p w:rsidR="00A718BF" w:rsidRPr="0035204A" w:rsidRDefault="00A718BF" w:rsidP="00AD1C27">
            <w:pPr>
              <w:rPr>
                <w:rFonts w:ascii="Arial" w:hAnsi="Arial" w:cs="Arial"/>
                <w:sz w:val="20"/>
                <w:szCs w:val="20"/>
              </w:rPr>
            </w:pPr>
          </w:p>
        </w:tc>
        <w:tc>
          <w:tcPr>
            <w:tcW w:w="1276" w:type="dxa"/>
          </w:tcPr>
          <w:p w:rsidR="00A718BF" w:rsidRDefault="00A718BF" w:rsidP="00643A15">
            <w:pPr>
              <w:jc w:val="center"/>
              <w:rPr>
                <w:rFonts w:ascii="Arial" w:hAnsi="Arial" w:cs="Arial"/>
              </w:rPr>
            </w:pPr>
            <w:r w:rsidRPr="00A718BF">
              <w:rPr>
                <w:rFonts w:ascii="Arial" w:hAnsi="Arial" w:cs="Arial"/>
              </w:rPr>
              <w:lastRenderedPageBreak/>
              <w:t>London Councils</w:t>
            </w:r>
          </w:p>
          <w:p w:rsidR="00A718BF" w:rsidRPr="00D1131E" w:rsidRDefault="00A718BF" w:rsidP="00643A15">
            <w:pPr>
              <w:jc w:val="center"/>
              <w:rPr>
                <w:rFonts w:ascii="Arial" w:hAnsi="Arial" w:cs="Arial"/>
              </w:rPr>
            </w:pPr>
          </w:p>
        </w:tc>
      </w:tr>
    </w:tbl>
    <w:p w:rsidR="00154447" w:rsidRPr="00D1131E" w:rsidRDefault="00154447" w:rsidP="00154447">
      <w:pPr>
        <w:rPr>
          <w:rFonts w:ascii="Arial" w:hAnsi="Arial" w:cs="Arial"/>
          <w:b/>
        </w:rPr>
      </w:pPr>
    </w:p>
    <w:p w:rsidR="00C449BF" w:rsidRPr="00EE6D44" w:rsidRDefault="00C449BF" w:rsidP="00C449BF">
      <w:pPr>
        <w:rPr>
          <w:rFonts w:cstheme="minorHAnsi"/>
          <w:b/>
          <w:sz w:val="20"/>
          <w:szCs w:val="20"/>
        </w:rPr>
      </w:pPr>
    </w:p>
    <w:p w:rsidR="00753679" w:rsidRPr="00EE6D44" w:rsidRDefault="00753679" w:rsidP="00753679">
      <w:pPr>
        <w:spacing w:after="0"/>
        <w:rPr>
          <w:rFonts w:cstheme="minorHAnsi"/>
          <w:sz w:val="20"/>
          <w:szCs w:val="20"/>
        </w:rPr>
      </w:pPr>
    </w:p>
    <w:sectPr w:rsidR="00753679" w:rsidRPr="00EE6D44" w:rsidSect="00226C65">
      <w:headerReference w:type="even" r:id="rId9"/>
      <w:headerReference w:type="default" r:id="rId10"/>
      <w:footerReference w:type="even" r:id="rId11"/>
      <w:footerReference w:type="default" r:id="rId12"/>
      <w:headerReference w:type="first" r:id="rId13"/>
      <w:footerReference w:type="first" r:id="rId14"/>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C27" w:rsidRDefault="00AD1C27" w:rsidP="00753679">
      <w:pPr>
        <w:spacing w:after="0" w:line="240" w:lineRule="auto"/>
      </w:pPr>
      <w:r>
        <w:separator/>
      </w:r>
    </w:p>
  </w:endnote>
  <w:endnote w:type="continuationSeparator" w:id="0">
    <w:p w:rsidR="00AD1C27" w:rsidRDefault="00AD1C27" w:rsidP="00753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C65" w:rsidRDefault="00226C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C65" w:rsidRDefault="00226C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C65" w:rsidRDefault="00226C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C27" w:rsidRDefault="00AD1C27" w:rsidP="00753679">
      <w:pPr>
        <w:spacing w:after="0" w:line="240" w:lineRule="auto"/>
      </w:pPr>
      <w:r>
        <w:separator/>
      </w:r>
    </w:p>
  </w:footnote>
  <w:footnote w:type="continuationSeparator" w:id="0">
    <w:p w:rsidR="00AD1C27" w:rsidRDefault="00AD1C27" w:rsidP="00753679">
      <w:pPr>
        <w:spacing w:after="0" w:line="240" w:lineRule="auto"/>
      </w:pPr>
      <w:r>
        <w:continuationSeparator/>
      </w:r>
    </w:p>
  </w:footnote>
  <w:footnote w:id="1">
    <w:p w:rsidR="00B50BB7" w:rsidRPr="002E0EE4" w:rsidRDefault="00B50BB7" w:rsidP="00154447">
      <w:pPr>
        <w:rPr>
          <w:rFonts w:ascii="Arial" w:hAnsi="Arial" w:cs="Arial"/>
        </w:rPr>
      </w:pPr>
      <w:r>
        <w:rPr>
          <w:rStyle w:val="FootnoteReference"/>
        </w:rPr>
        <w:footnoteRef/>
      </w:r>
      <w:r>
        <w:t xml:space="preserve"> </w:t>
      </w:r>
      <w:r w:rsidRPr="002E0EE4">
        <w:rPr>
          <w:rFonts w:ascii="Arial" w:hAnsi="Arial" w:cs="Arial"/>
          <w:sz w:val="20"/>
          <w:szCs w:val="20"/>
        </w:rPr>
        <w:t>It is anticipated that due to interdependencies th</w:t>
      </w:r>
      <w:r>
        <w:rPr>
          <w:rFonts w:ascii="Arial" w:hAnsi="Arial" w:cs="Arial"/>
          <w:sz w:val="20"/>
          <w:szCs w:val="20"/>
        </w:rPr>
        <w:t>is</w:t>
      </w:r>
      <w:r w:rsidRPr="002E0EE4">
        <w:rPr>
          <w:rFonts w:ascii="Arial" w:hAnsi="Arial" w:cs="Arial"/>
          <w:sz w:val="20"/>
          <w:szCs w:val="20"/>
        </w:rPr>
        <w:t xml:space="preserve"> initial task and finish group will include the following </w:t>
      </w:r>
      <w:r>
        <w:rPr>
          <w:rFonts w:ascii="Arial" w:hAnsi="Arial" w:cs="Arial"/>
          <w:sz w:val="20"/>
          <w:szCs w:val="20"/>
        </w:rPr>
        <w:t xml:space="preserve">three </w:t>
      </w:r>
      <w:r w:rsidRPr="002E0EE4">
        <w:rPr>
          <w:rFonts w:ascii="Arial" w:hAnsi="Arial" w:cs="Arial"/>
          <w:sz w:val="20"/>
          <w:szCs w:val="20"/>
        </w:rPr>
        <w:t xml:space="preserve">areas: Building the capacity of organisations to offer guidance, recognition of employability skills and potential, and education business links.  Relevant </w:t>
      </w:r>
      <w:r>
        <w:rPr>
          <w:rFonts w:ascii="Arial" w:hAnsi="Arial" w:cs="Arial"/>
          <w:sz w:val="20"/>
          <w:szCs w:val="20"/>
        </w:rPr>
        <w:t xml:space="preserve">sub </w:t>
      </w:r>
      <w:r w:rsidRPr="002E0EE4">
        <w:rPr>
          <w:rFonts w:ascii="Arial" w:hAnsi="Arial" w:cs="Arial"/>
          <w:sz w:val="20"/>
          <w:szCs w:val="20"/>
        </w:rPr>
        <w:t>working groups will be agreed as required.</w:t>
      </w:r>
    </w:p>
    <w:p w:rsidR="00B50BB7" w:rsidRDefault="00B50BB7" w:rsidP="00154447">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C65" w:rsidRDefault="00226C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C65" w:rsidRDefault="00226C65">
    <w:pPr>
      <w:pStyle w:val="Header"/>
    </w:pPr>
    <w:bookmarkStart w:id="0" w:name="_GoBack"/>
    <w:bookmarkEnd w:id="0"/>
  </w:p>
  <w:p w:rsidR="00AD1C27" w:rsidRDefault="00AD1C2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C65" w:rsidRDefault="00226C65" w:rsidP="00226C65">
    <w:pPr>
      <w:pStyle w:val="Header"/>
      <w:jc w:val="right"/>
    </w:pPr>
    <w:r>
      <w:rPr>
        <w:rFonts w:asciiTheme="majorHAnsi" w:hAnsiTheme="majorHAnsi" w:cstheme="majorBidi"/>
        <w:b/>
        <w:bCs/>
        <w:sz w:val="26"/>
        <w:szCs w:val="26"/>
      </w:rPr>
      <w:t>Appendix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9B5"/>
    <w:multiLevelType w:val="hybridMultilevel"/>
    <w:tmpl w:val="25AEE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C5738B"/>
    <w:multiLevelType w:val="hybridMultilevel"/>
    <w:tmpl w:val="DFAC655A"/>
    <w:lvl w:ilvl="0" w:tplc="08090001">
      <w:start w:val="1"/>
      <w:numFmt w:val="bullet"/>
      <w:lvlText w:val=""/>
      <w:lvlJc w:val="left"/>
      <w:pPr>
        <w:ind w:left="720" w:hanging="360"/>
      </w:pPr>
      <w:rPr>
        <w:rFonts w:ascii="Symbol" w:hAnsi="Symbol"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01530A8"/>
    <w:multiLevelType w:val="hybridMultilevel"/>
    <w:tmpl w:val="9F4CB7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CAD508A"/>
    <w:multiLevelType w:val="hybridMultilevel"/>
    <w:tmpl w:val="0DFCE6C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nsid w:val="21D478B2"/>
    <w:multiLevelType w:val="hybridMultilevel"/>
    <w:tmpl w:val="17C2C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0067449"/>
    <w:multiLevelType w:val="hybridMultilevel"/>
    <w:tmpl w:val="A894CC7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6">
    <w:nsid w:val="45C962F8"/>
    <w:multiLevelType w:val="hybridMultilevel"/>
    <w:tmpl w:val="6164B854"/>
    <w:lvl w:ilvl="0" w:tplc="0B2CE398">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BE30A54"/>
    <w:multiLevelType w:val="hybridMultilevel"/>
    <w:tmpl w:val="E2E2A1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52013E09"/>
    <w:multiLevelType w:val="multilevel"/>
    <w:tmpl w:val="22DE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61405EC"/>
    <w:multiLevelType w:val="hybridMultilevel"/>
    <w:tmpl w:val="9C72511A"/>
    <w:lvl w:ilvl="0" w:tplc="08090001">
      <w:start w:val="1"/>
      <w:numFmt w:val="bullet"/>
      <w:lvlText w:val=""/>
      <w:lvlJc w:val="left"/>
      <w:pPr>
        <w:ind w:left="720" w:hanging="360"/>
      </w:pPr>
      <w:rPr>
        <w:rFonts w:ascii="Symbol" w:hAnsi="Symbol"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00B4131"/>
    <w:multiLevelType w:val="hybridMultilevel"/>
    <w:tmpl w:val="532E6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E132232"/>
    <w:multiLevelType w:val="hybridMultilevel"/>
    <w:tmpl w:val="9FC256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71FD4195"/>
    <w:multiLevelType w:val="hybridMultilevel"/>
    <w:tmpl w:val="3A9CEC24"/>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73A72D36"/>
    <w:multiLevelType w:val="hybridMultilevel"/>
    <w:tmpl w:val="32DEF588"/>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cs="Wingdings" w:hint="default"/>
      </w:rPr>
    </w:lvl>
    <w:lvl w:ilvl="3" w:tplc="08090001">
      <w:start w:val="1"/>
      <w:numFmt w:val="bullet"/>
      <w:lvlText w:val=""/>
      <w:lvlJc w:val="left"/>
      <w:pPr>
        <w:tabs>
          <w:tab w:val="num" w:pos="2520"/>
        </w:tabs>
        <w:ind w:left="2520" w:hanging="360"/>
      </w:pPr>
      <w:rPr>
        <w:rFonts w:ascii="Symbol" w:hAnsi="Symbol" w:cs="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cs="Wingdings" w:hint="default"/>
      </w:rPr>
    </w:lvl>
    <w:lvl w:ilvl="6" w:tplc="08090001">
      <w:start w:val="1"/>
      <w:numFmt w:val="bullet"/>
      <w:lvlText w:val=""/>
      <w:lvlJc w:val="left"/>
      <w:pPr>
        <w:tabs>
          <w:tab w:val="num" w:pos="4680"/>
        </w:tabs>
        <w:ind w:left="4680" w:hanging="360"/>
      </w:pPr>
      <w:rPr>
        <w:rFonts w:ascii="Symbol" w:hAnsi="Symbol" w:cs="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cs="Wingdings" w:hint="default"/>
      </w:rPr>
    </w:lvl>
  </w:abstractNum>
  <w:abstractNum w:abstractNumId="14">
    <w:nsid w:val="7C650F86"/>
    <w:multiLevelType w:val="hybridMultilevel"/>
    <w:tmpl w:val="6786F5EE"/>
    <w:lvl w:ilvl="0" w:tplc="08090001">
      <w:start w:val="1"/>
      <w:numFmt w:val="bullet"/>
      <w:lvlText w:val=""/>
      <w:lvlJc w:val="left"/>
      <w:pPr>
        <w:ind w:left="780" w:hanging="360"/>
      </w:pPr>
      <w:rPr>
        <w:rFonts w:ascii="Symbol" w:hAnsi="Symbol" w:cs="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cs="Wingdings" w:hint="default"/>
      </w:rPr>
    </w:lvl>
    <w:lvl w:ilvl="3" w:tplc="08090001">
      <w:start w:val="1"/>
      <w:numFmt w:val="bullet"/>
      <w:lvlText w:val=""/>
      <w:lvlJc w:val="left"/>
      <w:pPr>
        <w:ind w:left="2940" w:hanging="360"/>
      </w:pPr>
      <w:rPr>
        <w:rFonts w:ascii="Symbol" w:hAnsi="Symbol" w:cs="Symbol" w:hint="default"/>
      </w:rPr>
    </w:lvl>
    <w:lvl w:ilvl="4" w:tplc="08090003">
      <w:start w:val="1"/>
      <w:numFmt w:val="bullet"/>
      <w:lvlText w:val="o"/>
      <w:lvlJc w:val="left"/>
      <w:pPr>
        <w:ind w:left="3660" w:hanging="360"/>
      </w:pPr>
      <w:rPr>
        <w:rFonts w:ascii="Courier New" w:hAnsi="Courier New" w:cs="Courier New" w:hint="default"/>
      </w:rPr>
    </w:lvl>
    <w:lvl w:ilvl="5" w:tplc="08090005">
      <w:start w:val="1"/>
      <w:numFmt w:val="bullet"/>
      <w:lvlText w:val=""/>
      <w:lvlJc w:val="left"/>
      <w:pPr>
        <w:ind w:left="4380" w:hanging="360"/>
      </w:pPr>
      <w:rPr>
        <w:rFonts w:ascii="Wingdings" w:hAnsi="Wingdings" w:cs="Wingdings" w:hint="default"/>
      </w:rPr>
    </w:lvl>
    <w:lvl w:ilvl="6" w:tplc="08090001">
      <w:start w:val="1"/>
      <w:numFmt w:val="bullet"/>
      <w:lvlText w:val=""/>
      <w:lvlJc w:val="left"/>
      <w:pPr>
        <w:ind w:left="5100" w:hanging="360"/>
      </w:pPr>
      <w:rPr>
        <w:rFonts w:ascii="Symbol" w:hAnsi="Symbol" w:cs="Symbol" w:hint="default"/>
      </w:rPr>
    </w:lvl>
    <w:lvl w:ilvl="7" w:tplc="08090003">
      <w:start w:val="1"/>
      <w:numFmt w:val="bullet"/>
      <w:lvlText w:val="o"/>
      <w:lvlJc w:val="left"/>
      <w:pPr>
        <w:ind w:left="5820" w:hanging="360"/>
      </w:pPr>
      <w:rPr>
        <w:rFonts w:ascii="Courier New" w:hAnsi="Courier New" w:cs="Courier New" w:hint="default"/>
      </w:rPr>
    </w:lvl>
    <w:lvl w:ilvl="8" w:tplc="08090005">
      <w:start w:val="1"/>
      <w:numFmt w:val="bullet"/>
      <w:lvlText w:val=""/>
      <w:lvlJc w:val="left"/>
      <w:pPr>
        <w:ind w:left="6540" w:hanging="360"/>
      </w:pPr>
      <w:rPr>
        <w:rFonts w:ascii="Wingdings" w:hAnsi="Wingdings" w:cs="Wingdings" w:hint="default"/>
      </w:rPr>
    </w:lvl>
  </w:abstractNum>
  <w:num w:numId="1">
    <w:abstractNumId w:val="0"/>
  </w:num>
  <w:num w:numId="2">
    <w:abstractNumId w:val="8"/>
  </w:num>
  <w:num w:numId="3">
    <w:abstractNumId w:val="4"/>
  </w:num>
  <w:num w:numId="4">
    <w:abstractNumId w:val="13"/>
  </w:num>
  <w:num w:numId="5">
    <w:abstractNumId w:val="12"/>
  </w:num>
  <w:num w:numId="6">
    <w:abstractNumId w:val="11"/>
  </w:num>
  <w:num w:numId="7">
    <w:abstractNumId w:val="2"/>
  </w:num>
  <w:num w:numId="8">
    <w:abstractNumId w:val="14"/>
  </w:num>
  <w:num w:numId="9">
    <w:abstractNumId w:val="3"/>
  </w:num>
  <w:num w:numId="10">
    <w:abstractNumId w:val="5"/>
  </w:num>
  <w:num w:numId="11">
    <w:abstractNumId w:val="10"/>
  </w:num>
  <w:num w:numId="12">
    <w:abstractNumId w:val="6"/>
  </w:num>
  <w:num w:numId="13">
    <w:abstractNumId w:val="1"/>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679"/>
    <w:rsid w:val="000505F1"/>
    <w:rsid w:val="00065B76"/>
    <w:rsid w:val="0007350C"/>
    <w:rsid w:val="00154447"/>
    <w:rsid w:val="001C2D9F"/>
    <w:rsid w:val="00226C65"/>
    <w:rsid w:val="002E78AD"/>
    <w:rsid w:val="00400E65"/>
    <w:rsid w:val="004618E0"/>
    <w:rsid w:val="004C0A70"/>
    <w:rsid w:val="004D0197"/>
    <w:rsid w:val="00586347"/>
    <w:rsid w:val="00643A15"/>
    <w:rsid w:val="00753679"/>
    <w:rsid w:val="007C7AFD"/>
    <w:rsid w:val="0084237F"/>
    <w:rsid w:val="008839C2"/>
    <w:rsid w:val="009A15AB"/>
    <w:rsid w:val="00A45FD3"/>
    <w:rsid w:val="00A7085B"/>
    <w:rsid w:val="00A718BF"/>
    <w:rsid w:val="00AD1C27"/>
    <w:rsid w:val="00B42019"/>
    <w:rsid w:val="00B50BB7"/>
    <w:rsid w:val="00C449BF"/>
    <w:rsid w:val="00CA2734"/>
    <w:rsid w:val="00CC3FA1"/>
    <w:rsid w:val="00CD4071"/>
    <w:rsid w:val="00CF0A2A"/>
    <w:rsid w:val="00CF1B8D"/>
    <w:rsid w:val="00DD749C"/>
    <w:rsid w:val="00E17EFA"/>
    <w:rsid w:val="00E81BE6"/>
    <w:rsid w:val="00EB463C"/>
    <w:rsid w:val="00EE6D44"/>
    <w:rsid w:val="00EF3350"/>
    <w:rsid w:val="00F12A41"/>
    <w:rsid w:val="00FB2AF7"/>
    <w:rsid w:val="00FE5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197"/>
  </w:style>
  <w:style w:type="paragraph" w:styleId="Heading1">
    <w:name w:val="heading 1"/>
    <w:basedOn w:val="Normal"/>
    <w:next w:val="Normal"/>
    <w:link w:val="Heading1Char"/>
    <w:uiPriority w:val="9"/>
    <w:qFormat/>
    <w:rsid w:val="007536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7AFD"/>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679"/>
  </w:style>
  <w:style w:type="paragraph" w:styleId="Footer">
    <w:name w:val="footer"/>
    <w:basedOn w:val="Normal"/>
    <w:link w:val="FooterChar"/>
    <w:uiPriority w:val="99"/>
    <w:unhideWhenUsed/>
    <w:rsid w:val="00753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679"/>
  </w:style>
  <w:style w:type="paragraph" w:styleId="BalloonText">
    <w:name w:val="Balloon Text"/>
    <w:basedOn w:val="Normal"/>
    <w:link w:val="BalloonTextChar"/>
    <w:uiPriority w:val="99"/>
    <w:semiHidden/>
    <w:unhideWhenUsed/>
    <w:rsid w:val="00753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679"/>
    <w:rPr>
      <w:rFonts w:ascii="Tahoma" w:hAnsi="Tahoma" w:cs="Tahoma"/>
      <w:sz w:val="16"/>
      <w:szCs w:val="16"/>
    </w:rPr>
  </w:style>
  <w:style w:type="character" w:customStyle="1" w:styleId="Heading1Char">
    <w:name w:val="Heading 1 Char"/>
    <w:basedOn w:val="DefaultParagraphFont"/>
    <w:link w:val="Heading1"/>
    <w:uiPriority w:val="9"/>
    <w:rsid w:val="0075367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536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C7AFD"/>
    <w:rPr>
      <w:rFonts w:asciiTheme="majorHAnsi" w:eastAsiaTheme="majorEastAsia" w:hAnsiTheme="majorHAnsi" w:cstheme="majorBidi"/>
      <w:b/>
      <w:bCs/>
      <w:color w:val="4F81BD" w:themeColor="accent1"/>
      <w:sz w:val="26"/>
      <w:szCs w:val="26"/>
    </w:rPr>
  </w:style>
  <w:style w:type="character" w:styleId="FootnoteReference">
    <w:name w:val="footnote reference"/>
    <w:rsid w:val="007C7AFD"/>
    <w:rPr>
      <w:vertAlign w:val="superscript"/>
    </w:rPr>
  </w:style>
  <w:style w:type="paragraph" w:styleId="FootnoteText">
    <w:name w:val="footnote text"/>
    <w:basedOn w:val="Normal"/>
    <w:link w:val="FootnoteTextChar"/>
    <w:rsid w:val="007C7AFD"/>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rsid w:val="007C7AFD"/>
    <w:rPr>
      <w:rFonts w:ascii="Arial" w:eastAsia="Times New Roman" w:hAnsi="Arial" w:cs="Times New Roman"/>
      <w:sz w:val="20"/>
      <w:szCs w:val="20"/>
    </w:rPr>
  </w:style>
  <w:style w:type="paragraph" w:styleId="ListParagraph">
    <w:name w:val="List Paragraph"/>
    <w:basedOn w:val="Normal"/>
    <w:uiPriority w:val="99"/>
    <w:qFormat/>
    <w:rsid w:val="007C7AFD"/>
    <w:pPr>
      <w:spacing w:after="0" w:line="240" w:lineRule="auto"/>
      <w:ind w:left="720"/>
    </w:pPr>
    <w:rPr>
      <w:rFonts w:ascii="Arial" w:eastAsia="Times New Roman" w:hAnsi="Arial" w:cs="Times New Roman"/>
    </w:rPr>
  </w:style>
  <w:style w:type="character" w:styleId="Hyperlink">
    <w:name w:val="Hyperlink"/>
    <w:basedOn w:val="DefaultParagraphFont"/>
    <w:uiPriority w:val="99"/>
    <w:unhideWhenUsed/>
    <w:rsid w:val="002E78AD"/>
    <w:rPr>
      <w:color w:val="0000FF" w:themeColor="hyperlink"/>
      <w:u w:val="single"/>
    </w:rPr>
  </w:style>
  <w:style w:type="paragraph" w:styleId="NormalWeb">
    <w:name w:val="Normal (Web)"/>
    <w:basedOn w:val="Normal"/>
    <w:uiPriority w:val="99"/>
    <w:semiHidden/>
    <w:unhideWhenUsed/>
    <w:rsid w:val="000735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07350C"/>
    <w:rPr>
      <w:color w:val="800080" w:themeColor="followedHyperlink"/>
      <w:u w:val="single"/>
    </w:rPr>
  </w:style>
  <w:style w:type="character" w:styleId="CommentReference">
    <w:name w:val="annotation reference"/>
    <w:basedOn w:val="DefaultParagraphFont"/>
    <w:rsid w:val="00C449BF"/>
    <w:rPr>
      <w:sz w:val="16"/>
      <w:szCs w:val="16"/>
    </w:rPr>
  </w:style>
  <w:style w:type="paragraph" w:styleId="CommentText">
    <w:name w:val="annotation text"/>
    <w:basedOn w:val="Normal"/>
    <w:link w:val="CommentTextChar"/>
    <w:rsid w:val="00C449BF"/>
    <w:pPr>
      <w:spacing w:after="0" w:line="240" w:lineRule="auto"/>
    </w:pPr>
    <w:rPr>
      <w:rFonts w:ascii="Calibri" w:hAnsi="Calibri" w:cs="Times New Roman"/>
      <w:sz w:val="20"/>
      <w:szCs w:val="20"/>
    </w:rPr>
  </w:style>
  <w:style w:type="character" w:customStyle="1" w:styleId="CommentTextChar">
    <w:name w:val="Comment Text Char"/>
    <w:basedOn w:val="DefaultParagraphFont"/>
    <w:link w:val="CommentText"/>
    <w:rsid w:val="00C449BF"/>
    <w:rPr>
      <w:rFonts w:ascii="Calibri"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197"/>
  </w:style>
  <w:style w:type="paragraph" w:styleId="Heading1">
    <w:name w:val="heading 1"/>
    <w:basedOn w:val="Normal"/>
    <w:next w:val="Normal"/>
    <w:link w:val="Heading1Char"/>
    <w:uiPriority w:val="9"/>
    <w:qFormat/>
    <w:rsid w:val="007536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7AFD"/>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679"/>
  </w:style>
  <w:style w:type="paragraph" w:styleId="Footer">
    <w:name w:val="footer"/>
    <w:basedOn w:val="Normal"/>
    <w:link w:val="FooterChar"/>
    <w:uiPriority w:val="99"/>
    <w:unhideWhenUsed/>
    <w:rsid w:val="00753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679"/>
  </w:style>
  <w:style w:type="paragraph" w:styleId="BalloonText">
    <w:name w:val="Balloon Text"/>
    <w:basedOn w:val="Normal"/>
    <w:link w:val="BalloonTextChar"/>
    <w:uiPriority w:val="99"/>
    <w:semiHidden/>
    <w:unhideWhenUsed/>
    <w:rsid w:val="00753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679"/>
    <w:rPr>
      <w:rFonts w:ascii="Tahoma" w:hAnsi="Tahoma" w:cs="Tahoma"/>
      <w:sz w:val="16"/>
      <w:szCs w:val="16"/>
    </w:rPr>
  </w:style>
  <w:style w:type="character" w:customStyle="1" w:styleId="Heading1Char">
    <w:name w:val="Heading 1 Char"/>
    <w:basedOn w:val="DefaultParagraphFont"/>
    <w:link w:val="Heading1"/>
    <w:uiPriority w:val="9"/>
    <w:rsid w:val="0075367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536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C7AFD"/>
    <w:rPr>
      <w:rFonts w:asciiTheme="majorHAnsi" w:eastAsiaTheme="majorEastAsia" w:hAnsiTheme="majorHAnsi" w:cstheme="majorBidi"/>
      <w:b/>
      <w:bCs/>
      <w:color w:val="4F81BD" w:themeColor="accent1"/>
      <w:sz w:val="26"/>
      <w:szCs w:val="26"/>
    </w:rPr>
  </w:style>
  <w:style w:type="character" w:styleId="FootnoteReference">
    <w:name w:val="footnote reference"/>
    <w:rsid w:val="007C7AFD"/>
    <w:rPr>
      <w:vertAlign w:val="superscript"/>
    </w:rPr>
  </w:style>
  <w:style w:type="paragraph" w:styleId="FootnoteText">
    <w:name w:val="footnote text"/>
    <w:basedOn w:val="Normal"/>
    <w:link w:val="FootnoteTextChar"/>
    <w:rsid w:val="007C7AFD"/>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rsid w:val="007C7AFD"/>
    <w:rPr>
      <w:rFonts w:ascii="Arial" w:eastAsia="Times New Roman" w:hAnsi="Arial" w:cs="Times New Roman"/>
      <w:sz w:val="20"/>
      <w:szCs w:val="20"/>
    </w:rPr>
  </w:style>
  <w:style w:type="paragraph" w:styleId="ListParagraph">
    <w:name w:val="List Paragraph"/>
    <w:basedOn w:val="Normal"/>
    <w:uiPriority w:val="99"/>
    <w:qFormat/>
    <w:rsid w:val="007C7AFD"/>
    <w:pPr>
      <w:spacing w:after="0" w:line="240" w:lineRule="auto"/>
      <w:ind w:left="720"/>
    </w:pPr>
    <w:rPr>
      <w:rFonts w:ascii="Arial" w:eastAsia="Times New Roman" w:hAnsi="Arial" w:cs="Times New Roman"/>
    </w:rPr>
  </w:style>
  <w:style w:type="character" w:styleId="Hyperlink">
    <w:name w:val="Hyperlink"/>
    <w:basedOn w:val="DefaultParagraphFont"/>
    <w:uiPriority w:val="99"/>
    <w:unhideWhenUsed/>
    <w:rsid w:val="002E78AD"/>
    <w:rPr>
      <w:color w:val="0000FF" w:themeColor="hyperlink"/>
      <w:u w:val="single"/>
    </w:rPr>
  </w:style>
  <w:style w:type="paragraph" w:styleId="NormalWeb">
    <w:name w:val="Normal (Web)"/>
    <w:basedOn w:val="Normal"/>
    <w:uiPriority w:val="99"/>
    <w:semiHidden/>
    <w:unhideWhenUsed/>
    <w:rsid w:val="000735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07350C"/>
    <w:rPr>
      <w:color w:val="800080" w:themeColor="followedHyperlink"/>
      <w:u w:val="single"/>
    </w:rPr>
  </w:style>
  <w:style w:type="character" w:styleId="CommentReference">
    <w:name w:val="annotation reference"/>
    <w:basedOn w:val="DefaultParagraphFont"/>
    <w:rsid w:val="00C449BF"/>
    <w:rPr>
      <w:sz w:val="16"/>
      <w:szCs w:val="16"/>
    </w:rPr>
  </w:style>
  <w:style w:type="paragraph" w:styleId="CommentText">
    <w:name w:val="annotation text"/>
    <w:basedOn w:val="Normal"/>
    <w:link w:val="CommentTextChar"/>
    <w:rsid w:val="00C449BF"/>
    <w:pPr>
      <w:spacing w:after="0" w:line="240" w:lineRule="auto"/>
    </w:pPr>
    <w:rPr>
      <w:rFonts w:ascii="Calibri" w:hAnsi="Calibri" w:cs="Times New Roman"/>
      <w:sz w:val="20"/>
      <w:szCs w:val="20"/>
    </w:rPr>
  </w:style>
  <w:style w:type="character" w:customStyle="1" w:styleId="CommentTextChar">
    <w:name w:val="Comment Text Char"/>
    <w:basedOn w:val="DefaultParagraphFont"/>
    <w:link w:val="CommentText"/>
    <w:rsid w:val="00C449BF"/>
    <w:rPr>
      <w:rFonts w:ascii="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035139">
      <w:bodyDiv w:val="1"/>
      <w:marLeft w:val="0"/>
      <w:marRight w:val="0"/>
      <w:marTop w:val="0"/>
      <w:marBottom w:val="0"/>
      <w:divBdr>
        <w:top w:val="none" w:sz="0" w:space="0" w:color="auto"/>
        <w:left w:val="none" w:sz="0" w:space="0" w:color="auto"/>
        <w:bottom w:val="none" w:sz="0" w:space="0" w:color="auto"/>
        <w:right w:val="none" w:sz="0" w:space="0" w:color="auto"/>
      </w:divBdr>
    </w:div>
    <w:div w:id="1606621162">
      <w:bodyDiv w:val="1"/>
      <w:marLeft w:val="0"/>
      <w:marRight w:val="0"/>
      <w:marTop w:val="0"/>
      <w:marBottom w:val="0"/>
      <w:divBdr>
        <w:top w:val="none" w:sz="0" w:space="0" w:color="auto"/>
        <w:left w:val="none" w:sz="0" w:space="0" w:color="auto"/>
        <w:bottom w:val="none" w:sz="0" w:space="0" w:color="auto"/>
        <w:right w:val="none" w:sz="0" w:space="0" w:color="auto"/>
      </w:divBdr>
    </w:div>
    <w:div w:id="1731658162">
      <w:bodyDiv w:val="1"/>
      <w:marLeft w:val="0"/>
      <w:marRight w:val="0"/>
      <w:marTop w:val="0"/>
      <w:marBottom w:val="0"/>
      <w:divBdr>
        <w:top w:val="none" w:sz="0" w:space="0" w:color="auto"/>
        <w:left w:val="none" w:sz="0" w:space="0" w:color="auto"/>
        <w:bottom w:val="none" w:sz="0" w:space="0" w:color="auto"/>
        <w:right w:val="none" w:sz="0" w:space="0" w:color="auto"/>
      </w:divBdr>
    </w:div>
    <w:div w:id="200967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CE25A-3186-4E1C-B2FA-6F37EA784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London Councils</Company>
  <LinksUpToDate>false</LinksUpToDate>
  <CharactersWithSpaces>11838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OBrien</dc:creator>
  <cp:lastModifiedBy>Eleanor Lloyd</cp:lastModifiedBy>
  <cp:revision>3</cp:revision>
  <cp:lastPrinted>2014-04-24T15:25:00Z</cp:lastPrinted>
  <dcterms:created xsi:type="dcterms:W3CDTF">2014-05-23T07:04:00Z</dcterms:created>
  <dcterms:modified xsi:type="dcterms:W3CDTF">2014-05-27T12:37:00Z</dcterms:modified>
</cp:coreProperties>
</file>

<file path=docProps/custom.xml><?xml version="1.0" encoding="utf-8"?>
<op:Properties xmlns:op="http://schemas.openxmlformats.org/officeDocument/2006/custom-properties"/>
</file>