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2B9" w:rsidRPr="00642AB0" w:rsidRDefault="004132B9" w:rsidP="004132B9">
      <w:pPr>
        <w:rPr>
          <w:rFonts w:ascii="Arial" w:hAnsi="Arial" w:cs="Arial"/>
          <w:b/>
        </w:rPr>
      </w:pPr>
      <w:bookmarkStart w:id="0" w:name="_GoBack"/>
      <w:bookmarkEnd w:id="0"/>
    </w:p>
    <w:p w:rsidR="004132B9" w:rsidRPr="00642AB0" w:rsidRDefault="002649DD" w:rsidP="004132B9">
      <w:pPr>
        <w:tabs>
          <w:tab w:val="left" w:pos="0"/>
        </w:tabs>
        <w:rPr>
          <w:rFonts w:ascii="Arial" w:hAnsi="Arial" w:cs="Arial"/>
          <w:b/>
        </w:rPr>
      </w:pPr>
      <w:r w:rsidRPr="00642AB0">
        <w:rPr>
          <w:rFonts w:ascii="Arial" w:hAnsi="Arial" w:cs="Arial"/>
          <w:b/>
        </w:rPr>
        <w:t xml:space="preserve">EXPLANATORY MEMORANDUM (EM) ON EUROPEAN UNION DOCUMENTS </w:t>
      </w:r>
    </w:p>
    <w:p w:rsidR="004132B9" w:rsidRPr="00642AB0" w:rsidRDefault="004132B9" w:rsidP="004132B9">
      <w:pPr>
        <w:tabs>
          <w:tab w:val="left" w:pos="0"/>
        </w:tabs>
        <w:rPr>
          <w:rFonts w:ascii="Arial" w:hAnsi="Arial" w:cs="Arial"/>
        </w:rPr>
      </w:pPr>
    </w:p>
    <w:p w:rsidR="00A34D67" w:rsidRPr="00642AB0" w:rsidRDefault="00A34D67" w:rsidP="00A34D67">
      <w:pPr>
        <w:pStyle w:val="NoSpacing"/>
        <w:rPr>
          <w:szCs w:val="24"/>
        </w:rPr>
      </w:pPr>
      <w:r w:rsidRPr="00642AB0">
        <w:rPr>
          <w:b/>
          <w:szCs w:val="24"/>
        </w:rPr>
        <w:t xml:space="preserve">Proposal for a Council decision on the signature of the Agreement between Canada and the European Union on the transfer and processing of Passenger Name </w:t>
      </w:r>
      <w:r w:rsidR="003347B1" w:rsidRPr="00642AB0">
        <w:rPr>
          <w:b/>
          <w:szCs w:val="24"/>
        </w:rPr>
        <w:t>data</w:t>
      </w:r>
      <w:r w:rsidR="00EE6D4D" w:rsidRPr="00642AB0">
        <w:rPr>
          <w:b/>
          <w:szCs w:val="24"/>
        </w:rPr>
        <w:tab/>
      </w:r>
      <w:r w:rsidR="00EE6D4D" w:rsidRPr="00642AB0">
        <w:rPr>
          <w:b/>
          <w:szCs w:val="24"/>
        </w:rPr>
        <w:tab/>
      </w:r>
      <w:r w:rsidR="00EE6D4D" w:rsidRPr="00642AB0">
        <w:rPr>
          <w:b/>
          <w:szCs w:val="24"/>
        </w:rPr>
        <w:tab/>
      </w:r>
      <w:r w:rsidR="00EE6D4D" w:rsidRPr="00642AB0">
        <w:rPr>
          <w:b/>
          <w:szCs w:val="24"/>
        </w:rPr>
        <w:tab/>
      </w:r>
      <w:r w:rsidR="00EE6D4D" w:rsidRPr="00642AB0">
        <w:rPr>
          <w:b/>
          <w:szCs w:val="24"/>
        </w:rPr>
        <w:tab/>
      </w:r>
      <w:r w:rsidR="00EE6D4D" w:rsidRPr="00642AB0">
        <w:rPr>
          <w:b/>
          <w:szCs w:val="24"/>
        </w:rPr>
        <w:tab/>
      </w:r>
      <w:r w:rsidR="00EE6D4D" w:rsidRPr="00642AB0">
        <w:rPr>
          <w:b/>
          <w:szCs w:val="24"/>
        </w:rPr>
        <w:tab/>
      </w:r>
      <w:r w:rsidR="00EE6D4D" w:rsidRPr="00642AB0">
        <w:rPr>
          <w:b/>
          <w:szCs w:val="24"/>
        </w:rPr>
        <w:tab/>
      </w:r>
      <w:r w:rsidR="00EE6D4D" w:rsidRPr="00642AB0">
        <w:rPr>
          <w:b/>
          <w:szCs w:val="24"/>
        </w:rPr>
        <w:tab/>
      </w:r>
      <w:r w:rsidR="00EE6D4D" w:rsidRPr="00642AB0">
        <w:rPr>
          <w:b/>
          <w:szCs w:val="24"/>
        </w:rPr>
        <w:tab/>
      </w:r>
      <w:r w:rsidR="002649DD" w:rsidRPr="00642AB0">
        <w:rPr>
          <w:b/>
          <w:szCs w:val="24"/>
        </w:rPr>
        <w:t>12645/13</w:t>
      </w:r>
    </w:p>
    <w:p w:rsidR="00A34D67" w:rsidRPr="00642AB0" w:rsidRDefault="00A34D67" w:rsidP="003D3DF3">
      <w:pPr>
        <w:pStyle w:val="NoSpacing"/>
        <w:rPr>
          <w:b/>
          <w:szCs w:val="24"/>
        </w:rPr>
      </w:pPr>
    </w:p>
    <w:p w:rsidR="003D3DF3" w:rsidRPr="00642AB0" w:rsidRDefault="002649DD" w:rsidP="003D3DF3">
      <w:pPr>
        <w:pStyle w:val="NoSpacing"/>
        <w:rPr>
          <w:szCs w:val="24"/>
        </w:rPr>
      </w:pPr>
      <w:r w:rsidRPr="00642AB0">
        <w:rPr>
          <w:b/>
          <w:szCs w:val="24"/>
        </w:rPr>
        <w:t>Proposal for a Council decision on the conclusion of the Agreement between Canada and the European Union on the transfer and processing of Passenger Name Record data</w:t>
      </w:r>
      <w:r w:rsidR="00EE6D4D" w:rsidRPr="00642AB0">
        <w:rPr>
          <w:b/>
          <w:szCs w:val="24"/>
        </w:rPr>
        <w:tab/>
      </w:r>
      <w:r w:rsidR="00EE6D4D" w:rsidRPr="00642AB0">
        <w:rPr>
          <w:b/>
          <w:szCs w:val="24"/>
        </w:rPr>
        <w:tab/>
      </w:r>
      <w:r w:rsidR="00EE6D4D" w:rsidRPr="00642AB0">
        <w:rPr>
          <w:b/>
          <w:szCs w:val="24"/>
        </w:rPr>
        <w:tab/>
      </w:r>
      <w:r w:rsidR="00EE6D4D" w:rsidRPr="00642AB0">
        <w:rPr>
          <w:b/>
          <w:szCs w:val="24"/>
        </w:rPr>
        <w:tab/>
      </w:r>
      <w:r w:rsidR="00EE6D4D" w:rsidRPr="00642AB0">
        <w:rPr>
          <w:b/>
          <w:szCs w:val="24"/>
        </w:rPr>
        <w:tab/>
      </w:r>
      <w:r w:rsidR="00EE6D4D" w:rsidRPr="00642AB0">
        <w:rPr>
          <w:b/>
          <w:szCs w:val="24"/>
        </w:rPr>
        <w:tab/>
      </w:r>
      <w:r w:rsidR="00EE6D4D" w:rsidRPr="00642AB0">
        <w:rPr>
          <w:b/>
          <w:szCs w:val="24"/>
        </w:rPr>
        <w:tab/>
      </w:r>
      <w:r w:rsidR="00EE6D4D" w:rsidRPr="00642AB0">
        <w:rPr>
          <w:b/>
          <w:szCs w:val="24"/>
        </w:rPr>
        <w:tab/>
      </w:r>
      <w:r w:rsidR="00EE6D4D" w:rsidRPr="00642AB0">
        <w:rPr>
          <w:b/>
          <w:szCs w:val="24"/>
        </w:rPr>
        <w:tab/>
      </w:r>
      <w:r w:rsidRPr="00642AB0">
        <w:rPr>
          <w:b/>
          <w:szCs w:val="24"/>
        </w:rPr>
        <w:t>12637/13</w:t>
      </w:r>
    </w:p>
    <w:p w:rsidR="003D3DF3" w:rsidRPr="00642AB0" w:rsidRDefault="003D3DF3" w:rsidP="003D3DF3">
      <w:pPr>
        <w:pStyle w:val="NoSpacing"/>
        <w:rPr>
          <w:szCs w:val="24"/>
        </w:rPr>
      </w:pPr>
    </w:p>
    <w:p w:rsidR="003D3DF3" w:rsidRPr="00642AB0" w:rsidRDefault="003D3DF3" w:rsidP="003D3DF3">
      <w:pPr>
        <w:pStyle w:val="NoSpacing"/>
        <w:rPr>
          <w:szCs w:val="24"/>
        </w:rPr>
      </w:pPr>
    </w:p>
    <w:p w:rsidR="003D3DF3" w:rsidRPr="00642AB0" w:rsidRDefault="003D3DF3" w:rsidP="004132B9">
      <w:pPr>
        <w:tabs>
          <w:tab w:val="left" w:pos="0"/>
        </w:tabs>
        <w:rPr>
          <w:rFonts w:ascii="Arial" w:hAnsi="Arial" w:cs="Arial"/>
        </w:rPr>
      </w:pPr>
    </w:p>
    <w:p w:rsidR="004132B9" w:rsidRPr="00642AB0" w:rsidRDefault="002649DD" w:rsidP="004132B9">
      <w:pPr>
        <w:tabs>
          <w:tab w:val="left" w:pos="0"/>
        </w:tabs>
        <w:rPr>
          <w:rFonts w:ascii="Arial" w:hAnsi="Arial" w:cs="Arial"/>
        </w:rPr>
      </w:pPr>
      <w:proofErr w:type="gramStart"/>
      <w:r w:rsidRPr="00642AB0">
        <w:rPr>
          <w:rFonts w:ascii="Arial" w:hAnsi="Arial" w:cs="Arial"/>
        </w:rPr>
        <w:t>Submitted by the Home Office on          August 2013.</w:t>
      </w:r>
      <w:proofErr w:type="gramEnd"/>
    </w:p>
    <w:p w:rsidR="004132B9" w:rsidRPr="00642AB0" w:rsidRDefault="004132B9" w:rsidP="004132B9">
      <w:pPr>
        <w:tabs>
          <w:tab w:val="left" w:pos="0"/>
        </w:tabs>
        <w:rPr>
          <w:rFonts w:ascii="Arial" w:hAnsi="Arial" w:cs="Arial"/>
        </w:rPr>
      </w:pPr>
    </w:p>
    <w:p w:rsidR="004132B9" w:rsidRPr="00642AB0" w:rsidRDefault="002649DD" w:rsidP="004132B9">
      <w:pPr>
        <w:tabs>
          <w:tab w:val="left" w:pos="0"/>
        </w:tabs>
        <w:rPr>
          <w:rFonts w:ascii="Arial" w:hAnsi="Arial" w:cs="Arial"/>
          <w:b/>
          <w:u w:val="single"/>
        </w:rPr>
      </w:pPr>
      <w:r w:rsidRPr="00642AB0">
        <w:rPr>
          <w:rFonts w:ascii="Arial" w:hAnsi="Arial" w:cs="Arial"/>
          <w:b/>
          <w:u w:val="single"/>
        </w:rPr>
        <w:t>SUBJECT MATTER</w:t>
      </w:r>
    </w:p>
    <w:p w:rsidR="004132B9" w:rsidRPr="00642AB0" w:rsidRDefault="004132B9" w:rsidP="004132B9">
      <w:pPr>
        <w:tabs>
          <w:tab w:val="left" w:pos="0"/>
        </w:tabs>
        <w:rPr>
          <w:rFonts w:ascii="Arial" w:hAnsi="Arial" w:cs="Arial"/>
        </w:rPr>
      </w:pPr>
    </w:p>
    <w:p w:rsidR="004132B9" w:rsidRPr="00642AB0" w:rsidRDefault="002649DD" w:rsidP="00055DC5">
      <w:pPr>
        <w:pStyle w:val="NoSpacing"/>
        <w:numPr>
          <w:ilvl w:val="0"/>
          <w:numId w:val="1"/>
        </w:numPr>
        <w:tabs>
          <w:tab w:val="clear" w:pos="360"/>
          <w:tab w:val="left" w:pos="284"/>
        </w:tabs>
        <w:ind w:left="0" w:firstLine="0"/>
        <w:rPr>
          <w:szCs w:val="24"/>
        </w:rPr>
      </w:pPr>
      <w:r w:rsidRPr="00642AB0">
        <w:rPr>
          <w:szCs w:val="24"/>
        </w:rPr>
        <w:t>Th</w:t>
      </w:r>
      <w:r w:rsidR="00A34D67" w:rsidRPr="00642AB0">
        <w:rPr>
          <w:szCs w:val="24"/>
        </w:rPr>
        <w:t>is</w:t>
      </w:r>
      <w:r w:rsidRPr="00642AB0">
        <w:rPr>
          <w:szCs w:val="24"/>
        </w:rPr>
        <w:t xml:space="preserve"> Explanatory Memorandum</w:t>
      </w:r>
      <w:r w:rsidR="00A34D67" w:rsidRPr="00642AB0">
        <w:rPr>
          <w:szCs w:val="24"/>
        </w:rPr>
        <w:t xml:space="preserve"> (EM)</w:t>
      </w:r>
      <w:r w:rsidRPr="00642AB0">
        <w:rPr>
          <w:szCs w:val="24"/>
        </w:rPr>
        <w:t xml:space="preserve"> relates to a draft Agreement between Canada and the European Union to allow the use and transfer of Passenger Name Record (</w:t>
      </w:r>
      <w:smartTag w:uri="urn:schemas-microsoft-com:office:smarttags" w:element="stockticker">
        <w:r w:rsidRPr="00642AB0">
          <w:rPr>
            <w:szCs w:val="24"/>
          </w:rPr>
          <w:t>PNR</w:t>
        </w:r>
      </w:smartTag>
      <w:r w:rsidRPr="00642AB0">
        <w:rPr>
          <w:szCs w:val="24"/>
        </w:rPr>
        <w:t>) data to the Canadian Competent Authority. PNR is a record of each passenger's travel requirements which contains all information necessary to enable reservations to be processed and controlled by air carriers.</w:t>
      </w:r>
    </w:p>
    <w:p w:rsidR="004132B9" w:rsidRPr="00642AB0" w:rsidRDefault="004132B9" w:rsidP="00055DC5">
      <w:pPr>
        <w:tabs>
          <w:tab w:val="left" w:pos="0"/>
          <w:tab w:val="left" w:pos="284"/>
        </w:tabs>
        <w:rPr>
          <w:rFonts w:ascii="Arial" w:hAnsi="Arial" w:cs="Arial"/>
        </w:rPr>
      </w:pPr>
    </w:p>
    <w:p w:rsidR="00774BB5" w:rsidRPr="00642AB0" w:rsidRDefault="002649DD" w:rsidP="00055DC5">
      <w:pPr>
        <w:numPr>
          <w:ilvl w:val="0"/>
          <w:numId w:val="1"/>
        </w:numPr>
        <w:tabs>
          <w:tab w:val="left" w:pos="0"/>
          <w:tab w:val="left" w:pos="284"/>
        </w:tabs>
        <w:ind w:left="0" w:firstLine="0"/>
        <w:rPr>
          <w:rFonts w:ascii="Arial" w:hAnsi="Arial" w:cs="Arial"/>
        </w:rPr>
      </w:pPr>
      <w:r w:rsidRPr="00642AB0">
        <w:rPr>
          <w:rFonts w:ascii="Arial" w:hAnsi="Arial" w:cs="Arial"/>
        </w:rPr>
        <w:t xml:space="preserve">The EU signed an initial PNR </w:t>
      </w:r>
      <w:r w:rsidR="00EE6D4D" w:rsidRPr="00642AB0">
        <w:rPr>
          <w:rFonts w:ascii="Arial" w:hAnsi="Arial" w:cs="Arial"/>
        </w:rPr>
        <w:t>A</w:t>
      </w:r>
      <w:r w:rsidRPr="00642AB0">
        <w:rPr>
          <w:rFonts w:ascii="Arial" w:hAnsi="Arial" w:cs="Arial"/>
        </w:rPr>
        <w:t>greement with Canada in March 2006</w:t>
      </w:r>
      <w:r w:rsidR="00A34D67" w:rsidRPr="00642AB0">
        <w:rPr>
          <w:rFonts w:ascii="Arial" w:hAnsi="Arial" w:cs="Arial"/>
        </w:rPr>
        <w:t>;</w:t>
      </w:r>
      <w:r w:rsidRPr="00642AB0">
        <w:rPr>
          <w:rFonts w:ascii="Arial" w:hAnsi="Arial" w:cs="Arial"/>
        </w:rPr>
        <w:t xml:space="preserve"> however a key provision of the agreement relied on the existence of a Commission Decision on </w:t>
      </w:r>
      <w:proofErr w:type="gramStart"/>
      <w:r w:rsidRPr="00642AB0">
        <w:rPr>
          <w:rFonts w:ascii="Arial" w:hAnsi="Arial" w:cs="Arial"/>
        </w:rPr>
        <w:t>data</w:t>
      </w:r>
      <w:proofErr w:type="gramEnd"/>
      <w:r w:rsidRPr="00642AB0">
        <w:rPr>
          <w:rFonts w:ascii="Arial" w:hAnsi="Arial" w:cs="Arial"/>
        </w:rPr>
        <w:t xml:space="preserve"> protection adequacy, which lapsed in September 2009.  The </w:t>
      </w:r>
      <w:r w:rsidR="00EE6D4D" w:rsidRPr="00642AB0">
        <w:rPr>
          <w:rFonts w:ascii="Arial" w:hAnsi="Arial" w:cs="Arial"/>
        </w:rPr>
        <w:t>A</w:t>
      </w:r>
      <w:r w:rsidRPr="00642AB0">
        <w:rPr>
          <w:rFonts w:ascii="Arial" w:hAnsi="Arial" w:cs="Arial"/>
        </w:rPr>
        <w:t>greement has since that time been applied on the basis of an exchange of letters between the Commission and the Canadian authorities.</w:t>
      </w:r>
    </w:p>
    <w:p w:rsidR="004132B9" w:rsidRPr="00642AB0" w:rsidRDefault="004132B9" w:rsidP="004132B9">
      <w:pPr>
        <w:tabs>
          <w:tab w:val="left" w:pos="0"/>
        </w:tabs>
        <w:rPr>
          <w:rFonts w:ascii="Arial" w:hAnsi="Arial" w:cs="Arial"/>
          <w:highlight w:val="yellow"/>
        </w:rPr>
      </w:pPr>
    </w:p>
    <w:p w:rsidR="004132B9" w:rsidRPr="00642AB0" w:rsidRDefault="002649DD" w:rsidP="004132B9">
      <w:pPr>
        <w:tabs>
          <w:tab w:val="left" w:pos="0"/>
        </w:tabs>
        <w:rPr>
          <w:rFonts w:ascii="Arial" w:hAnsi="Arial" w:cs="Arial"/>
          <w:b/>
          <w:u w:val="single"/>
        </w:rPr>
      </w:pPr>
      <w:r w:rsidRPr="00642AB0">
        <w:rPr>
          <w:rFonts w:ascii="Arial" w:hAnsi="Arial" w:cs="Arial"/>
          <w:b/>
          <w:u w:val="single"/>
        </w:rPr>
        <w:t>SCRUTINY HISTORY</w:t>
      </w:r>
    </w:p>
    <w:p w:rsidR="004132B9" w:rsidRPr="00642AB0" w:rsidRDefault="004132B9" w:rsidP="004132B9">
      <w:pPr>
        <w:tabs>
          <w:tab w:val="left" w:pos="0"/>
        </w:tabs>
        <w:rPr>
          <w:rFonts w:ascii="Arial" w:hAnsi="Arial" w:cs="Arial"/>
          <w:u w:val="single"/>
        </w:rPr>
      </w:pPr>
    </w:p>
    <w:p w:rsidR="00CA7F56" w:rsidRPr="00642AB0" w:rsidRDefault="002649DD" w:rsidP="004132B9">
      <w:pPr>
        <w:numPr>
          <w:ilvl w:val="0"/>
          <w:numId w:val="1"/>
        </w:numPr>
        <w:tabs>
          <w:tab w:val="left" w:pos="0"/>
        </w:tabs>
        <w:ind w:left="0" w:firstLine="0"/>
        <w:rPr>
          <w:rFonts w:ascii="Arial" w:hAnsi="Arial" w:cs="Arial"/>
        </w:rPr>
      </w:pPr>
      <w:r w:rsidRPr="00642AB0">
        <w:rPr>
          <w:rFonts w:ascii="Arial" w:hAnsi="Arial" w:cs="Arial"/>
        </w:rPr>
        <w:t xml:space="preserve">The UK opted in to negotiating mandates for PNR </w:t>
      </w:r>
      <w:r w:rsidR="00EE6D4D" w:rsidRPr="00642AB0">
        <w:rPr>
          <w:rFonts w:ascii="Arial" w:hAnsi="Arial" w:cs="Arial"/>
        </w:rPr>
        <w:t>A</w:t>
      </w:r>
      <w:r w:rsidRPr="00642AB0">
        <w:rPr>
          <w:rFonts w:ascii="Arial" w:hAnsi="Arial" w:cs="Arial"/>
        </w:rPr>
        <w:t>greements with the USA, Australia and Canada in December 2010 and announced this decision to Parliament on 20 December 2010.</w:t>
      </w:r>
      <w:r w:rsidR="00126168" w:rsidRPr="00642AB0">
        <w:rPr>
          <w:rFonts w:ascii="Arial" w:hAnsi="Arial" w:cs="Arial"/>
        </w:rPr>
        <w:t xml:space="preserve">  </w:t>
      </w:r>
      <w:r w:rsidRPr="00642AB0">
        <w:rPr>
          <w:rFonts w:ascii="Arial" w:hAnsi="Arial" w:cs="Arial"/>
        </w:rPr>
        <w:t>The UK opted in</w:t>
      </w:r>
      <w:r w:rsidR="00EE6D4D" w:rsidRPr="00642AB0">
        <w:rPr>
          <w:rFonts w:ascii="Arial" w:hAnsi="Arial" w:cs="Arial"/>
        </w:rPr>
        <w:t xml:space="preserve"> </w:t>
      </w:r>
      <w:r w:rsidRPr="00642AB0">
        <w:rPr>
          <w:rFonts w:ascii="Arial" w:hAnsi="Arial" w:cs="Arial"/>
        </w:rPr>
        <w:t xml:space="preserve">to the </w:t>
      </w:r>
      <w:r w:rsidR="00CA7F56" w:rsidRPr="00642AB0">
        <w:rPr>
          <w:rFonts w:ascii="Arial" w:hAnsi="Arial" w:cs="Arial"/>
        </w:rPr>
        <w:t xml:space="preserve">EU/Australia </w:t>
      </w:r>
      <w:r w:rsidR="00EE6D4D" w:rsidRPr="00642AB0">
        <w:rPr>
          <w:rFonts w:ascii="Arial" w:hAnsi="Arial" w:cs="Arial"/>
        </w:rPr>
        <w:t>A</w:t>
      </w:r>
      <w:r w:rsidR="00CA7F56" w:rsidRPr="00642AB0">
        <w:rPr>
          <w:rFonts w:ascii="Arial" w:hAnsi="Arial" w:cs="Arial"/>
        </w:rPr>
        <w:t xml:space="preserve">greement on 23 August 2011 and to the </w:t>
      </w:r>
      <w:r w:rsidRPr="00642AB0">
        <w:rPr>
          <w:rFonts w:ascii="Arial" w:hAnsi="Arial" w:cs="Arial"/>
        </w:rPr>
        <w:t>EU</w:t>
      </w:r>
      <w:r w:rsidR="00CA7F56" w:rsidRPr="00642AB0">
        <w:rPr>
          <w:rFonts w:ascii="Arial" w:hAnsi="Arial" w:cs="Arial"/>
        </w:rPr>
        <w:t>-</w:t>
      </w:r>
      <w:r w:rsidRPr="00642AB0">
        <w:rPr>
          <w:rFonts w:ascii="Arial" w:hAnsi="Arial" w:cs="Arial"/>
        </w:rPr>
        <w:t xml:space="preserve">US </w:t>
      </w:r>
      <w:r w:rsidR="00EE6D4D" w:rsidRPr="00642AB0">
        <w:rPr>
          <w:rFonts w:ascii="Arial" w:hAnsi="Arial" w:cs="Arial"/>
        </w:rPr>
        <w:t>A</w:t>
      </w:r>
      <w:r w:rsidRPr="00642AB0">
        <w:rPr>
          <w:rFonts w:ascii="Arial" w:hAnsi="Arial" w:cs="Arial"/>
        </w:rPr>
        <w:t xml:space="preserve">greement on 8 February </w:t>
      </w:r>
      <w:proofErr w:type="gramStart"/>
      <w:r w:rsidRPr="00642AB0">
        <w:rPr>
          <w:rFonts w:ascii="Arial" w:hAnsi="Arial" w:cs="Arial"/>
        </w:rPr>
        <w:t>2012 .</w:t>
      </w:r>
      <w:proofErr w:type="gramEnd"/>
      <w:r w:rsidRPr="00642AB0">
        <w:rPr>
          <w:rFonts w:ascii="Arial" w:hAnsi="Arial" w:cs="Arial"/>
        </w:rPr>
        <w:t xml:space="preserve">  </w:t>
      </w:r>
      <w:r w:rsidR="00CA7F56" w:rsidRPr="00642AB0">
        <w:rPr>
          <w:rFonts w:ascii="Arial" w:hAnsi="Arial" w:cs="Arial"/>
        </w:rPr>
        <w:t xml:space="preserve">A Written Ministerial Statement (WMS) was published on 5 September 2011 regarding the EU-Australia </w:t>
      </w:r>
      <w:r w:rsidR="00EE6D4D" w:rsidRPr="00642AB0">
        <w:rPr>
          <w:rFonts w:ascii="Arial" w:hAnsi="Arial" w:cs="Arial"/>
        </w:rPr>
        <w:t>A</w:t>
      </w:r>
      <w:r w:rsidR="00CA7F56" w:rsidRPr="00642AB0">
        <w:rPr>
          <w:rFonts w:ascii="Arial" w:hAnsi="Arial" w:cs="Arial"/>
        </w:rPr>
        <w:t xml:space="preserve">greement and a further WMS was published in relation to the EU-US </w:t>
      </w:r>
      <w:r w:rsidR="00EE6D4D" w:rsidRPr="00642AB0">
        <w:rPr>
          <w:rFonts w:ascii="Arial" w:hAnsi="Arial" w:cs="Arial"/>
        </w:rPr>
        <w:t>A</w:t>
      </w:r>
      <w:r w:rsidR="00CA7F56" w:rsidRPr="00642AB0">
        <w:rPr>
          <w:rFonts w:ascii="Arial" w:hAnsi="Arial" w:cs="Arial"/>
        </w:rPr>
        <w:t>greement on 27 February 2012.</w:t>
      </w:r>
    </w:p>
    <w:p w:rsidR="004132B9" w:rsidRPr="00642AB0" w:rsidRDefault="004132B9" w:rsidP="004132B9">
      <w:pPr>
        <w:tabs>
          <w:tab w:val="left" w:pos="0"/>
        </w:tabs>
        <w:rPr>
          <w:rFonts w:ascii="Arial" w:hAnsi="Arial" w:cs="Arial"/>
        </w:rPr>
      </w:pPr>
    </w:p>
    <w:p w:rsidR="004132B9" w:rsidRPr="00642AB0" w:rsidRDefault="002649DD" w:rsidP="004132B9">
      <w:pPr>
        <w:tabs>
          <w:tab w:val="left" w:pos="0"/>
        </w:tabs>
        <w:rPr>
          <w:rFonts w:ascii="Arial" w:hAnsi="Arial" w:cs="Arial"/>
          <w:b/>
          <w:u w:val="single"/>
        </w:rPr>
      </w:pPr>
      <w:r w:rsidRPr="00642AB0">
        <w:rPr>
          <w:rFonts w:ascii="Arial" w:hAnsi="Arial" w:cs="Arial"/>
          <w:b/>
          <w:u w:val="single"/>
        </w:rPr>
        <w:t>MINISTERIAL RESPONSIBILITY</w:t>
      </w:r>
    </w:p>
    <w:p w:rsidR="004132B9" w:rsidRPr="00642AB0" w:rsidRDefault="004132B9" w:rsidP="004132B9">
      <w:pPr>
        <w:tabs>
          <w:tab w:val="left" w:pos="0"/>
        </w:tabs>
        <w:rPr>
          <w:rFonts w:ascii="Arial" w:hAnsi="Arial" w:cs="Arial"/>
          <w:b/>
          <w:u w:val="single"/>
        </w:rPr>
      </w:pPr>
    </w:p>
    <w:p w:rsidR="004132B9" w:rsidRPr="00642AB0" w:rsidRDefault="002649DD" w:rsidP="004132B9">
      <w:pPr>
        <w:numPr>
          <w:ilvl w:val="0"/>
          <w:numId w:val="1"/>
        </w:numPr>
        <w:tabs>
          <w:tab w:val="left" w:pos="0"/>
        </w:tabs>
        <w:ind w:left="0" w:firstLine="0"/>
        <w:rPr>
          <w:rFonts w:ascii="Arial" w:hAnsi="Arial" w:cs="Arial"/>
        </w:rPr>
      </w:pPr>
      <w:r w:rsidRPr="00642AB0">
        <w:rPr>
          <w:rFonts w:ascii="Arial" w:hAnsi="Arial" w:cs="Arial"/>
        </w:rPr>
        <w:t xml:space="preserve">The Home Secretary has overall responsibility for </w:t>
      </w:r>
      <w:smartTag w:uri="urn:schemas-microsoft-com:office:smarttags" w:element="stockticker">
        <w:r w:rsidRPr="00642AB0">
          <w:rPr>
            <w:rFonts w:ascii="Arial" w:hAnsi="Arial" w:cs="Arial"/>
          </w:rPr>
          <w:t>PNR</w:t>
        </w:r>
      </w:smartTag>
      <w:r w:rsidRPr="00642AB0">
        <w:rPr>
          <w:rFonts w:ascii="Arial" w:hAnsi="Arial" w:cs="Arial"/>
        </w:rPr>
        <w:t>. This Communication is also of particular interest to the Secretary of State for Justice, the Secretary of State for Transport, the Foreign Secretary and the Financial Secretary to the Treasury.</w:t>
      </w:r>
    </w:p>
    <w:p w:rsidR="004132B9" w:rsidRPr="00642AB0" w:rsidRDefault="004132B9" w:rsidP="004132B9">
      <w:pPr>
        <w:tabs>
          <w:tab w:val="left" w:pos="0"/>
        </w:tabs>
        <w:rPr>
          <w:rFonts w:ascii="Arial" w:hAnsi="Arial" w:cs="Arial"/>
        </w:rPr>
      </w:pPr>
    </w:p>
    <w:p w:rsidR="004132B9" w:rsidRPr="00642AB0" w:rsidRDefault="002649DD" w:rsidP="004132B9">
      <w:pPr>
        <w:tabs>
          <w:tab w:val="left" w:pos="0"/>
        </w:tabs>
        <w:rPr>
          <w:rFonts w:ascii="Arial" w:hAnsi="Arial" w:cs="Arial"/>
          <w:b/>
          <w:u w:val="single"/>
        </w:rPr>
      </w:pPr>
      <w:r w:rsidRPr="00642AB0">
        <w:rPr>
          <w:rFonts w:ascii="Arial" w:hAnsi="Arial" w:cs="Arial"/>
          <w:b/>
          <w:u w:val="single"/>
        </w:rPr>
        <w:t>INTEREST OF THE DEVOLVED ADMINISTRATIONS</w:t>
      </w:r>
    </w:p>
    <w:p w:rsidR="004132B9" w:rsidRPr="00642AB0" w:rsidRDefault="004132B9" w:rsidP="004132B9">
      <w:pPr>
        <w:tabs>
          <w:tab w:val="left" w:pos="0"/>
        </w:tabs>
        <w:rPr>
          <w:rFonts w:ascii="Arial" w:hAnsi="Arial" w:cs="Arial"/>
        </w:rPr>
      </w:pPr>
    </w:p>
    <w:p w:rsidR="004132B9" w:rsidRPr="00642AB0" w:rsidRDefault="002649DD" w:rsidP="004132B9">
      <w:pPr>
        <w:numPr>
          <w:ilvl w:val="0"/>
          <w:numId w:val="1"/>
        </w:numPr>
        <w:tabs>
          <w:tab w:val="left" w:pos="0"/>
        </w:tabs>
        <w:ind w:left="0" w:firstLine="0"/>
        <w:rPr>
          <w:rFonts w:ascii="Arial" w:hAnsi="Arial" w:cs="Arial"/>
        </w:rPr>
      </w:pPr>
      <w:r w:rsidRPr="00642AB0">
        <w:rPr>
          <w:rFonts w:ascii="Arial" w:hAnsi="Arial" w:cs="Arial"/>
        </w:rPr>
        <w:t xml:space="preserve">The UK’s border security is not a devolved matter and nor is data protection; however the devolved administrations have an interest in justice matters including serious crime, which this </w:t>
      </w:r>
      <w:r w:rsidR="00EE6D4D" w:rsidRPr="00642AB0">
        <w:rPr>
          <w:rFonts w:ascii="Arial" w:hAnsi="Arial" w:cs="Arial"/>
        </w:rPr>
        <w:t>A</w:t>
      </w:r>
      <w:r w:rsidRPr="00642AB0">
        <w:rPr>
          <w:rFonts w:ascii="Arial" w:hAnsi="Arial" w:cs="Arial"/>
        </w:rPr>
        <w:t xml:space="preserve">greement aims to tackle.  In Scotland, the Scottish </w:t>
      </w:r>
      <w:r w:rsidRPr="00642AB0">
        <w:rPr>
          <w:rFonts w:ascii="Arial" w:hAnsi="Arial" w:cs="Arial"/>
        </w:rPr>
        <w:lastRenderedPageBreak/>
        <w:t xml:space="preserve">Cabinet Secretary for Justice has responsibility and in Northern Ireland the Justice Minister in the Northern Ireland Executive has responsibility. Both the Scottish </w:t>
      </w:r>
      <w:r w:rsidR="00D249E9">
        <w:rPr>
          <w:rFonts w:ascii="Arial" w:hAnsi="Arial" w:cs="Arial"/>
        </w:rPr>
        <w:t xml:space="preserve">Government </w:t>
      </w:r>
      <w:r w:rsidRPr="00642AB0">
        <w:rPr>
          <w:rFonts w:ascii="Arial" w:hAnsi="Arial" w:cs="Arial"/>
        </w:rPr>
        <w:t>and Northern Ireland Executive have been consulted.</w:t>
      </w:r>
    </w:p>
    <w:p w:rsidR="004132B9" w:rsidRPr="00642AB0" w:rsidRDefault="004132B9" w:rsidP="004132B9">
      <w:pPr>
        <w:tabs>
          <w:tab w:val="left" w:pos="0"/>
        </w:tabs>
        <w:rPr>
          <w:rFonts w:ascii="Arial" w:hAnsi="Arial" w:cs="Arial"/>
        </w:rPr>
      </w:pPr>
    </w:p>
    <w:p w:rsidR="004132B9" w:rsidRPr="00642AB0" w:rsidRDefault="002649DD" w:rsidP="004132B9">
      <w:pPr>
        <w:pStyle w:val="Heading7"/>
        <w:tabs>
          <w:tab w:val="left" w:pos="0"/>
        </w:tabs>
        <w:rPr>
          <w:rFonts w:ascii="Arial" w:hAnsi="Arial" w:cs="Arial"/>
          <w:szCs w:val="24"/>
          <w:u w:val="single"/>
        </w:rPr>
      </w:pPr>
      <w:r w:rsidRPr="00642AB0">
        <w:rPr>
          <w:rFonts w:ascii="Arial" w:hAnsi="Arial" w:cs="Arial"/>
          <w:b/>
          <w:szCs w:val="24"/>
          <w:u w:val="single"/>
        </w:rPr>
        <w:t xml:space="preserve">LEGAL </w:t>
      </w:r>
      <w:smartTag w:uri="urn:schemas-microsoft-com:office:smarttags" w:element="stockticker">
        <w:r w:rsidRPr="00642AB0">
          <w:rPr>
            <w:rFonts w:ascii="Arial" w:hAnsi="Arial" w:cs="Arial"/>
            <w:b/>
            <w:szCs w:val="24"/>
            <w:u w:val="single"/>
          </w:rPr>
          <w:t>AND</w:t>
        </w:r>
      </w:smartTag>
      <w:r w:rsidRPr="00642AB0">
        <w:rPr>
          <w:rFonts w:ascii="Arial" w:hAnsi="Arial" w:cs="Arial"/>
          <w:b/>
          <w:szCs w:val="24"/>
          <w:u w:val="single"/>
        </w:rPr>
        <w:t xml:space="preserve"> PROCEDURAL ISSUES</w:t>
      </w:r>
    </w:p>
    <w:p w:rsidR="004132B9" w:rsidRPr="00642AB0" w:rsidRDefault="004132B9" w:rsidP="004132B9">
      <w:pPr>
        <w:tabs>
          <w:tab w:val="left" w:pos="0"/>
        </w:tabs>
        <w:rPr>
          <w:rFonts w:ascii="Arial" w:hAnsi="Arial" w:cs="Arial"/>
        </w:rPr>
      </w:pPr>
    </w:p>
    <w:p w:rsidR="004132B9" w:rsidRPr="00642AB0" w:rsidRDefault="002649DD" w:rsidP="004132B9">
      <w:pPr>
        <w:tabs>
          <w:tab w:val="left" w:pos="0"/>
        </w:tabs>
        <w:rPr>
          <w:rFonts w:ascii="Arial" w:hAnsi="Arial" w:cs="Arial"/>
          <w:u w:val="single"/>
        </w:rPr>
      </w:pPr>
      <w:r w:rsidRPr="00642AB0">
        <w:rPr>
          <w:rFonts w:ascii="Arial" w:hAnsi="Arial" w:cs="Arial"/>
          <w:u w:val="single"/>
        </w:rPr>
        <w:t>i) Legal basis</w:t>
      </w:r>
    </w:p>
    <w:p w:rsidR="004132B9" w:rsidRPr="00642AB0" w:rsidRDefault="004132B9" w:rsidP="004132B9">
      <w:pPr>
        <w:tabs>
          <w:tab w:val="left" w:pos="0"/>
        </w:tabs>
        <w:rPr>
          <w:rFonts w:ascii="Arial" w:hAnsi="Arial" w:cs="Arial"/>
        </w:rPr>
      </w:pPr>
    </w:p>
    <w:p w:rsidR="004132B9" w:rsidRPr="00642AB0" w:rsidRDefault="002649DD" w:rsidP="004132B9">
      <w:pPr>
        <w:numPr>
          <w:ilvl w:val="0"/>
          <w:numId w:val="1"/>
        </w:numPr>
        <w:tabs>
          <w:tab w:val="left" w:pos="0"/>
        </w:tabs>
        <w:ind w:left="0" w:firstLine="0"/>
        <w:rPr>
          <w:rFonts w:ascii="Arial" w:hAnsi="Arial" w:cs="Arial"/>
        </w:rPr>
      </w:pPr>
      <w:r w:rsidRPr="00642AB0">
        <w:rPr>
          <w:rFonts w:ascii="Arial" w:hAnsi="Arial" w:cs="Arial"/>
        </w:rPr>
        <w:t xml:space="preserve">The legal basis for the proposed Council Decision to sign are </w:t>
      </w:r>
      <w:r w:rsidR="00B659AA" w:rsidRPr="00642AB0">
        <w:rPr>
          <w:rFonts w:ascii="Arial" w:hAnsi="Arial" w:cs="Arial"/>
        </w:rPr>
        <w:t>A</w:t>
      </w:r>
      <w:r w:rsidRPr="00642AB0">
        <w:rPr>
          <w:rFonts w:ascii="Arial" w:hAnsi="Arial" w:cs="Arial"/>
        </w:rPr>
        <w:t>rticles 82(1</w:t>
      </w:r>
      <w:proofErr w:type="gramStart"/>
      <w:r w:rsidRPr="00642AB0">
        <w:rPr>
          <w:rFonts w:ascii="Arial" w:hAnsi="Arial" w:cs="Arial"/>
        </w:rPr>
        <w:t>)(</w:t>
      </w:r>
      <w:proofErr w:type="gramEnd"/>
      <w:r w:rsidRPr="00642AB0">
        <w:rPr>
          <w:rFonts w:ascii="Arial" w:hAnsi="Arial" w:cs="Arial"/>
        </w:rPr>
        <w:t xml:space="preserve">d) and 87(2)(a), in conjunction with </w:t>
      </w:r>
      <w:r w:rsidR="00B659AA" w:rsidRPr="00642AB0">
        <w:rPr>
          <w:rFonts w:ascii="Arial" w:hAnsi="Arial" w:cs="Arial"/>
        </w:rPr>
        <w:t>A</w:t>
      </w:r>
      <w:r w:rsidRPr="00642AB0">
        <w:rPr>
          <w:rFonts w:ascii="Arial" w:hAnsi="Arial" w:cs="Arial"/>
        </w:rPr>
        <w:t>rticle 218(5), of the TFEU.</w:t>
      </w:r>
    </w:p>
    <w:p w:rsidR="00163770" w:rsidRPr="00642AB0" w:rsidRDefault="00163770" w:rsidP="00163770">
      <w:pPr>
        <w:tabs>
          <w:tab w:val="left" w:pos="0"/>
        </w:tabs>
        <w:rPr>
          <w:rFonts w:ascii="Arial" w:hAnsi="Arial" w:cs="Arial"/>
        </w:rPr>
      </w:pPr>
    </w:p>
    <w:p w:rsidR="00163770" w:rsidRPr="00642AB0" w:rsidRDefault="002649DD" w:rsidP="00163770">
      <w:pPr>
        <w:numPr>
          <w:ilvl w:val="0"/>
          <w:numId w:val="1"/>
        </w:numPr>
        <w:tabs>
          <w:tab w:val="left" w:pos="0"/>
        </w:tabs>
        <w:ind w:left="0" w:firstLine="0"/>
        <w:rPr>
          <w:rFonts w:ascii="Arial" w:hAnsi="Arial" w:cs="Arial"/>
        </w:rPr>
      </w:pPr>
      <w:r w:rsidRPr="00642AB0">
        <w:rPr>
          <w:rFonts w:ascii="Arial" w:hAnsi="Arial" w:cs="Arial"/>
        </w:rPr>
        <w:t xml:space="preserve">The legal bases for the proposed Council Decision to conclude are </w:t>
      </w:r>
      <w:r w:rsidR="00B659AA" w:rsidRPr="00642AB0">
        <w:rPr>
          <w:rFonts w:ascii="Arial" w:hAnsi="Arial" w:cs="Arial"/>
        </w:rPr>
        <w:t>A</w:t>
      </w:r>
      <w:r w:rsidRPr="00642AB0">
        <w:rPr>
          <w:rFonts w:ascii="Arial" w:hAnsi="Arial" w:cs="Arial"/>
        </w:rPr>
        <w:t>rticles 82(1</w:t>
      </w:r>
      <w:proofErr w:type="gramStart"/>
      <w:r w:rsidRPr="00642AB0">
        <w:rPr>
          <w:rFonts w:ascii="Arial" w:hAnsi="Arial" w:cs="Arial"/>
        </w:rPr>
        <w:t>)(</w:t>
      </w:r>
      <w:proofErr w:type="gramEnd"/>
      <w:r w:rsidRPr="00642AB0">
        <w:rPr>
          <w:rFonts w:ascii="Arial" w:hAnsi="Arial" w:cs="Arial"/>
        </w:rPr>
        <w:t>d) and 87(2)(a), in conjunction with article 218(6)(a), of the TFEU.</w:t>
      </w:r>
    </w:p>
    <w:p w:rsidR="007A2EF0" w:rsidRPr="00642AB0" w:rsidRDefault="007A2EF0">
      <w:pPr>
        <w:rPr>
          <w:rFonts w:ascii="Arial" w:hAnsi="Arial" w:cs="Arial"/>
        </w:rPr>
      </w:pPr>
    </w:p>
    <w:p w:rsidR="00CA7F56" w:rsidRPr="00642AB0" w:rsidRDefault="000604CE" w:rsidP="00163770">
      <w:pPr>
        <w:numPr>
          <w:ilvl w:val="0"/>
          <w:numId w:val="1"/>
        </w:numPr>
        <w:tabs>
          <w:tab w:val="left" w:pos="0"/>
        </w:tabs>
        <w:ind w:left="0" w:firstLine="0"/>
        <w:rPr>
          <w:rFonts w:ascii="Arial" w:hAnsi="Arial" w:cs="Arial"/>
        </w:rPr>
      </w:pPr>
      <w:r w:rsidRPr="00642AB0">
        <w:rPr>
          <w:rFonts w:ascii="Arial" w:hAnsi="Arial" w:cs="Arial"/>
        </w:rPr>
        <w:t xml:space="preserve">Both proposals trigger the JHA opt-in (Protocol 21 to the Treaties) and the UK will therefore have three months from the date of publication of </w:t>
      </w:r>
      <w:r w:rsidR="00C51798" w:rsidRPr="00642AB0">
        <w:rPr>
          <w:rFonts w:ascii="Arial" w:hAnsi="Arial" w:cs="Arial"/>
        </w:rPr>
        <w:t xml:space="preserve">the </w:t>
      </w:r>
      <w:r w:rsidRPr="00642AB0">
        <w:rPr>
          <w:rFonts w:ascii="Arial" w:hAnsi="Arial" w:cs="Arial"/>
        </w:rPr>
        <w:t>final language version of the proposal to decide whether to participate.</w:t>
      </w:r>
    </w:p>
    <w:p w:rsidR="004132B9" w:rsidRPr="00642AB0" w:rsidRDefault="004132B9" w:rsidP="004132B9">
      <w:pPr>
        <w:tabs>
          <w:tab w:val="left" w:pos="0"/>
        </w:tabs>
        <w:rPr>
          <w:rFonts w:ascii="Arial" w:hAnsi="Arial" w:cs="Arial"/>
        </w:rPr>
      </w:pPr>
    </w:p>
    <w:p w:rsidR="004132B9" w:rsidRPr="00642AB0" w:rsidRDefault="002649DD" w:rsidP="004132B9">
      <w:pPr>
        <w:tabs>
          <w:tab w:val="left" w:pos="0"/>
        </w:tabs>
        <w:rPr>
          <w:rFonts w:ascii="Arial" w:hAnsi="Arial" w:cs="Arial"/>
          <w:u w:val="single"/>
        </w:rPr>
      </w:pPr>
      <w:r w:rsidRPr="00642AB0">
        <w:rPr>
          <w:rFonts w:ascii="Arial" w:hAnsi="Arial" w:cs="Arial"/>
        </w:rPr>
        <w:t xml:space="preserve">ii) </w:t>
      </w:r>
      <w:r w:rsidRPr="00642AB0">
        <w:rPr>
          <w:rFonts w:ascii="Arial" w:hAnsi="Arial" w:cs="Arial"/>
          <w:u w:val="single"/>
        </w:rPr>
        <w:t>European Parliament procedure</w:t>
      </w:r>
    </w:p>
    <w:p w:rsidR="004132B9" w:rsidRPr="00642AB0" w:rsidRDefault="004132B9" w:rsidP="004132B9">
      <w:pPr>
        <w:tabs>
          <w:tab w:val="left" w:pos="0"/>
        </w:tabs>
        <w:rPr>
          <w:rFonts w:ascii="Arial" w:hAnsi="Arial" w:cs="Arial"/>
          <w:u w:val="single"/>
        </w:rPr>
      </w:pPr>
    </w:p>
    <w:p w:rsidR="004132B9" w:rsidRPr="00642AB0" w:rsidRDefault="002649DD" w:rsidP="004132B9">
      <w:pPr>
        <w:numPr>
          <w:ilvl w:val="0"/>
          <w:numId w:val="1"/>
        </w:numPr>
        <w:tabs>
          <w:tab w:val="left" w:pos="0"/>
        </w:tabs>
        <w:ind w:left="0" w:firstLine="0"/>
        <w:rPr>
          <w:rFonts w:ascii="Arial" w:hAnsi="Arial" w:cs="Arial"/>
        </w:rPr>
      </w:pPr>
      <w:r w:rsidRPr="00642AB0">
        <w:rPr>
          <w:rFonts w:ascii="Arial" w:hAnsi="Arial" w:cs="Arial"/>
        </w:rPr>
        <w:t>The Consent Procedure applies to this Agreement.</w:t>
      </w:r>
    </w:p>
    <w:p w:rsidR="004132B9" w:rsidRPr="00642AB0" w:rsidRDefault="004132B9" w:rsidP="004132B9">
      <w:pPr>
        <w:tabs>
          <w:tab w:val="left" w:pos="0"/>
        </w:tabs>
        <w:rPr>
          <w:rFonts w:ascii="Arial" w:hAnsi="Arial" w:cs="Arial"/>
        </w:rPr>
      </w:pPr>
    </w:p>
    <w:p w:rsidR="004132B9" w:rsidRPr="00642AB0" w:rsidRDefault="002649DD" w:rsidP="004132B9">
      <w:pPr>
        <w:tabs>
          <w:tab w:val="left" w:pos="0"/>
        </w:tabs>
        <w:rPr>
          <w:rFonts w:ascii="Arial" w:hAnsi="Arial" w:cs="Arial"/>
        </w:rPr>
      </w:pPr>
      <w:r w:rsidRPr="00642AB0">
        <w:rPr>
          <w:rFonts w:ascii="Arial" w:hAnsi="Arial" w:cs="Arial"/>
        </w:rPr>
        <w:t xml:space="preserve">iii) </w:t>
      </w:r>
      <w:r w:rsidRPr="00642AB0">
        <w:rPr>
          <w:rFonts w:ascii="Arial" w:hAnsi="Arial" w:cs="Arial"/>
          <w:u w:val="single"/>
        </w:rPr>
        <w:t>Voting procedure in the Council</w:t>
      </w:r>
      <w:r w:rsidRPr="00642AB0">
        <w:rPr>
          <w:rFonts w:ascii="Arial" w:hAnsi="Arial" w:cs="Arial"/>
        </w:rPr>
        <w:t xml:space="preserve"> </w:t>
      </w:r>
    </w:p>
    <w:p w:rsidR="004132B9" w:rsidRPr="00642AB0" w:rsidRDefault="004132B9" w:rsidP="004132B9">
      <w:pPr>
        <w:tabs>
          <w:tab w:val="left" w:pos="0"/>
          <w:tab w:val="num" w:pos="1080"/>
        </w:tabs>
        <w:rPr>
          <w:rFonts w:ascii="Arial" w:hAnsi="Arial" w:cs="Arial"/>
        </w:rPr>
      </w:pPr>
    </w:p>
    <w:p w:rsidR="004132B9" w:rsidRPr="00642AB0" w:rsidRDefault="002649DD" w:rsidP="004132B9">
      <w:pPr>
        <w:numPr>
          <w:ilvl w:val="0"/>
          <w:numId w:val="1"/>
        </w:numPr>
        <w:tabs>
          <w:tab w:val="left" w:pos="0"/>
        </w:tabs>
        <w:ind w:left="0" w:firstLine="0"/>
        <w:rPr>
          <w:rFonts w:ascii="Arial" w:hAnsi="Arial" w:cs="Arial"/>
        </w:rPr>
      </w:pPr>
      <w:r w:rsidRPr="00642AB0">
        <w:rPr>
          <w:rFonts w:ascii="Arial" w:hAnsi="Arial" w:cs="Arial"/>
        </w:rPr>
        <w:t>Qualified Majority Voting.</w:t>
      </w:r>
    </w:p>
    <w:p w:rsidR="00ED33CA" w:rsidRPr="00642AB0" w:rsidRDefault="00ED33CA" w:rsidP="004132B9">
      <w:pPr>
        <w:tabs>
          <w:tab w:val="left" w:pos="0"/>
        </w:tabs>
        <w:rPr>
          <w:rFonts w:ascii="Arial" w:hAnsi="Arial" w:cs="Arial"/>
        </w:rPr>
      </w:pPr>
    </w:p>
    <w:p w:rsidR="004132B9" w:rsidRPr="00642AB0" w:rsidRDefault="002649DD" w:rsidP="004132B9">
      <w:pPr>
        <w:tabs>
          <w:tab w:val="left" w:pos="0"/>
        </w:tabs>
        <w:rPr>
          <w:rFonts w:ascii="Arial" w:hAnsi="Arial" w:cs="Arial"/>
        </w:rPr>
      </w:pPr>
      <w:proofErr w:type="gramStart"/>
      <w:r w:rsidRPr="00642AB0">
        <w:rPr>
          <w:rFonts w:ascii="Arial" w:hAnsi="Arial" w:cs="Arial"/>
        </w:rPr>
        <w:t xml:space="preserve">iv) </w:t>
      </w:r>
      <w:r w:rsidRPr="00642AB0">
        <w:rPr>
          <w:rFonts w:ascii="Arial" w:hAnsi="Arial" w:cs="Arial"/>
          <w:u w:val="single"/>
        </w:rPr>
        <w:t>Impact</w:t>
      </w:r>
      <w:proofErr w:type="gramEnd"/>
      <w:r w:rsidRPr="00642AB0">
        <w:rPr>
          <w:rFonts w:ascii="Arial" w:hAnsi="Arial" w:cs="Arial"/>
          <w:u w:val="single"/>
        </w:rPr>
        <w:t xml:space="preserve"> on United Kingdom Law</w:t>
      </w:r>
      <w:r w:rsidRPr="00642AB0">
        <w:rPr>
          <w:rFonts w:ascii="Arial" w:hAnsi="Arial" w:cs="Arial"/>
        </w:rPr>
        <w:t xml:space="preserve"> </w:t>
      </w:r>
    </w:p>
    <w:p w:rsidR="004132B9" w:rsidRPr="00642AB0" w:rsidRDefault="004132B9" w:rsidP="004132B9">
      <w:pPr>
        <w:tabs>
          <w:tab w:val="left" w:pos="0"/>
        </w:tabs>
        <w:rPr>
          <w:rFonts w:ascii="Arial" w:hAnsi="Arial" w:cs="Arial"/>
        </w:rPr>
      </w:pPr>
    </w:p>
    <w:p w:rsidR="004132B9" w:rsidRPr="00642AB0" w:rsidRDefault="002649DD" w:rsidP="004132B9">
      <w:pPr>
        <w:numPr>
          <w:ilvl w:val="0"/>
          <w:numId w:val="1"/>
        </w:numPr>
        <w:tabs>
          <w:tab w:val="left" w:pos="0"/>
        </w:tabs>
        <w:autoSpaceDE w:val="0"/>
        <w:autoSpaceDN w:val="0"/>
        <w:adjustRightInd w:val="0"/>
        <w:ind w:left="0" w:firstLine="0"/>
        <w:rPr>
          <w:rFonts w:ascii="Arial" w:hAnsi="Arial" w:cs="Arial"/>
        </w:rPr>
      </w:pPr>
      <w:r w:rsidRPr="00642AB0">
        <w:rPr>
          <w:rFonts w:ascii="Arial" w:hAnsi="Arial" w:cs="Arial"/>
        </w:rPr>
        <w:t xml:space="preserve">The UK has the ability to obtain passenger, crew and service data from carriers in advance of all movements into and out of the UK under paragraphs 27 and 27B of Schedule 2 to the Immigration Act 1971 (as amended), section 32 of the Immigration, Asylum and Nationality Act 2006 and the powers of the HMRC Commissioners under sections 35 and 64 of the Customs and Excise Management Act 1979. Section 36 of the Immigration, Asylum and Nationality Act 2006 also creates a duty for the UK’s immigration authorities, the police and HM Revenue and Customs to share that data among </w:t>
      </w:r>
      <w:proofErr w:type="gramStart"/>
      <w:r w:rsidRPr="00642AB0">
        <w:rPr>
          <w:rFonts w:ascii="Arial" w:hAnsi="Arial" w:cs="Arial"/>
        </w:rPr>
        <w:t>themselves</w:t>
      </w:r>
      <w:proofErr w:type="gramEnd"/>
      <w:r w:rsidRPr="00642AB0">
        <w:rPr>
          <w:rFonts w:ascii="Arial" w:hAnsi="Arial" w:cs="Arial"/>
        </w:rPr>
        <w:t xml:space="preserve"> where it is likely to be of use for immigration, customs, or police purposes.</w:t>
      </w:r>
    </w:p>
    <w:p w:rsidR="004132B9" w:rsidRPr="00642AB0" w:rsidRDefault="004132B9" w:rsidP="004132B9">
      <w:pPr>
        <w:tabs>
          <w:tab w:val="left" w:pos="0"/>
        </w:tabs>
        <w:autoSpaceDE w:val="0"/>
        <w:autoSpaceDN w:val="0"/>
        <w:adjustRightInd w:val="0"/>
        <w:rPr>
          <w:rFonts w:ascii="Arial" w:hAnsi="Arial" w:cs="Arial"/>
        </w:rPr>
      </w:pPr>
    </w:p>
    <w:p w:rsidR="004132B9" w:rsidRPr="00642AB0" w:rsidRDefault="002649DD" w:rsidP="004132B9">
      <w:pPr>
        <w:numPr>
          <w:ilvl w:val="0"/>
          <w:numId w:val="1"/>
        </w:numPr>
        <w:tabs>
          <w:tab w:val="left" w:pos="0"/>
        </w:tabs>
        <w:autoSpaceDE w:val="0"/>
        <w:autoSpaceDN w:val="0"/>
        <w:adjustRightInd w:val="0"/>
        <w:ind w:left="0" w:firstLine="0"/>
        <w:rPr>
          <w:rFonts w:ascii="Arial" w:hAnsi="Arial" w:cs="Arial"/>
        </w:rPr>
      </w:pPr>
      <w:r w:rsidRPr="00642AB0">
        <w:rPr>
          <w:rFonts w:ascii="Arial" w:hAnsi="Arial" w:cs="Arial"/>
        </w:rPr>
        <w:t xml:space="preserve">The Immigration and Police (Passenger, Crew and Service Information) Order 2008 (SI 2008/5) specifies the travel-related data that an immigration officer or a police officer can require from ships, aircraft and trains, entering and leaving the United Kingdom. The data are divided into: </w:t>
      </w:r>
    </w:p>
    <w:p w:rsidR="004132B9" w:rsidRPr="00642AB0" w:rsidRDefault="002649DD" w:rsidP="004132B9">
      <w:pPr>
        <w:pStyle w:val="ListParagraph"/>
        <w:numPr>
          <w:ilvl w:val="1"/>
          <w:numId w:val="3"/>
        </w:numPr>
        <w:tabs>
          <w:tab w:val="left" w:pos="0"/>
        </w:tabs>
        <w:autoSpaceDE w:val="0"/>
        <w:autoSpaceDN w:val="0"/>
        <w:adjustRightInd w:val="0"/>
        <w:spacing w:after="0" w:line="240" w:lineRule="auto"/>
        <w:ind w:left="714" w:hanging="357"/>
        <w:rPr>
          <w:rFonts w:ascii="Arial" w:hAnsi="Arial" w:cs="Arial"/>
          <w:sz w:val="24"/>
          <w:szCs w:val="24"/>
        </w:rPr>
      </w:pPr>
      <w:r w:rsidRPr="00642AB0">
        <w:rPr>
          <w:rFonts w:ascii="Arial" w:hAnsi="Arial" w:cs="Arial"/>
          <w:sz w:val="24"/>
          <w:szCs w:val="24"/>
        </w:rPr>
        <w:t>mandatory data which includes Advance Passenger Information (</w:t>
      </w:r>
      <w:smartTag w:uri="urn:schemas-microsoft-com:office:smarttags" w:element="stockticker">
        <w:r w:rsidRPr="00642AB0">
          <w:rPr>
            <w:rFonts w:ascii="Arial" w:hAnsi="Arial" w:cs="Arial"/>
            <w:sz w:val="24"/>
            <w:szCs w:val="24"/>
          </w:rPr>
          <w:t>API</w:t>
        </w:r>
      </w:smartTag>
      <w:r w:rsidRPr="00642AB0">
        <w:rPr>
          <w:rFonts w:ascii="Arial" w:hAnsi="Arial" w:cs="Arial"/>
          <w:sz w:val="24"/>
          <w:szCs w:val="24"/>
        </w:rPr>
        <w:t>) which must be collected and supplied when requested, and;</w:t>
      </w:r>
    </w:p>
    <w:p w:rsidR="004132B9" w:rsidRPr="00642AB0" w:rsidRDefault="002649DD" w:rsidP="004132B9">
      <w:pPr>
        <w:pStyle w:val="ListParagraph"/>
        <w:numPr>
          <w:ilvl w:val="1"/>
          <w:numId w:val="3"/>
        </w:numPr>
        <w:tabs>
          <w:tab w:val="left" w:pos="0"/>
        </w:tabs>
        <w:autoSpaceDE w:val="0"/>
        <w:autoSpaceDN w:val="0"/>
        <w:adjustRightInd w:val="0"/>
        <w:spacing w:after="0" w:line="240" w:lineRule="auto"/>
        <w:ind w:left="714" w:hanging="357"/>
        <w:rPr>
          <w:rFonts w:ascii="Arial" w:hAnsi="Arial" w:cs="Arial"/>
          <w:sz w:val="24"/>
          <w:szCs w:val="24"/>
        </w:rPr>
      </w:pPr>
      <w:proofErr w:type="gramStart"/>
      <w:r w:rsidRPr="00642AB0">
        <w:rPr>
          <w:rFonts w:ascii="Arial" w:hAnsi="Arial" w:cs="Arial"/>
          <w:sz w:val="24"/>
          <w:szCs w:val="24"/>
        </w:rPr>
        <w:t>additional</w:t>
      </w:r>
      <w:proofErr w:type="gramEnd"/>
      <w:r w:rsidRPr="00642AB0">
        <w:rPr>
          <w:rFonts w:ascii="Arial" w:hAnsi="Arial" w:cs="Arial"/>
          <w:sz w:val="24"/>
          <w:szCs w:val="24"/>
        </w:rPr>
        <w:t xml:space="preserve"> data which includes </w:t>
      </w:r>
      <w:smartTag w:uri="urn:schemas-microsoft-com:office:smarttags" w:element="stockticker">
        <w:r w:rsidRPr="00642AB0">
          <w:rPr>
            <w:rFonts w:ascii="Arial" w:hAnsi="Arial" w:cs="Arial"/>
            <w:sz w:val="24"/>
            <w:szCs w:val="24"/>
          </w:rPr>
          <w:t>PNR</w:t>
        </w:r>
      </w:smartTag>
      <w:r w:rsidRPr="00642AB0">
        <w:rPr>
          <w:rFonts w:ascii="Arial" w:hAnsi="Arial" w:cs="Arial"/>
          <w:sz w:val="24"/>
          <w:szCs w:val="24"/>
        </w:rPr>
        <w:t xml:space="preserve"> and must be supplied only to the extent to which the carrier knows the data.</w:t>
      </w:r>
    </w:p>
    <w:p w:rsidR="004132B9" w:rsidRPr="00642AB0" w:rsidRDefault="004132B9" w:rsidP="004132B9">
      <w:pPr>
        <w:tabs>
          <w:tab w:val="left" w:pos="0"/>
        </w:tabs>
        <w:autoSpaceDE w:val="0"/>
        <w:autoSpaceDN w:val="0"/>
        <w:adjustRightInd w:val="0"/>
        <w:rPr>
          <w:rFonts w:ascii="Arial" w:hAnsi="Arial" w:cs="Arial"/>
        </w:rPr>
      </w:pPr>
    </w:p>
    <w:p w:rsidR="004132B9" w:rsidRPr="00642AB0" w:rsidRDefault="002649DD" w:rsidP="00F6461C">
      <w:pPr>
        <w:numPr>
          <w:ilvl w:val="0"/>
          <w:numId w:val="1"/>
        </w:numPr>
        <w:tabs>
          <w:tab w:val="left" w:pos="0"/>
        </w:tabs>
        <w:autoSpaceDE w:val="0"/>
        <w:autoSpaceDN w:val="0"/>
        <w:adjustRightInd w:val="0"/>
        <w:ind w:left="0" w:firstLine="0"/>
        <w:rPr>
          <w:rFonts w:ascii="Arial" w:hAnsi="Arial" w:cs="Arial"/>
        </w:rPr>
      </w:pPr>
      <w:r w:rsidRPr="00642AB0">
        <w:rPr>
          <w:rFonts w:ascii="Arial" w:hAnsi="Arial" w:cs="Arial"/>
        </w:rPr>
        <w:t xml:space="preserve">This legal framework will not need to be amended if the Agreement is adopted. The Agreement will not require implementation through UK legislation. Indeed, we </w:t>
      </w:r>
      <w:r w:rsidRPr="00642AB0">
        <w:rPr>
          <w:rFonts w:ascii="Arial" w:hAnsi="Arial" w:cs="Arial"/>
        </w:rPr>
        <w:lastRenderedPageBreak/>
        <w:t xml:space="preserve">are already applying the arrangements proposed through the provisional Agreement from 2007.  </w:t>
      </w:r>
    </w:p>
    <w:p w:rsidR="001372A7" w:rsidRPr="00642AB0" w:rsidRDefault="001372A7" w:rsidP="00F6461C">
      <w:pPr>
        <w:tabs>
          <w:tab w:val="num" w:pos="360"/>
        </w:tabs>
        <w:rPr>
          <w:rFonts w:ascii="Arial" w:hAnsi="Arial" w:cs="Arial"/>
        </w:rPr>
      </w:pPr>
    </w:p>
    <w:p w:rsidR="001372A7" w:rsidRPr="00642AB0" w:rsidRDefault="002649DD" w:rsidP="00F6461C">
      <w:pPr>
        <w:tabs>
          <w:tab w:val="left" w:pos="0"/>
          <w:tab w:val="num" w:pos="360"/>
        </w:tabs>
        <w:rPr>
          <w:rFonts w:ascii="Arial" w:hAnsi="Arial" w:cs="Arial"/>
          <w:u w:val="single"/>
        </w:rPr>
      </w:pPr>
      <w:r w:rsidRPr="00642AB0">
        <w:rPr>
          <w:rFonts w:ascii="Arial" w:hAnsi="Arial" w:cs="Arial"/>
          <w:u w:val="single"/>
        </w:rPr>
        <w:t>v. Application to Gibraltar</w:t>
      </w:r>
    </w:p>
    <w:p w:rsidR="001372A7" w:rsidRPr="00642AB0" w:rsidRDefault="001372A7" w:rsidP="00F6461C">
      <w:pPr>
        <w:tabs>
          <w:tab w:val="num" w:pos="360"/>
        </w:tabs>
        <w:rPr>
          <w:rFonts w:ascii="Arial" w:hAnsi="Arial" w:cs="Arial"/>
        </w:rPr>
      </w:pPr>
    </w:p>
    <w:p w:rsidR="007A2EF0" w:rsidRPr="00642AB0" w:rsidRDefault="002649DD">
      <w:pPr>
        <w:pStyle w:val="ListParagraph"/>
        <w:numPr>
          <w:ilvl w:val="0"/>
          <w:numId w:val="1"/>
        </w:numPr>
        <w:spacing w:line="240" w:lineRule="auto"/>
        <w:ind w:left="0" w:firstLine="0"/>
        <w:rPr>
          <w:rFonts w:ascii="Arial" w:hAnsi="Arial" w:cs="Arial"/>
          <w:sz w:val="24"/>
          <w:szCs w:val="24"/>
        </w:rPr>
      </w:pPr>
      <w:r w:rsidRPr="00642AB0">
        <w:rPr>
          <w:rFonts w:ascii="Arial" w:hAnsi="Arial" w:cs="Arial"/>
          <w:sz w:val="24"/>
          <w:szCs w:val="24"/>
        </w:rPr>
        <w:t xml:space="preserve">The proposed Agreement, if adopted and if the UK opted in, would apply automatically to Gibraltar. </w:t>
      </w:r>
    </w:p>
    <w:p w:rsidR="001372A7" w:rsidRPr="00642AB0" w:rsidRDefault="002649DD" w:rsidP="006632A8">
      <w:pPr>
        <w:tabs>
          <w:tab w:val="num" w:pos="360"/>
        </w:tabs>
        <w:rPr>
          <w:rFonts w:ascii="Arial" w:hAnsi="Arial" w:cs="Arial"/>
          <w:u w:val="single"/>
        </w:rPr>
      </w:pPr>
      <w:proofErr w:type="gramStart"/>
      <w:r w:rsidRPr="00642AB0">
        <w:rPr>
          <w:rFonts w:ascii="Arial" w:hAnsi="Arial" w:cs="Arial"/>
          <w:u w:val="single"/>
        </w:rPr>
        <w:t>vi. Fundamental</w:t>
      </w:r>
      <w:proofErr w:type="gramEnd"/>
      <w:r w:rsidRPr="00642AB0">
        <w:rPr>
          <w:rFonts w:ascii="Arial" w:hAnsi="Arial" w:cs="Arial"/>
          <w:u w:val="single"/>
        </w:rPr>
        <w:t xml:space="preserve"> Rights Analysis</w:t>
      </w:r>
    </w:p>
    <w:p w:rsidR="001372A7" w:rsidRPr="00642AB0" w:rsidRDefault="001372A7" w:rsidP="006632A8">
      <w:pPr>
        <w:tabs>
          <w:tab w:val="num" w:pos="360"/>
        </w:tabs>
        <w:rPr>
          <w:rFonts w:ascii="Arial" w:hAnsi="Arial" w:cs="Arial"/>
        </w:rPr>
      </w:pPr>
    </w:p>
    <w:p w:rsidR="006632A8" w:rsidRPr="00642AB0" w:rsidRDefault="002649DD" w:rsidP="006632A8">
      <w:pPr>
        <w:numPr>
          <w:ilvl w:val="0"/>
          <w:numId w:val="1"/>
        </w:numPr>
        <w:tabs>
          <w:tab w:val="num" w:pos="0"/>
          <w:tab w:val="left" w:pos="1418"/>
        </w:tabs>
        <w:ind w:left="0" w:firstLine="0"/>
        <w:jc w:val="both"/>
        <w:rPr>
          <w:rFonts w:ascii="Arial" w:hAnsi="Arial" w:cs="Arial"/>
        </w:rPr>
      </w:pPr>
      <w:r w:rsidRPr="00642AB0">
        <w:rPr>
          <w:rFonts w:ascii="Arial" w:hAnsi="Arial" w:cs="Arial"/>
        </w:rPr>
        <w:t xml:space="preserve">The Agreement provides for the processing and transfer of personal data. Therefore it engages in particular </w:t>
      </w:r>
      <w:r w:rsidR="000604CE" w:rsidRPr="00642AB0">
        <w:rPr>
          <w:rFonts w:ascii="Arial" w:hAnsi="Arial" w:cs="Arial"/>
        </w:rPr>
        <w:t>A</w:t>
      </w:r>
      <w:r w:rsidRPr="00642AB0">
        <w:rPr>
          <w:rFonts w:ascii="Arial" w:hAnsi="Arial" w:cs="Arial"/>
        </w:rPr>
        <w:t xml:space="preserve">rticle 7 (right to respect for private and family life) and </w:t>
      </w:r>
      <w:r w:rsidR="000604CE" w:rsidRPr="00642AB0">
        <w:rPr>
          <w:rFonts w:ascii="Arial" w:hAnsi="Arial" w:cs="Arial"/>
        </w:rPr>
        <w:t>A</w:t>
      </w:r>
      <w:r w:rsidRPr="00642AB0">
        <w:rPr>
          <w:rFonts w:ascii="Arial" w:hAnsi="Arial" w:cs="Arial"/>
        </w:rPr>
        <w:t xml:space="preserve">rticle 8 (right to protection of personal data) of the Charter of Fundamental Rights of the European Union.  Any engagement with these rights must be justified in accordance with </w:t>
      </w:r>
      <w:r w:rsidR="000604CE" w:rsidRPr="00642AB0">
        <w:rPr>
          <w:rFonts w:ascii="Arial" w:hAnsi="Arial" w:cs="Arial"/>
        </w:rPr>
        <w:t>A</w:t>
      </w:r>
      <w:r w:rsidRPr="00642AB0">
        <w:rPr>
          <w:rFonts w:ascii="Arial" w:hAnsi="Arial" w:cs="Arial"/>
        </w:rPr>
        <w:t xml:space="preserve">rticle 52 of the Charter. The criteria for such a justification are the following: the interference must be provided for by law and respect the essence of the particular right in question; and the interference must comply with the requirements of necessity and proportionality.  </w:t>
      </w:r>
    </w:p>
    <w:p w:rsidR="006632A8" w:rsidRPr="00642AB0" w:rsidRDefault="006632A8" w:rsidP="006632A8">
      <w:pPr>
        <w:tabs>
          <w:tab w:val="num" w:pos="0"/>
          <w:tab w:val="num" w:pos="360"/>
          <w:tab w:val="left" w:pos="1418"/>
        </w:tabs>
        <w:jc w:val="both"/>
        <w:rPr>
          <w:rFonts w:ascii="Arial" w:hAnsi="Arial" w:cs="Arial"/>
        </w:rPr>
      </w:pPr>
    </w:p>
    <w:p w:rsidR="006632A8" w:rsidRPr="00642AB0" w:rsidRDefault="002649DD" w:rsidP="006632A8">
      <w:pPr>
        <w:numPr>
          <w:ilvl w:val="0"/>
          <w:numId w:val="1"/>
        </w:numPr>
        <w:tabs>
          <w:tab w:val="num" w:pos="0"/>
          <w:tab w:val="left" w:pos="1418"/>
        </w:tabs>
        <w:ind w:left="0" w:firstLine="0"/>
        <w:jc w:val="both"/>
        <w:rPr>
          <w:rFonts w:ascii="Arial" w:hAnsi="Arial" w:cs="Arial"/>
        </w:rPr>
      </w:pPr>
      <w:r w:rsidRPr="00642AB0">
        <w:rPr>
          <w:rFonts w:ascii="Arial" w:hAnsi="Arial" w:cs="Arial"/>
        </w:rPr>
        <w:t xml:space="preserve">The purpose of the Agreement is to set out the conditions for the transfer and use of the data, to ensure the security and safety of the public and prescribe the means by which the data shall be protected. Article 3 of the Agreement provides that Canada shall ensure that its competent authority processes PNR ‘strictly’ for the prevention, detection, investigation and prosecution of terrorism and other serious crime that is transnational in nature.  This would constitute a legitimate objective for the purposes of </w:t>
      </w:r>
      <w:r w:rsidR="000604CE" w:rsidRPr="00642AB0">
        <w:rPr>
          <w:rFonts w:ascii="Arial" w:hAnsi="Arial" w:cs="Arial"/>
        </w:rPr>
        <w:t>A</w:t>
      </w:r>
      <w:r w:rsidRPr="00642AB0">
        <w:rPr>
          <w:rFonts w:ascii="Arial" w:hAnsi="Arial" w:cs="Arial"/>
        </w:rPr>
        <w:t xml:space="preserve">rticle 52. </w:t>
      </w:r>
      <w:smartTag w:uri="urn:schemas-microsoft-com:office:smarttags" w:element="stockticker">
        <w:r w:rsidRPr="00642AB0">
          <w:rPr>
            <w:rFonts w:ascii="Arial" w:hAnsi="Arial" w:cs="Arial"/>
          </w:rPr>
          <w:t>PNR</w:t>
        </w:r>
      </w:smartTag>
      <w:r w:rsidRPr="00642AB0">
        <w:rPr>
          <w:rFonts w:ascii="Arial" w:hAnsi="Arial" w:cs="Arial"/>
        </w:rPr>
        <w:t xml:space="preserve"> data has a clear value in combating these types of crime, which goes to the necessity of the measure to protect the public. The Agreement also contains a number of data protection safeguards which are relevant to determining the proportionality of the measure. In particular: </w:t>
      </w:r>
    </w:p>
    <w:p w:rsidR="006632A8" w:rsidRPr="00642AB0" w:rsidRDefault="006632A8" w:rsidP="006632A8">
      <w:pPr>
        <w:tabs>
          <w:tab w:val="num" w:pos="0"/>
          <w:tab w:val="num" w:pos="360"/>
          <w:tab w:val="left" w:pos="1418"/>
        </w:tabs>
        <w:jc w:val="both"/>
        <w:rPr>
          <w:rFonts w:ascii="Arial" w:hAnsi="Arial" w:cs="Arial"/>
        </w:rPr>
      </w:pPr>
    </w:p>
    <w:p w:rsidR="007A2EF0" w:rsidRPr="00642AB0" w:rsidRDefault="002649DD">
      <w:pPr>
        <w:pStyle w:val="ListParagraph"/>
        <w:numPr>
          <w:ilvl w:val="0"/>
          <w:numId w:val="2"/>
        </w:numPr>
        <w:tabs>
          <w:tab w:val="left" w:pos="0"/>
        </w:tabs>
        <w:spacing w:after="120" w:line="240" w:lineRule="auto"/>
        <w:ind w:left="357" w:hanging="357"/>
        <w:rPr>
          <w:rFonts w:ascii="Arial" w:hAnsi="Arial" w:cs="Arial"/>
          <w:sz w:val="24"/>
          <w:szCs w:val="24"/>
        </w:rPr>
      </w:pPr>
      <w:r w:rsidRPr="00642AB0">
        <w:rPr>
          <w:rFonts w:ascii="Arial" w:hAnsi="Arial" w:cs="Arial"/>
          <w:sz w:val="24"/>
          <w:szCs w:val="24"/>
        </w:rPr>
        <w:t xml:space="preserve">The </w:t>
      </w:r>
      <w:r w:rsidRPr="00642AB0">
        <w:rPr>
          <w:rFonts w:ascii="Arial" w:hAnsi="Arial" w:cs="Arial"/>
          <w:b/>
          <w:sz w:val="24"/>
          <w:szCs w:val="24"/>
        </w:rPr>
        <w:t xml:space="preserve">Non-discrimination safeguards (Article 7) </w:t>
      </w:r>
      <w:r w:rsidRPr="00642AB0">
        <w:rPr>
          <w:rFonts w:ascii="Arial" w:hAnsi="Arial" w:cs="Arial"/>
          <w:sz w:val="24"/>
          <w:szCs w:val="24"/>
        </w:rPr>
        <w:t>will ensure Canada applies the same protection to the processing of all passengers’ information.</w:t>
      </w:r>
    </w:p>
    <w:p w:rsidR="007A2EF0" w:rsidRPr="00642AB0" w:rsidRDefault="002649DD">
      <w:pPr>
        <w:pStyle w:val="ListParagraph"/>
        <w:numPr>
          <w:ilvl w:val="0"/>
          <w:numId w:val="2"/>
        </w:numPr>
        <w:tabs>
          <w:tab w:val="left" w:pos="0"/>
        </w:tabs>
        <w:spacing w:after="120" w:line="240" w:lineRule="auto"/>
        <w:ind w:left="357" w:hanging="357"/>
        <w:rPr>
          <w:rFonts w:ascii="Arial" w:hAnsi="Arial" w:cs="Arial"/>
          <w:sz w:val="24"/>
          <w:szCs w:val="24"/>
        </w:rPr>
      </w:pPr>
      <w:r w:rsidRPr="00642AB0">
        <w:rPr>
          <w:rFonts w:ascii="Arial" w:hAnsi="Arial" w:cs="Arial"/>
          <w:sz w:val="24"/>
          <w:szCs w:val="24"/>
        </w:rPr>
        <w:t xml:space="preserve">Additional protection will be afforded to </w:t>
      </w:r>
      <w:r w:rsidRPr="00642AB0">
        <w:rPr>
          <w:rFonts w:ascii="Arial" w:hAnsi="Arial" w:cs="Arial"/>
          <w:b/>
          <w:sz w:val="24"/>
          <w:szCs w:val="24"/>
        </w:rPr>
        <w:t>sensitive data</w:t>
      </w:r>
      <w:r w:rsidRPr="00642AB0">
        <w:rPr>
          <w:rFonts w:ascii="Arial" w:hAnsi="Arial" w:cs="Arial"/>
          <w:sz w:val="24"/>
          <w:szCs w:val="24"/>
        </w:rPr>
        <w:t xml:space="preserve"> </w:t>
      </w:r>
      <w:r w:rsidRPr="00642AB0">
        <w:rPr>
          <w:rFonts w:ascii="Arial" w:hAnsi="Arial" w:cs="Arial"/>
          <w:b/>
          <w:sz w:val="24"/>
          <w:szCs w:val="24"/>
        </w:rPr>
        <w:t>(Article 8)</w:t>
      </w:r>
      <w:r w:rsidRPr="00642AB0">
        <w:rPr>
          <w:rFonts w:ascii="Arial" w:hAnsi="Arial" w:cs="Arial"/>
          <w:sz w:val="24"/>
          <w:szCs w:val="24"/>
        </w:rPr>
        <w:t xml:space="preserve">, which cannot be further processed except when the data is indispensible because an individual’s life is in peril or there is a risk of serious injury.  </w:t>
      </w:r>
    </w:p>
    <w:p w:rsidR="007A2EF0" w:rsidRPr="00642AB0" w:rsidRDefault="002649DD">
      <w:pPr>
        <w:pStyle w:val="ListParagraph"/>
        <w:numPr>
          <w:ilvl w:val="0"/>
          <w:numId w:val="2"/>
        </w:numPr>
        <w:tabs>
          <w:tab w:val="left" w:pos="0"/>
        </w:tabs>
        <w:spacing w:after="120" w:line="240" w:lineRule="auto"/>
        <w:ind w:left="357" w:hanging="357"/>
        <w:rPr>
          <w:rFonts w:ascii="Arial" w:hAnsi="Arial" w:cs="Arial"/>
          <w:sz w:val="24"/>
          <w:szCs w:val="24"/>
        </w:rPr>
      </w:pPr>
      <w:r w:rsidRPr="00642AB0">
        <w:rPr>
          <w:rFonts w:ascii="Arial" w:hAnsi="Arial" w:cs="Arial"/>
          <w:sz w:val="24"/>
          <w:szCs w:val="24"/>
        </w:rPr>
        <w:t xml:space="preserve">Canada will implement </w:t>
      </w:r>
      <w:r w:rsidRPr="00642AB0">
        <w:rPr>
          <w:rFonts w:ascii="Arial" w:hAnsi="Arial" w:cs="Arial"/>
          <w:b/>
          <w:sz w:val="24"/>
          <w:szCs w:val="24"/>
        </w:rPr>
        <w:t>regulatory measures</w:t>
      </w:r>
      <w:r w:rsidRPr="00642AB0">
        <w:rPr>
          <w:rFonts w:ascii="Arial" w:hAnsi="Arial" w:cs="Arial"/>
          <w:sz w:val="24"/>
          <w:szCs w:val="24"/>
        </w:rPr>
        <w:t xml:space="preserve"> to protect PNR data against inappropriate processing or loss </w:t>
      </w:r>
      <w:r w:rsidRPr="00642AB0">
        <w:rPr>
          <w:rFonts w:ascii="Arial" w:hAnsi="Arial" w:cs="Arial"/>
          <w:b/>
          <w:sz w:val="24"/>
          <w:szCs w:val="24"/>
        </w:rPr>
        <w:t>(Article 9)</w:t>
      </w:r>
      <w:r w:rsidRPr="00642AB0">
        <w:rPr>
          <w:rFonts w:ascii="Arial" w:hAnsi="Arial" w:cs="Arial"/>
          <w:sz w:val="24"/>
          <w:szCs w:val="24"/>
        </w:rPr>
        <w:t xml:space="preserve"> and they will ensure compliance verification, and the protection, security, confidentiality and integrity of the data.  </w:t>
      </w:r>
    </w:p>
    <w:p w:rsidR="007A2EF0" w:rsidRPr="00642AB0" w:rsidRDefault="002649DD">
      <w:pPr>
        <w:pStyle w:val="ListParagraph"/>
        <w:numPr>
          <w:ilvl w:val="0"/>
          <w:numId w:val="2"/>
        </w:numPr>
        <w:tabs>
          <w:tab w:val="left" w:pos="0"/>
        </w:tabs>
        <w:spacing w:after="120" w:line="240" w:lineRule="auto"/>
        <w:ind w:left="357" w:hanging="357"/>
        <w:rPr>
          <w:rFonts w:ascii="Arial" w:hAnsi="Arial" w:cs="Arial"/>
          <w:sz w:val="24"/>
          <w:szCs w:val="24"/>
        </w:rPr>
      </w:pPr>
      <w:r w:rsidRPr="00642AB0">
        <w:rPr>
          <w:rFonts w:ascii="Arial" w:hAnsi="Arial" w:cs="Arial"/>
          <w:sz w:val="24"/>
          <w:szCs w:val="24"/>
        </w:rPr>
        <w:t xml:space="preserve">An </w:t>
      </w:r>
      <w:r w:rsidRPr="00642AB0">
        <w:rPr>
          <w:rFonts w:ascii="Arial" w:hAnsi="Arial" w:cs="Arial"/>
          <w:b/>
          <w:sz w:val="24"/>
          <w:szCs w:val="24"/>
        </w:rPr>
        <w:t>independent public authority</w:t>
      </w:r>
      <w:r w:rsidRPr="00642AB0">
        <w:rPr>
          <w:rFonts w:ascii="Arial" w:hAnsi="Arial" w:cs="Arial"/>
          <w:sz w:val="24"/>
          <w:szCs w:val="24"/>
        </w:rPr>
        <w:t xml:space="preserve"> with effective powers to investigate compliance will oversee the data protection safeguards for the processing of PNR under the agreement </w:t>
      </w:r>
      <w:r w:rsidRPr="00642AB0">
        <w:rPr>
          <w:rFonts w:ascii="Arial" w:hAnsi="Arial" w:cs="Arial"/>
          <w:b/>
          <w:sz w:val="24"/>
          <w:szCs w:val="24"/>
        </w:rPr>
        <w:t>(Article 10)</w:t>
      </w:r>
      <w:r w:rsidRPr="00642AB0">
        <w:rPr>
          <w:rFonts w:ascii="Arial" w:hAnsi="Arial" w:cs="Arial"/>
          <w:sz w:val="24"/>
          <w:szCs w:val="24"/>
        </w:rPr>
        <w:t xml:space="preserve">.  </w:t>
      </w:r>
    </w:p>
    <w:p w:rsidR="007A2EF0" w:rsidRPr="00642AB0" w:rsidRDefault="002649DD">
      <w:pPr>
        <w:pStyle w:val="ListParagraph"/>
        <w:numPr>
          <w:ilvl w:val="0"/>
          <w:numId w:val="2"/>
        </w:numPr>
        <w:tabs>
          <w:tab w:val="left" w:pos="0"/>
        </w:tabs>
        <w:spacing w:after="120" w:line="240" w:lineRule="auto"/>
        <w:ind w:left="357" w:hanging="357"/>
        <w:rPr>
          <w:rFonts w:ascii="Arial" w:hAnsi="Arial" w:cs="Arial"/>
          <w:sz w:val="24"/>
          <w:szCs w:val="24"/>
        </w:rPr>
      </w:pPr>
      <w:r w:rsidRPr="00642AB0">
        <w:rPr>
          <w:rFonts w:ascii="Arial" w:hAnsi="Arial" w:cs="Arial"/>
          <w:sz w:val="24"/>
          <w:szCs w:val="24"/>
        </w:rPr>
        <w:t xml:space="preserve">Canada shall ensure </w:t>
      </w:r>
      <w:r w:rsidRPr="00642AB0">
        <w:rPr>
          <w:rFonts w:ascii="Arial" w:hAnsi="Arial" w:cs="Arial"/>
          <w:b/>
          <w:sz w:val="24"/>
          <w:szCs w:val="24"/>
        </w:rPr>
        <w:t>transparency</w:t>
      </w:r>
      <w:r w:rsidRPr="00642AB0">
        <w:rPr>
          <w:rFonts w:ascii="Arial" w:hAnsi="Arial" w:cs="Arial"/>
          <w:sz w:val="24"/>
          <w:szCs w:val="24"/>
        </w:rPr>
        <w:t xml:space="preserve"> by their competent authority by making information relevant to the processing of PNR available on its competent authority’s website </w:t>
      </w:r>
      <w:r w:rsidRPr="00642AB0">
        <w:rPr>
          <w:rFonts w:ascii="Arial" w:hAnsi="Arial" w:cs="Arial"/>
          <w:b/>
          <w:sz w:val="24"/>
          <w:szCs w:val="24"/>
        </w:rPr>
        <w:t>(Article 11)</w:t>
      </w:r>
      <w:r w:rsidRPr="00642AB0">
        <w:rPr>
          <w:rFonts w:ascii="Arial" w:hAnsi="Arial" w:cs="Arial"/>
          <w:sz w:val="24"/>
          <w:szCs w:val="24"/>
        </w:rPr>
        <w:t>.  It will include details such as a list of legislation authorising the collection of PNR, reasons for its collection, the manner of protecting the data, the extent to which the data may be disclosed, and contact details for enquiries.  Moreover, Canada shall encourage carriers to adopt a similar approach and promote transparency, preferably at the time of booking.</w:t>
      </w:r>
    </w:p>
    <w:p w:rsidR="007A2EF0" w:rsidRPr="00642AB0" w:rsidRDefault="002649DD">
      <w:pPr>
        <w:pStyle w:val="ListParagraph"/>
        <w:numPr>
          <w:ilvl w:val="0"/>
          <w:numId w:val="2"/>
        </w:numPr>
        <w:tabs>
          <w:tab w:val="left" w:pos="0"/>
        </w:tabs>
        <w:spacing w:after="120" w:line="240" w:lineRule="auto"/>
        <w:ind w:left="357" w:hanging="357"/>
        <w:rPr>
          <w:rFonts w:ascii="Arial" w:hAnsi="Arial" w:cs="Arial"/>
          <w:sz w:val="24"/>
          <w:szCs w:val="24"/>
        </w:rPr>
      </w:pPr>
      <w:r w:rsidRPr="00642AB0">
        <w:rPr>
          <w:rFonts w:ascii="Arial" w:hAnsi="Arial" w:cs="Arial"/>
          <w:sz w:val="24"/>
          <w:szCs w:val="24"/>
        </w:rPr>
        <w:lastRenderedPageBreak/>
        <w:t xml:space="preserve">Passengers will have the </w:t>
      </w:r>
      <w:r w:rsidRPr="00642AB0">
        <w:rPr>
          <w:rFonts w:ascii="Arial" w:hAnsi="Arial" w:cs="Arial"/>
          <w:b/>
          <w:sz w:val="24"/>
          <w:szCs w:val="24"/>
        </w:rPr>
        <w:t>right to request their PNR data</w:t>
      </w:r>
      <w:r w:rsidRPr="00642AB0">
        <w:rPr>
          <w:rFonts w:ascii="Arial" w:hAnsi="Arial" w:cs="Arial"/>
          <w:sz w:val="24"/>
          <w:szCs w:val="24"/>
        </w:rPr>
        <w:t xml:space="preserve"> from the competent authority </w:t>
      </w:r>
      <w:r w:rsidRPr="00642AB0">
        <w:rPr>
          <w:rFonts w:ascii="Arial" w:hAnsi="Arial" w:cs="Arial"/>
          <w:b/>
          <w:sz w:val="24"/>
          <w:szCs w:val="24"/>
        </w:rPr>
        <w:t>(Article 12)</w:t>
      </w:r>
    </w:p>
    <w:p w:rsidR="007A2EF0" w:rsidRPr="00642AB0" w:rsidRDefault="002649DD">
      <w:pPr>
        <w:pStyle w:val="ListParagraph"/>
        <w:numPr>
          <w:ilvl w:val="0"/>
          <w:numId w:val="2"/>
        </w:numPr>
        <w:tabs>
          <w:tab w:val="left" w:pos="0"/>
        </w:tabs>
        <w:spacing w:after="120" w:line="240" w:lineRule="auto"/>
        <w:rPr>
          <w:rFonts w:ascii="Arial" w:hAnsi="Arial" w:cs="Arial"/>
          <w:sz w:val="24"/>
          <w:szCs w:val="24"/>
        </w:rPr>
      </w:pPr>
      <w:r w:rsidRPr="00642AB0">
        <w:rPr>
          <w:rFonts w:ascii="Arial" w:hAnsi="Arial" w:cs="Arial"/>
          <w:sz w:val="24"/>
          <w:szCs w:val="24"/>
        </w:rPr>
        <w:t xml:space="preserve">Data Subjects will be able to request the </w:t>
      </w:r>
      <w:r w:rsidRPr="00642AB0">
        <w:rPr>
          <w:rFonts w:ascii="Arial" w:hAnsi="Arial" w:cs="Arial"/>
          <w:b/>
          <w:sz w:val="24"/>
          <w:szCs w:val="24"/>
        </w:rPr>
        <w:t>correction</w:t>
      </w:r>
      <w:r w:rsidRPr="00642AB0">
        <w:rPr>
          <w:rFonts w:ascii="Arial" w:hAnsi="Arial" w:cs="Arial"/>
          <w:sz w:val="24"/>
          <w:szCs w:val="24"/>
        </w:rPr>
        <w:t xml:space="preserve"> of their PNR data and the competent authority shall consider all written requests for correction within a reasonable time </w:t>
      </w:r>
      <w:r w:rsidRPr="00642AB0">
        <w:rPr>
          <w:rFonts w:ascii="Arial" w:hAnsi="Arial" w:cs="Arial"/>
          <w:b/>
          <w:sz w:val="24"/>
          <w:szCs w:val="24"/>
        </w:rPr>
        <w:t>(Article 13)</w:t>
      </w:r>
      <w:r w:rsidRPr="00642AB0">
        <w:rPr>
          <w:rFonts w:ascii="Arial" w:hAnsi="Arial" w:cs="Arial"/>
          <w:sz w:val="24"/>
          <w:szCs w:val="24"/>
        </w:rPr>
        <w:t>.</w:t>
      </w:r>
    </w:p>
    <w:p w:rsidR="007A2EF0" w:rsidRPr="00642AB0" w:rsidRDefault="002649DD">
      <w:pPr>
        <w:pStyle w:val="ListParagraph"/>
        <w:numPr>
          <w:ilvl w:val="0"/>
          <w:numId w:val="2"/>
        </w:numPr>
        <w:tabs>
          <w:tab w:val="left" w:pos="0"/>
        </w:tabs>
        <w:spacing w:after="120" w:line="240" w:lineRule="auto"/>
        <w:rPr>
          <w:rFonts w:ascii="Arial" w:hAnsi="Arial" w:cs="Arial"/>
          <w:sz w:val="24"/>
          <w:szCs w:val="24"/>
        </w:rPr>
      </w:pPr>
      <w:r w:rsidRPr="00642AB0">
        <w:rPr>
          <w:rFonts w:ascii="Arial" w:hAnsi="Arial" w:cs="Arial"/>
          <w:b/>
          <w:sz w:val="24"/>
          <w:szCs w:val="24"/>
        </w:rPr>
        <w:t>Complaints</w:t>
      </w:r>
      <w:r w:rsidRPr="00642AB0">
        <w:rPr>
          <w:rFonts w:ascii="Arial" w:hAnsi="Arial" w:cs="Arial"/>
          <w:sz w:val="24"/>
          <w:szCs w:val="24"/>
        </w:rPr>
        <w:t xml:space="preserve"> shall be investigated and responded to by an independent authority </w:t>
      </w:r>
      <w:r w:rsidRPr="00642AB0">
        <w:rPr>
          <w:rFonts w:ascii="Arial" w:hAnsi="Arial" w:cs="Arial"/>
          <w:b/>
          <w:sz w:val="24"/>
          <w:szCs w:val="24"/>
        </w:rPr>
        <w:t>(Article 14)</w:t>
      </w:r>
      <w:r w:rsidRPr="00642AB0">
        <w:rPr>
          <w:rFonts w:ascii="Arial" w:hAnsi="Arial" w:cs="Arial"/>
          <w:sz w:val="24"/>
          <w:szCs w:val="24"/>
        </w:rPr>
        <w:t>.  Canada shall ensure that the relevant authority will notify the complainant of their right to judicial redress.</w:t>
      </w:r>
    </w:p>
    <w:p w:rsidR="007A2EF0" w:rsidRPr="00642AB0" w:rsidRDefault="002649DD">
      <w:pPr>
        <w:pStyle w:val="ListParagraph"/>
        <w:numPr>
          <w:ilvl w:val="0"/>
          <w:numId w:val="2"/>
        </w:numPr>
        <w:tabs>
          <w:tab w:val="left" w:pos="0"/>
        </w:tabs>
        <w:spacing w:after="120" w:line="240" w:lineRule="auto"/>
        <w:rPr>
          <w:rFonts w:ascii="Arial" w:hAnsi="Arial" w:cs="Arial"/>
          <w:sz w:val="24"/>
          <w:szCs w:val="24"/>
        </w:rPr>
      </w:pPr>
      <w:r w:rsidRPr="00642AB0">
        <w:rPr>
          <w:rFonts w:ascii="Arial" w:hAnsi="Arial" w:cs="Arial"/>
          <w:sz w:val="24"/>
          <w:szCs w:val="24"/>
        </w:rPr>
        <w:t xml:space="preserve">Canada shall not </w:t>
      </w:r>
      <w:r w:rsidRPr="00642AB0">
        <w:rPr>
          <w:rFonts w:ascii="Arial" w:hAnsi="Arial" w:cs="Arial"/>
          <w:b/>
          <w:sz w:val="24"/>
          <w:szCs w:val="24"/>
        </w:rPr>
        <w:t>retain</w:t>
      </w:r>
      <w:r w:rsidRPr="00642AB0">
        <w:rPr>
          <w:rFonts w:ascii="Arial" w:hAnsi="Arial" w:cs="Arial"/>
          <w:sz w:val="24"/>
          <w:szCs w:val="24"/>
        </w:rPr>
        <w:t xml:space="preserve"> data for more than 5 years and access will be restricted to a limited number of authorised personnel </w:t>
      </w:r>
      <w:r w:rsidRPr="00642AB0">
        <w:rPr>
          <w:rFonts w:ascii="Arial" w:hAnsi="Arial" w:cs="Arial"/>
          <w:b/>
          <w:sz w:val="24"/>
          <w:szCs w:val="24"/>
        </w:rPr>
        <w:t>(Article 16)</w:t>
      </w:r>
      <w:r w:rsidRPr="00642AB0">
        <w:rPr>
          <w:rFonts w:ascii="Arial" w:hAnsi="Arial" w:cs="Arial"/>
          <w:sz w:val="24"/>
          <w:szCs w:val="24"/>
        </w:rPr>
        <w:t xml:space="preserve">.  Moreover, the data shall be depersonalised by masking names after 30 days and further details relating to the passenger will be masked after 2 years.  </w:t>
      </w:r>
    </w:p>
    <w:p w:rsidR="007A2EF0" w:rsidRPr="00642AB0" w:rsidRDefault="002649DD">
      <w:pPr>
        <w:pStyle w:val="ListParagraph"/>
        <w:numPr>
          <w:ilvl w:val="0"/>
          <w:numId w:val="2"/>
        </w:numPr>
        <w:tabs>
          <w:tab w:val="left" w:pos="0"/>
        </w:tabs>
        <w:spacing w:after="120" w:line="240" w:lineRule="auto"/>
        <w:rPr>
          <w:rFonts w:ascii="Arial" w:hAnsi="Arial" w:cs="Arial"/>
          <w:sz w:val="24"/>
          <w:szCs w:val="24"/>
        </w:rPr>
      </w:pPr>
      <w:r w:rsidRPr="00642AB0">
        <w:rPr>
          <w:rFonts w:ascii="Arial" w:hAnsi="Arial" w:cs="Arial"/>
          <w:sz w:val="24"/>
          <w:szCs w:val="24"/>
        </w:rPr>
        <w:t xml:space="preserve">Canada will </w:t>
      </w:r>
      <w:r w:rsidRPr="00642AB0">
        <w:rPr>
          <w:rFonts w:ascii="Arial" w:hAnsi="Arial" w:cs="Arial"/>
          <w:b/>
          <w:sz w:val="24"/>
          <w:szCs w:val="24"/>
        </w:rPr>
        <w:t>log all processing</w:t>
      </w:r>
      <w:r w:rsidRPr="00642AB0">
        <w:rPr>
          <w:rFonts w:ascii="Arial" w:hAnsi="Arial" w:cs="Arial"/>
          <w:sz w:val="24"/>
          <w:szCs w:val="24"/>
        </w:rPr>
        <w:t xml:space="preserve"> </w:t>
      </w:r>
      <w:r w:rsidRPr="00642AB0">
        <w:rPr>
          <w:rFonts w:ascii="Arial" w:hAnsi="Arial" w:cs="Arial"/>
          <w:b/>
          <w:sz w:val="24"/>
          <w:szCs w:val="24"/>
        </w:rPr>
        <w:t>(Article 17)</w:t>
      </w:r>
      <w:r w:rsidRPr="00642AB0">
        <w:rPr>
          <w:rFonts w:ascii="Arial" w:hAnsi="Arial" w:cs="Arial"/>
          <w:sz w:val="24"/>
          <w:szCs w:val="24"/>
        </w:rPr>
        <w:t xml:space="preserve"> of PNR data to ensure its correct usage and the quality of the processing.</w:t>
      </w:r>
    </w:p>
    <w:p w:rsidR="007A2EF0" w:rsidRPr="00642AB0" w:rsidRDefault="002649DD">
      <w:pPr>
        <w:pStyle w:val="ListParagraph"/>
        <w:numPr>
          <w:ilvl w:val="0"/>
          <w:numId w:val="2"/>
        </w:numPr>
        <w:tabs>
          <w:tab w:val="left" w:pos="0"/>
        </w:tabs>
        <w:spacing w:after="120" w:line="240" w:lineRule="auto"/>
        <w:rPr>
          <w:rFonts w:ascii="Arial" w:hAnsi="Arial" w:cs="Arial"/>
          <w:sz w:val="24"/>
          <w:szCs w:val="24"/>
        </w:rPr>
      </w:pPr>
      <w:r w:rsidRPr="00642AB0">
        <w:rPr>
          <w:rFonts w:ascii="Arial" w:hAnsi="Arial" w:cs="Arial"/>
          <w:b/>
          <w:sz w:val="24"/>
          <w:szCs w:val="24"/>
        </w:rPr>
        <w:t>Disclosure of European PNR within Canada</w:t>
      </w:r>
      <w:r w:rsidRPr="00642AB0">
        <w:rPr>
          <w:rFonts w:ascii="Arial" w:hAnsi="Arial" w:cs="Arial"/>
          <w:sz w:val="24"/>
          <w:szCs w:val="24"/>
        </w:rPr>
        <w:t xml:space="preserve"> shall only occur if the requirements in </w:t>
      </w:r>
      <w:r w:rsidRPr="00642AB0">
        <w:rPr>
          <w:rFonts w:ascii="Arial" w:hAnsi="Arial" w:cs="Arial"/>
          <w:b/>
          <w:sz w:val="24"/>
          <w:szCs w:val="24"/>
        </w:rPr>
        <w:t>Article 18(1)</w:t>
      </w:r>
      <w:r w:rsidRPr="00642AB0">
        <w:rPr>
          <w:rFonts w:ascii="Arial" w:hAnsi="Arial" w:cs="Arial"/>
          <w:sz w:val="24"/>
          <w:szCs w:val="24"/>
        </w:rPr>
        <w:t xml:space="preserve"> are met, e.g. the disclosure is to a government authority whose functions are directly related to tackling serious transnational crime or terrorism, it is disclosed on a case-by-case basis and only the minimum amount of information necessary is provided.</w:t>
      </w:r>
    </w:p>
    <w:p w:rsidR="007A2EF0" w:rsidRPr="00642AB0" w:rsidRDefault="002649DD">
      <w:pPr>
        <w:pStyle w:val="ListParagraph"/>
        <w:numPr>
          <w:ilvl w:val="0"/>
          <w:numId w:val="2"/>
        </w:numPr>
        <w:tabs>
          <w:tab w:val="left" w:pos="0"/>
        </w:tabs>
        <w:spacing w:after="120" w:line="240" w:lineRule="auto"/>
        <w:rPr>
          <w:rFonts w:ascii="Arial" w:hAnsi="Arial" w:cs="Arial"/>
          <w:sz w:val="24"/>
          <w:szCs w:val="24"/>
        </w:rPr>
      </w:pPr>
      <w:r w:rsidRPr="00642AB0">
        <w:rPr>
          <w:rFonts w:ascii="Arial" w:hAnsi="Arial" w:cs="Arial"/>
          <w:b/>
          <w:sz w:val="24"/>
          <w:szCs w:val="24"/>
        </w:rPr>
        <w:t>Disclosure of European PNR outside of Canada</w:t>
      </w:r>
      <w:r w:rsidRPr="00642AB0">
        <w:rPr>
          <w:rFonts w:ascii="Arial" w:hAnsi="Arial" w:cs="Arial"/>
          <w:sz w:val="24"/>
          <w:szCs w:val="24"/>
        </w:rPr>
        <w:t xml:space="preserve"> shall only take place if</w:t>
      </w:r>
      <w:r w:rsidR="00B659AA" w:rsidRPr="00642AB0">
        <w:rPr>
          <w:rFonts w:ascii="Arial" w:hAnsi="Arial" w:cs="Arial"/>
          <w:sz w:val="24"/>
          <w:szCs w:val="24"/>
        </w:rPr>
        <w:t>,</w:t>
      </w:r>
      <w:r w:rsidRPr="00642AB0">
        <w:rPr>
          <w:rFonts w:ascii="Arial" w:hAnsi="Arial" w:cs="Arial"/>
          <w:sz w:val="24"/>
          <w:szCs w:val="24"/>
        </w:rPr>
        <w:t xml:space="preserve"> inter alia, the foreign authority receiving the PNR data applies standards to protect the PNR data that are equivalent to those set out in the EU-Canada </w:t>
      </w:r>
      <w:r w:rsidR="00B659AA" w:rsidRPr="00642AB0">
        <w:rPr>
          <w:rFonts w:ascii="Arial" w:hAnsi="Arial" w:cs="Arial"/>
          <w:sz w:val="24"/>
          <w:szCs w:val="24"/>
        </w:rPr>
        <w:t>A</w:t>
      </w:r>
      <w:r w:rsidRPr="00642AB0">
        <w:rPr>
          <w:rFonts w:ascii="Arial" w:hAnsi="Arial" w:cs="Arial"/>
          <w:sz w:val="24"/>
          <w:szCs w:val="24"/>
        </w:rPr>
        <w:t xml:space="preserve">greement or the foreign authority applies the standards to protect the PNR data that it has agreed with the EU </w:t>
      </w:r>
      <w:r w:rsidRPr="00642AB0">
        <w:rPr>
          <w:rFonts w:ascii="Arial" w:hAnsi="Arial" w:cs="Arial"/>
          <w:b/>
          <w:sz w:val="24"/>
          <w:szCs w:val="24"/>
        </w:rPr>
        <w:t>(Article 19)</w:t>
      </w:r>
      <w:r w:rsidRPr="00642AB0">
        <w:rPr>
          <w:rFonts w:ascii="Arial" w:hAnsi="Arial" w:cs="Arial"/>
          <w:sz w:val="24"/>
          <w:szCs w:val="24"/>
        </w:rPr>
        <w:t>.</w:t>
      </w:r>
    </w:p>
    <w:p w:rsidR="007A2EF0" w:rsidRPr="00642AB0" w:rsidRDefault="007A2EF0">
      <w:pPr>
        <w:tabs>
          <w:tab w:val="num" w:pos="360"/>
        </w:tabs>
        <w:spacing w:after="120"/>
        <w:rPr>
          <w:rFonts w:ascii="Arial" w:hAnsi="Arial" w:cs="Arial"/>
        </w:rPr>
      </w:pPr>
    </w:p>
    <w:p w:rsidR="001372A7" w:rsidRPr="00642AB0" w:rsidRDefault="002649DD" w:rsidP="001372A7">
      <w:pPr>
        <w:rPr>
          <w:rFonts w:ascii="Arial" w:hAnsi="Arial" w:cs="Arial"/>
          <w:b/>
          <w:u w:val="single"/>
        </w:rPr>
      </w:pPr>
      <w:r w:rsidRPr="00642AB0">
        <w:rPr>
          <w:rFonts w:ascii="Arial" w:hAnsi="Arial" w:cs="Arial"/>
          <w:b/>
          <w:u w:val="single"/>
        </w:rPr>
        <w:t>APPLICATION TO THE EUROPEAN ECONOMIC AREA</w:t>
      </w:r>
    </w:p>
    <w:p w:rsidR="001372A7" w:rsidRPr="00642AB0" w:rsidRDefault="001372A7" w:rsidP="001372A7">
      <w:pPr>
        <w:rPr>
          <w:rFonts w:ascii="Arial" w:hAnsi="Arial" w:cs="Arial"/>
        </w:rPr>
      </w:pPr>
    </w:p>
    <w:p w:rsidR="00302DD4" w:rsidRPr="00642AB0" w:rsidRDefault="002649DD" w:rsidP="00D37A15">
      <w:pPr>
        <w:pStyle w:val="ListParagraph"/>
        <w:numPr>
          <w:ilvl w:val="0"/>
          <w:numId w:val="1"/>
        </w:numPr>
        <w:tabs>
          <w:tab w:val="clear" w:pos="360"/>
          <w:tab w:val="left" w:pos="426"/>
        </w:tabs>
        <w:ind w:left="0" w:firstLine="0"/>
        <w:rPr>
          <w:rFonts w:ascii="Arial" w:hAnsi="Arial" w:cs="Arial"/>
          <w:sz w:val="24"/>
          <w:szCs w:val="24"/>
        </w:rPr>
      </w:pPr>
      <w:r w:rsidRPr="00642AB0">
        <w:rPr>
          <w:rFonts w:ascii="Arial" w:hAnsi="Arial" w:cs="Arial"/>
          <w:sz w:val="24"/>
          <w:szCs w:val="24"/>
        </w:rPr>
        <w:t>This proposal will not apply to Iceland, Liechtenstein or Norway.</w:t>
      </w:r>
    </w:p>
    <w:p w:rsidR="001372A7" w:rsidRPr="00642AB0" w:rsidRDefault="001372A7" w:rsidP="00D37A15">
      <w:pPr>
        <w:tabs>
          <w:tab w:val="left" w:pos="426"/>
        </w:tabs>
        <w:rPr>
          <w:rFonts w:ascii="Arial" w:hAnsi="Arial" w:cs="Arial"/>
        </w:rPr>
      </w:pPr>
    </w:p>
    <w:p w:rsidR="001372A7" w:rsidRPr="00642AB0" w:rsidRDefault="002649DD" w:rsidP="00D37A15">
      <w:pPr>
        <w:tabs>
          <w:tab w:val="left" w:pos="426"/>
        </w:tabs>
        <w:rPr>
          <w:rFonts w:ascii="Arial" w:hAnsi="Arial" w:cs="Arial"/>
          <w:b/>
          <w:u w:val="single"/>
        </w:rPr>
      </w:pPr>
      <w:r w:rsidRPr="00642AB0">
        <w:rPr>
          <w:rFonts w:ascii="Arial" w:hAnsi="Arial" w:cs="Arial"/>
          <w:b/>
          <w:u w:val="single"/>
        </w:rPr>
        <w:t>SUBSIDIARITY</w:t>
      </w:r>
    </w:p>
    <w:p w:rsidR="001372A7" w:rsidRPr="00642AB0" w:rsidRDefault="001372A7" w:rsidP="00D37A15">
      <w:pPr>
        <w:tabs>
          <w:tab w:val="left" w:pos="426"/>
        </w:tabs>
        <w:rPr>
          <w:rFonts w:ascii="Arial" w:hAnsi="Arial" w:cs="Arial"/>
        </w:rPr>
      </w:pPr>
    </w:p>
    <w:p w:rsidR="007A2EF0" w:rsidRPr="00642AB0" w:rsidRDefault="002649DD">
      <w:pPr>
        <w:pStyle w:val="ListParagraph"/>
        <w:numPr>
          <w:ilvl w:val="0"/>
          <w:numId w:val="1"/>
        </w:numPr>
        <w:tabs>
          <w:tab w:val="left" w:pos="426"/>
        </w:tabs>
        <w:autoSpaceDE w:val="0"/>
        <w:autoSpaceDN w:val="0"/>
        <w:adjustRightInd w:val="0"/>
        <w:spacing w:line="240" w:lineRule="auto"/>
        <w:ind w:left="0" w:firstLine="0"/>
        <w:rPr>
          <w:rFonts w:ascii="Arial" w:hAnsi="Arial" w:cs="Arial"/>
          <w:sz w:val="24"/>
          <w:szCs w:val="24"/>
        </w:rPr>
      </w:pPr>
      <w:r w:rsidRPr="00642AB0">
        <w:rPr>
          <w:rFonts w:ascii="Arial" w:hAnsi="Arial" w:cs="Arial"/>
          <w:sz w:val="24"/>
          <w:szCs w:val="24"/>
        </w:rPr>
        <w:t xml:space="preserve">The Government believes that the establishment of a regime for the processing and transfer of </w:t>
      </w:r>
      <w:smartTag w:uri="urn:schemas-microsoft-com:office:smarttags" w:element="stockticker">
        <w:r w:rsidRPr="00642AB0">
          <w:rPr>
            <w:rFonts w:ascii="Arial" w:hAnsi="Arial" w:cs="Arial"/>
            <w:sz w:val="24"/>
            <w:szCs w:val="24"/>
          </w:rPr>
          <w:t>PNR</w:t>
        </w:r>
      </w:smartTag>
      <w:r w:rsidRPr="00642AB0">
        <w:rPr>
          <w:rFonts w:ascii="Arial" w:hAnsi="Arial" w:cs="Arial"/>
          <w:sz w:val="24"/>
          <w:szCs w:val="24"/>
        </w:rPr>
        <w:t xml:space="preserve"> data to the Canadian Competent </w:t>
      </w:r>
      <w:proofErr w:type="gramStart"/>
      <w:r w:rsidRPr="00642AB0">
        <w:rPr>
          <w:rFonts w:ascii="Arial" w:hAnsi="Arial" w:cs="Arial"/>
          <w:sz w:val="24"/>
          <w:szCs w:val="24"/>
        </w:rPr>
        <w:t>Authority  is</w:t>
      </w:r>
      <w:proofErr w:type="gramEnd"/>
      <w:r w:rsidRPr="00642AB0">
        <w:rPr>
          <w:rFonts w:ascii="Arial" w:hAnsi="Arial" w:cs="Arial"/>
          <w:sz w:val="24"/>
          <w:szCs w:val="24"/>
        </w:rPr>
        <w:t xml:space="preserve"> a matter appropriate for action at the EU level. If Member States were to act in this area unilaterally, then this could lead to differing requirements being imposed on carriers across the EU. It could also frustrate the success of such an arrangement if there is no clear legal basis for passenger data to be transferred from a carrier in one Member State to the Canadian Competent Authority.   </w:t>
      </w:r>
      <w:r w:rsidR="00AF2A14" w:rsidRPr="00642AB0">
        <w:rPr>
          <w:rFonts w:ascii="Arial" w:hAnsi="Arial" w:cs="Arial"/>
          <w:sz w:val="24"/>
          <w:szCs w:val="24"/>
        </w:rPr>
        <w:t xml:space="preserve">The objectives of this proposed </w:t>
      </w:r>
      <w:r w:rsidR="00B659AA" w:rsidRPr="00642AB0">
        <w:rPr>
          <w:rFonts w:ascii="Arial" w:hAnsi="Arial" w:cs="Arial"/>
          <w:sz w:val="24"/>
          <w:szCs w:val="24"/>
        </w:rPr>
        <w:t>A</w:t>
      </w:r>
      <w:r w:rsidR="00AF2A14" w:rsidRPr="00642AB0">
        <w:rPr>
          <w:rFonts w:ascii="Arial" w:hAnsi="Arial" w:cs="Arial"/>
          <w:sz w:val="24"/>
          <w:szCs w:val="24"/>
        </w:rPr>
        <w:t xml:space="preserve">greement could not therefore be </w:t>
      </w:r>
      <w:r w:rsidR="0022159E" w:rsidRPr="00642AB0">
        <w:rPr>
          <w:rFonts w:ascii="Arial" w:hAnsi="Arial" w:cs="Arial"/>
          <w:sz w:val="24"/>
          <w:szCs w:val="24"/>
        </w:rPr>
        <w:t xml:space="preserve">sufficiently </w:t>
      </w:r>
      <w:r w:rsidR="00AF2A14" w:rsidRPr="00642AB0">
        <w:rPr>
          <w:rFonts w:ascii="Arial" w:hAnsi="Arial" w:cs="Arial"/>
          <w:sz w:val="24"/>
          <w:szCs w:val="24"/>
        </w:rPr>
        <w:t xml:space="preserve">achieved </w:t>
      </w:r>
      <w:r w:rsidR="00C6501D" w:rsidRPr="00642AB0">
        <w:rPr>
          <w:rFonts w:ascii="Arial" w:hAnsi="Arial" w:cs="Arial"/>
          <w:sz w:val="24"/>
          <w:szCs w:val="24"/>
        </w:rPr>
        <w:t>by individual Member States acting alone.</w:t>
      </w:r>
    </w:p>
    <w:p w:rsidR="001372A7" w:rsidRPr="00642AB0" w:rsidRDefault="001372A7" w:rsidP="00B659AA">
      <w:pPr>
        <w:tabs>
          <w:tab w:val="left" w:pos="426"/>
        </w:tabs>
        <w:rPr>
          <w:rFonts w:ascii="Arial" w:hAnsi="Arial" w:cs="Arial"/>
        </w:rPr>
      </w:pPr>
    </w:p>
    <w:p w:rsidR="007A2EF0" w:rsidRPr="00642AB0" w:rsidRDefault="002649DD">
      <w:pPr>
        <w:tabs>
          <w:tab w:val="left" w:pos="426"/>
        </w:tabs>
        <w:rPr>
          <w:rFonts w:ascii="Arial" w:hAnsi="Arial" w:cs="Arial"/>
          <w:b/>
          <w:u w:val="single"/>
        </w:rPr>
      </w:pPr>
      <w:r w:rsidRPr="00642AB0">
        <w:rPr>
          <w:rFonts w:ascii="Arial" w:hAnsi="Arial" w:cs="Arial"/>
          <w:b/>
          <w:u w:val="single"/>
        </w:rPr>
        <w:t>POLICY IMPLICATIONS</w:t>
      </w:r>
    </w:p>
    <w:p w:rsidR="007A2EF0" w:rsidRPr="00642AB0" w:rsidRDefault="00FD3DCA">
      <w:pPr>
        <w:numPr>
          <w:ilvl w:val="0"/>
          <w:numId w:val="1"/>
        </w:numPr>
        <w:tabs>
          <w:tab w:val="left" w:pos="0"/>
          <w:tab w:val="left" w:pos="426"/>
        </w:tabs>
        <w:ind w:left="0" w:firstLine="0"/>
        <w:rPr>
          <w:rFonts w:ascii="Arial" w:hAnsi="Arial" w:cs="Arial"/>
        </w:rPr>
      </w:pPr>
      <w:r w:rsidRPr="00642AB0">
        <w:rPr>
          <w:rFonts w:ascii="Arial" w:hAnsi="Arial" w:cs="Arial"/>
        </w:rPr>
        <w:t xml:space="preserve">The Government supports the decision to enter this data sharing agreement with Canada.  Parliament has already agreed the negotiating mandate and the EU have operated within this.  Passenger Name Record data is already transferred between </w:t>
      </w:r>
      <w:r w:rsidRPr="00642AB0">
        <w:rPr>
          <w:rFonts w:ascii="Arial" w:hAnsi="Arial" w:cs="Arial"/>
        </w:rPr>
        <w:lastRenderedPageBreak/>
        <w:t xml:space="preserve">the UK and Canada, however this agreement would put the data sharing on a clearer legal footing.  Given the existence of data sharing arrangements with Canada, there are no additional policy implications </w:t>
      </w:r>
      <w:r w:rsidR="00B659AA" w:rsidRPr="00642AB0">
        <w:rPr>
          <w:rFonts w:ascii="Arial" w:hAnsi="Arial" w:cs="Arial"/>
        </w:rPr>
        <w:t>for</w:t>
      </w:r>
      <w:r w:rsidRPr="00642AB0">
        <w:rPr>
          <w:rFonts w:ascii="Arial" w:hAnsi="Arial" w:cs="Arial"/>
        </w:rPr>
        <w:t xml:space="preserve"> British carriers.  Moreover, a Council Decision, supporting this transfer of passenger data will give an added level of legal clarity.</w:t>
      </w:r>
      <w:r w:rsidR="000F2DF7" w:rsidRPr="00642AB0" w:rsidDel="000F2DF7">
        <w:rPr>
          <w:rFonts w:ascii="Arial" w:hAnsi="Arial" w:cs="Arial"/>
        </w:rPr>
        <w:t xml:space="preserve"> </w:t>
      </w:r>
    </w:p>
    <w:p w:rsidR="002B3BC1" w:rsidRPr="00642AB0" w:rsidRDefault="002B3BC1" w:rsidP="001372A7">
      <w:pPr>
        <w:rPr>
          <w:rFonts w:ascii="Arial" w:hAnsi="Arial" w:cs="Arial"/>
        </w:rPr>
      </w:pPr>
    </w:p>
    <w:p w:rsidR="001372A7" w:rsidRPr="00642AB0" w:rsidRDefault="002649DD" w:rsidP="001372A7">
      <w:pPr>
        <w:rPr>
          <w:rFonts w:ascii="Arial" w:hAnsi="Arial" w:cs="Arial"/>
          <w:b/>
          <w:u w:val="single"/>
        </w:rPr>
      </w:pPr>
      <w:r w:rsidRPr="00642AB0">
        <w:rPr>
          <w:rFonts w:ascii="Arial" w:hAnsi="Arial" w:cs="Arial"/>
          <w:b/>
          <w:u w:val="single"/>
        </w:rPr>
        <w:t>IMPACT ASSESSMENT</w:t>
      </w:r>
    </w:p>
    <w:p w:rsidR="00E83636" w:rsidRPr="00642AB0" w:rsidRDefault="00E83636" w:rsidP="001372A7">
      <w:pPr>
        <w:rPr>
          <w:rFonts w:ascii="Arial" w:hAnsi="Arial" w:cs="Arial"/>
          <w:b/>
          <w:u w:val="single"/>
        </w:rPr>
      </w:pPr>
    </w:p>
    <w:p w:rsidR="00E83636" w:rsidRPr="00642AB0" w:rsidRDefault="002649DD" w:rsidP="00E83636">
      <w:pPr>
        <w:numPr>
          <w:ilvl w:val="0"/>
          <w:numId w:val="1"/>
        </w:numPr>
        <w:tabs>
          <w:tab w:val="left" w:pos="0"/>
        </w:tabs>
        <w:ind w:left="0" w:firstLine="0"/>
        <w:rPr>
          <w:rFonts w:ascii="Arial" w:hAnsi="Arial" w:cs="Arial"/>
        </w:rPr>
      </w:pPr>
      <w:r w:rsidRPr="00642AB0">
        <w:rPr>
          <w:rFonts w:ascii="Arial" w:hAnsi="Arial" w:cs="Arial"/>
        </w:rPr>
        <w:t xml:space="preserve">In January 2008, the UK Government published an Impact Assessment (IA) which considered the impact to the industry of the UK Data Acquisition Legislation introduced in early 2008. This legislation comprises the power to collect </w:t>
      </w:r>
      <w:smartTag w:uri="urn:schemas-microsoft-com:office:smarttags" w:element="stockticker">
        <w:r w:rsidRPr="00642AB0">
          <w:rPr>
            <w:rFonts w:ascii="Arial" w:hAnsi="Arial" w:cs="Arial"/>
          </w:rPr>
          <w:t>PNR</w:t>
        </w:r>
      </w:smartTag>
      <w:r w:rsidRPr="00642AB0">
        <w:rPr>
          <w:rFonts w:ascii="Arial" w:hAnsi="Arial" w:cs="Arial"/>
        </w:rPr>
        <w:t xml:space="preserve"> data from carriers in advance of travel for all movement into and out of the UK. Of the two main options considered, the routine and comprehensive acquisition of data from all carriers was the preferred option to “no action”.</w:t>
      </w:r>
    </w:p>
    <w:p w:rsidR="007A2EF0" w:rsidRPr="00642AB0" w:rsidRDefault="007A2EF0">
      <w:pPr>
        <w:rPr>
          <w:rFonts w:ascii="Arial" w:hAnsi="Arial" w:cs="Arial"/>
        </w:rPr>
      </w:pPr>
    </w:p>
    <w:p w:rsidR="001372A7" w:rsidRPr="00642AB0" w:rsidRDefault="002649DD" w:rsidP="001372A7">
      <w:pPr>
        <w:pStyle w:val="Heading7"/>
        <w:rPr>
          <w:rFonts w:ascii="Arial" w:hAnsi="Arial" w:cs="Arial"/>
          <w:b/>
          <w:szCs w:val="24"/>
          <w:u w:val="single"/>
        </w:rPr>
      </w:pPr>
      <w:r w:rsidRPr="00642AB0">
        <w:rPr>
          <w:rFonts w:ascii="Arial" w:hAnsi="Arial" w:cs="Arial"/>
          <w:b/>
          <w:szCs w:val="24"/>
          <w:u w:val="single"/>
        </w:rPr>
        <w:t>FINANCIAL IMPLICATIONS</w:t>
      </w:r>
    </w:p>
    <w:p w:rsidR="001372A7" w:rsidRPr="00642AB0" w:rsidRDefault="001372A7" w:rsidP="001372A7">
      <w:pPr>
        <w:rPr>
          <w:rFonts w:ascii="Arial" w:hAnsi="Arial" w:cs="Arial"/>
        </w:rPr>
      </w:pPr>
    </w:p>
    <w:p w:rsidR="004509D6" w:rsidRPr="00642AB0" w:rsidRDefault="002649DD" w:rsidP="004509D6">
      <w:pPr>
        <w:numPr>
          <w:ilvl w:val="0"/>
          <w:numId w:val="1"/>
        </w:numPr>
        <w:tabs>
          <w:tab w:val="left" w:pos="0"/>
        </w:tabs>
        <w:ind w:left="0" w:firstLine="0"/>
        <w:rPr>
          <w:rFonts w:ascii="Arial" w:hAnsi="Arial" w:cs="Arial"/>
        </w:rPr>
      </w:pPr>
      <w:smartTag w:uri="urn:schemas-microsoft-com:office:smarttags" w:element="stockticker">
        <w:r w:rsidRPr="00642AB0">
          <w:rPr>
            <w:rFonts w:ascii="Arial" w:hAnsi="Arial" w:cs="Arial"/>
          </w:rPr>
          <w:t>PNR</w:t>
        </w:r>
      </w:smartTag>
      <w:r w:rsidRPr="00642AB0">
        <w:rPr>
          <w:rFonts w:ascii="Arial" w:hAnsi="Arial" w:cs="Arial"/>
        </w:rPr>
        <w:t xml:space="preserve"> data is currently transferred between the EU and Canada. This Agreement replaces the provisional arrangements referred to in paragraph 2 of this </w:t>
      </w:r>
      <w:r w:rsidR="00B659AA" w:rsidRPr="00642AB0">
        <w:rPr>
          <w:rFonts w:ascii="Arial" w:hAnsi="Arial" w:cs="Arial"/>
        </w:rPr>
        <w:t>EM</w:t>
      </w:r>
      <w:r w:rsidRPr="00642AB0">
        <w:rPr>
          <w:rFonts w:ascii="Arial" w:hAnsi="Arial" w:cs="Arial"/>
        </w:rPr>
        <w:t>.  As it does not impose any additional obligations on carriers, it is unlikely significantly</w:t>
      </w:r>
      <w:r w:rsidR="00B659AA" w:rsidRPr="00642AB0">
        <w:rPr>
          <w:rFonts w:ascii="Arial" w:hAnsi="Arial" w:cs="Arial"/>
        </w:rPr>
        <w:t xml:space="preserve"> to</w:t>
      </w:r>
      <w:r w:rsidRPr="00642AB0">
        <w:rPr>
          <w:rFonts w:ascii="Arial" w:hAnsi="Arial" w:cs="Arial"/>
        </w:rPr>
        <w:t xml:space="preserve"> affect the existing costs </w:t>
      </w:r>
      <w:r w:rsidR="00B659AA" w:rsidRPr="00642AB0">
        <w:rPr>
          <w:rFonts w:ascii="Arial" w:hAnsi="Arial" w:cs="Arial"/>
        </w:rPr>
        <w:t>for</w:t>
      </w:r>
      <w:r w:rsidRPr="00642AB0">
        <w:rPr>
          <w:rFonts w:ascii="Arial" w:hAnsi="Arial" w:cs="Arial"/>
        </w:rPr>
        <w:t xml:space="preserve"> airline carriers. </w:t>
      </w:r>
    </w:p>
    <w:p w:rsidR="001372A7" w:rsidRPr="00642AB0" w:rsidRDefault="001372A7" w:rsidP="001372A7">
      <w:pPr>
        <w:rPr>
          <w:rFonts w:ascii="Arial" w:hAnsi="Arial" w:cs="Arial"/>
        </w:rPr>
      </w:pPr>
    </w:p>
    <w:p w:rsidR="001372A7" w:rsidRPr="00642AB0" w:rsidRDefault="002649DD" w:rsidP="001372A7">
      <w:pPr>
        <w:rPr>
          <w:rFonts w:ascii="Arial" w:hAnsi="Arial" w:cs="Arial"/>
          <w:b/>
          <w:u w:val="single"/>
        </w:rPr>
      </w:pPr>
      <w:r w:rsidRPr="00642AB0">
        <w:rPr>
          <w:rFonts w:ascii="Arial" w:hAnsi="Arial" w:cs="Arial"/>
          <w:b/>
          <w:u w:val="single"/>
        </w:rPr>
        <w:t>CONSULTATION</w:t>
      </w:r>
    </w:p>
    <w:p w:rsidR="008C51D7" w:rsidRPr="00642AB0" w:rsidRDefault="008C51D7" w:rsidP="00C51798">
      <w:pPr>
        <w:rPr>
          <w:rFonts w:ascii="Arial" w:hAnsi="Arial" w:cs="Arial"/>
          <w:b/>
          <w:u w:val="single"/>
        </w:rPr>
      </w:pPr>
    </w:p>
    <w:p w:rsidR="004509D6" w:rsidRPr="00642AB0" w:rsidRDefault="002649DD" w:rsidP="00C51798">
      <w:pPr>
        <w:numPr>
          <w:ilvl w:val="0"/>
          <w:numId w:val="1"/>
        </w:numPr>
        <w:tabs>
          <w:tab w:val="left" w:pos="0"/>
        </w:tabs>
        <w:ind w:left="0" w:firstLine="0"/>
        <w:rPr>
          <w:rFonts w:ascii="Arial" w:hAnsi="Arial" w:cs="Arial"/>
        </w:rPr>
      </w:pPr>
      <w:r w:rsidRPr="00642AB0">
        <w:rPr>
          <w:rFonts w:ascii="Arial" w:hAnsi="Arial" w:cs="Arial"/>
        </w:rPr>
        <w:t xml:space="preserve">The Home Office remains in close contact with other government departments, the airline industry, and other affected partners as part of our e-Borders engagement strategy and is unaware of any issues arising from the transfer of </w:t>
      </w:r>
      <w:smartTag w:uri="urn:schemas-microsoft-com:office:smarttags" w:element="stockticker">
        <w:r w:rsidRPr="00642AB0">
          <w:rPr>
            <w:rFonts w:ascii="Arial" w:hAnsi="Arial" w:cs="Arial"/>
          </w:rPr>
          <w:t>PNR</w:t>
        </w:r>
      </w:smartTag>
      <w:r w:rsidRPr="00642AB0">
        <w:rPr>
          <w:rFonts w:ascii="Arial" w:hAnsi="Arial" w:cs="Arial"/>
        </w:rPr>
        <w:t xml:space="preserve"> data to Canada under the Agreement which is provisionally in force. </w:t>
      </w:r>
    </w:p>
    <w:p w:rsidR="001372A7" w:rsidRPr="00642AB0" w:rsidRDefault="001372A7" w:rsidP="00C51798">
      <w:pPr>
        <w:tabs>
          <w:tab w:val="left" w:pos="0"/>
          <w:tab w:val="num" w:pos="360"/>
        </w:tabs>
        <w:rPr>
          <w:rFonts w:ascii="Arial" w:hAnsi="Arial" w:cs="Arial"/>
          <w:u w:val="single"/>
        </w:rPr>
      </w:pPr>
    </w:p>
    <w:p w:rsidR="001372A7" w:rsidRPr="00642AB0" w:rsidRDefault="002649DD" w:rsidP="00C51798">
      <w:pPr>
        <w:tabs>
          <w:tab w:val="left" w:pos="0"/>
          <w:tab w:val="num" w:pos="360"/>
        </w:tabs>
        <w:rPr>
          <w:rFonts w:ascii="Arial" w:hAnsi="Arial" w:cs="Arial"/>
          <w:b/>
          <w:u w:val="single"/>
        </w:rPr>
      </w:pPr>
      <w:r w:rsidRPr="00642AB0">
        <w:rPr>
          <w:rFonts w:ascii="Arial" w:hAnsi="Arial" w:cs="Arial"/>
          <w:b/>
          <w:u w:val="single"/>
        </w:rPr>
        <w:t>TIMETABLE</w:t>
      </w:r>
    </w:p>
    <w:p w:rsidR="00244D23" w:rsidRPr="00642AB0" w:rsidRDefault="00244D23" w:rsidP="00C51798">
      <w:pPr>
        <w:tabs>
          <w:tab w:val="left" w:pos="0"/>
          <w:tab w:val="num" w:pos="360"/>
        </w:tabs>
        <w:rPr>
          <w:rFonts w:ascii="Arial" w:hAnsi="Arial" w:cs="Arial"/>
        </w:rPr>
      </w:pPr>
    </w:p>
    <w:p w:rsidR="007A2EF0" w:rsidRPr="00642AB0" w:rsidRDefault="002649DD">
      <w:pPr>
        <w:pStyle w:val="ListParagraph"/>
        <w:numPr>
          <w:ilvl w:val="0"/>
          <w:numId w:val="1"/>
        </w:numPr>
        <w:tabs>
          <w:tab w:val="left" w:pos="0"/>
        </w:tabs>
        <w:ind w:left="0" w:firstLine="0"/>
        <w:rPr>
          <w:rFonts w:ascii="Arial" w:hAnsi="Arial" w:cs="Arial"/>
          <w:color w:val="00B050"/>
          <w:sz w:val="24"/>
          <w:szCs w:val="24"/>
        </w:rPr>
      </w:pPr>
      <w:r w:rsidRPr="00642AB0">
        <w:rPr>
          <w:rFonts w:ascii="Arial" w:hAnsi="Arial" w:cs="Arial"/>
          <w:sz w:val="24"/>
          <w:szCs w:val="24"/>
        </w:rPr>
        <w:t xml:space="preserve">The Lithuanian Presidency will work towards signing this </w:t>
      </w:r>
      <w:r w:rsidR="00B659AA" w:rsidRPr="00642AB0">
        <w:rPr>
          <w:rFonts w:ascii="Arial" w:hAnsi="Arial" w:cs="Arial"/>
          <w:sz w:val="24"/>
          <w:szCs w:val="24"/>
        </w:rPr>
        <w:t>A</w:t>
      </w:r>
      <w:r w:rsidRPr="00642AB0">
        <w:rPr>
          <w:rFonts w:ascii="Arial" w:hAnsi="Arial" w:cs="Arial"/>
          <w:sz w:val="24"/>
          <w:szCs w:val="24"/>
        </w:rPr>
        <w:t>greement within its Presidency, which concludes in December 2013.</w:t>
      </w:r>
    </w:p>
    <w:p w:rsidR="007A2EF0" w:rsidRPr="00642AB0" w:rsidRDefault="007A2EF0">
      <w:pPr>
        <w:tabs>
          <w:tab w:val="left" w:pos="0"/>
        </w:tabs>
        <w:rPr>
          <w:rFonts w:ascii="Arial" w:hAnsi="Arial" w:cs="Arial"/>
          <w:color w:val="00B050"/>
        </w:rPr>
      </w:pPr>
    </w:p>
    <w:p w:rsidR="007A2EF0" w:rsidRPr="00642AB0" w:rsidRDefault="007A2EF0">
      <w:pPr>
        <w:tabs>
          <w:tab w:val="left" w:pos="0"/>
        </w:tabs>
        <w:rPr>
          <w:rFonts w:ascii="Arial" w:hAnsi="Arial" w:cs="Arial"/>
          <w:color w:val="00B050"/>
        </w:rPr>
      </w:pPr>
    </w:p>
    <w:p w:rsidR="007A2EF0" w:rsidRPr="00642AB0" w:rsidRDefault="007A2EF0">
      <w:pPr>
        <w:tabs>
          <w:tab w:val="left" w:pos="0"/>
        </w:tabs>
        <w:rPr>
          <w:rFonts w:ascii="Arial" w:hAnsi="Arial" w:cs="Arial"/>
          <w:color w:val="00B050"/>
        </w:rPr>
      </w:pPr>
    </w:p>
    <w:p w:rsidR="007A2EF0" w:rsidRPr="00642AB0" w:rsidRDefault="007A2EF0">
      <w:pPr>
        <w:tabs>
          <w:tab w:val="left" w:pos="0"/>
        </w:tabs>
        <w:rPr>
          <w:rFonts w:ascii="Arial" w:hAnsi="Arial" w:cs="Arial"/>
          <w:color w:val="00B050"/>
        </w:rPr>
      </w:pPr>
    </w:p>
    <w:p w:rsidR="007A2EF0" w:rsidRPr="00642AB0" w:rsidRDefault="007A2EF0">
      <w:pPr>
        <w:tabs>
          <w:tab w:val="left" w:pos="0"/>
        </w:tabs>
        <w:rPr>
          <w:rFonts w:ascii="Arial" w:hAnsi="Arial" w:cs="Arial"/>
          <w:color w:val="00B050"/>
        </w:rPr>
      </w:pPr>
    </w:p>
    <w:p w:rsidR="007A2EF0" w:rsidRPr="00642AB0" w:rsidRDefault="007A2EF0">
      <w:pPr>
        <w:tabs>
          <w:tab w:val="left" w:pos="0"/>
        </w:tabs>
        <w:rPr>
          <w:rFonts w:ascii="Arial" w:hAnsi="Arial" w:cs="Arial"/>
          <w:color w:val="00B050"/>
        </w:rPr>
      </w:pPr>
    </w:p>
    <w:p w:rsidR="007A2EF0" w:rsidRPr="00DF10BB" w:rsidRDefault="00DF10BB">
      <w:pPr>
        <w:tabs>
          <w:tab w:val="left" w:pos="0"/>
        </w:tabs>
        <w:jc w:val="center"/>
        <w:rPr>
          <w:rFonts w:ascii="Arial" w:hAnsi="Arial" w:cs="Arial"/>
          <w:b/>
        </w:rPr>
      </w:pPr>
      <w:r w:rsidRPr="00DF10BB">
        <w:rPr>
          <w:rFonts w:ascii="Arial" w:hAnsi="Arial" w:cs="Arial"/>
          <w:b/>
        </w:rPr>
        <w:t>Mark Harper</w:t>
      </w:r>
    </w:p>
    <w:sectPr w:rsidR="007A2EF0" w:rsidRPr="00DF10BB" w:rsidSect="00D728B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6D4D" w:rsidRDefault="00EE6D4D" w:rsidP="003D3DF3">
      <w:r>
        <w:separator/>
      </w:r>
    </w:p>
  </w:endnote>
  <w:endnote w:type="continuationSeparator" w:id="0">
    <w:p w:rsidR="00EE6D4D" w:rsidRDefault="00EE6D4D" w:rsidP="003D3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577988"/>
      <w:docPartObj>
        <w:docPartGallery w:val="Page Numbers (Bottom of Page)"/>
        <w:docPartUnique/>
      </w:docPartObj>
    </w:sdtPr>
    <w:sdtEndPr/>
    <w:sdtContent>
      <w:p w:rsidR="00EE6D4D" w:rsidRDefault="00E52CA4">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EE6D4D" w:rsidRDefault="00EE6D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6D4D" w:rsidRDefault="00EE6D4D" w:rsidP="003D3DF3">
      <w:r>
        <w:separator/>
      </w:r>
    </w:p>
  </w:footnote>
  <w:footnote w:type="continuationSeparator" w:id="0">
    <w:p w:rsidR="00EE6D4D" w:rsidRDefault="00EE6D4D" w:rsidP="003D3D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F7D8B"/>
    <w:multiLevelType w:val="hybridMultilevel"/>
    <w:tmpl w:val="45043A0A"/>
    <w:lvl w:ilvl="0" w:tplc="0809000F">
      <w:start w:val="1"/>
      <w:numFmt w:val="decimal"/>
      <w:lvlText w:val="%1."/>
      <w:lvlJc w:val="left"/>
      <w:pPr>
        <w:tabs>
          <w:tab w:val="num" w:pos="360"/>
        </w:tabs>
        <w:ind w:left="360" w:hanging="360"/>
      </w:pPr>
    </w:lvl>
    <w:lvl w:ilvl="1" w:tplc="3060207C">
      <w:start w:val="1"/>
      <w:numFmt w:val="lowerRoman"/>
      <w:lvlText w:val="%2)"/>
      <w:lvlJc w:val="left"/>
      <w:pPr>
        <w:tabs>
          <w:tab w:val="num" w:pos="1800"/>
        </w:tabs>
        <w:ind w:left="1800" w:hanging="720"/>
      </w:pPr>
      <w:rPr>
        <w:rFonts w:hint="default"/>
        <w:u w:val="none"/>
      </w:rPr>
    </w:lvl>
    <w:lvl w:ilvl="2" w:tplc="0C2EB234">
      <w:start w:val="1"/>
      <w:numFmt w:val="lowerLetter"/>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03406125"/>
    <w:multiLevelType w:val="hybridMultilevel"/>
    <w:tmpl w:val="EA0A1596"/>
    <w:lvl w:ilvl="0" w:tplc="93F6CFDC">
      <w:start w:val="1"/>
      <w:numFmt w:val="decimal"/>
      <w:lvlText w:val="%1."/>
      <w:lvlJc w:val="left"/>
      <w:pPr>
        <w:ind w:left="786"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BE03B8E"/>
    <w:multiLevelType w:val="hybridMultilevel"/>
    <w:tmpl w:val="C11CC13C"/>
    <w:lvl w:ilvl="0" w:tplc="D5D6F444">
      <w:start w:val="1"/>
      <w:numFmt w:val="decimal"/>
      <w:lvlText w:val="%1."/>
      <w:lvlJc w:val="left"/>
      <w:pPr>
        <w:ind w:left="644" w:hanging="360"/>
      </w:pPr>
      <w:rPr>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45F298D"/>
    <w:multiLevelType w:val="hybridMultilevel"/>
    <w:tmpl w:val="45043A0A"/>
    <w:lvl w:ilvl="0" w:tplc="0809000F">
      <w:start w:val="1"/>
      <w:numFmt w:val="decimal"/>
      <w:lvlText w:val="%1."/>
      <w:lvlJc w:val="left"/>
      <w:pPr>
        <w:tabs>
          <w:tab w:val="num" w:pos="360"/>
        </w:tabs>
        <w:ind w:left="360" w:hanging="360"/>
      </w:pPr>
    </w:lvl>
    <w:lvl w:ilvl="1" w:tplc="3060207C">
      <w:start w:val="1"/>
      <w:numFmt w:val="lowerRoman"/>
      <w:lvlText w:val="%2)"/>
      <w:lvlJc w:val="left"/>
      <w:pPr>
        <w:tabs>
          <w:tab w:val="num" w:pos="1800"/>
        </w:tabs>
        <w:ind w:left="1800" w:hanging="720"/>
      </w:pPr>
      <w:rPr>
        <w:rFonts w:hint="default"/>
        <w:u w:val="none"/>
      </w:rPr>
    </w:lvl>
    <w:lvl w:ilvl="2" w:tplc="0C2EB234">
      <w:start w:val="1"/>
      <w:numFmt w:val="lowerLetter"/>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nsid w:val="1B0075ED"/>
    <w:multiLevelType w:val="hybridMultilevel"/>
    <w:tmpl w:val="F5F4393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3BF02B4D"/>
    <w:multiLevelType w:val="hybridMultilevel"/>
    <w:tmpl w:val="C832E49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3DEC3AD4"/>
    <w:multiLevelType w:val="singleLevel"/>
    <w:tmpl w:val="738EA7D2"/>
    <w:lvl w:ilvl="0">
      <w:start w:val="1"/>
      <w:numFmt w:val="lowerRoman"/>
      <w:lvlText w:val="%1."/>
      <w:lvlJc w:val="left"/>
      <w:pPr>
        <w:tabs>
          <w:tab w:val="num" w:pos="1440"/>
        </w:tabs>
        <w:ind w:left="1440" w:hanging="720"/>
      </w:pPr>
      <w:rPr>
        <w:color w:val="auto"/>
      </w:rPr>
    </w:lvl>
  </w:abstractNum>
  <w:abstractNum w:abstractNumId="7">
    <w:nsid w:val="4DFB6DAA"/>
    <w:multiLevelType w:val="hybridMultilevel"/>
    <w:tmpl w:val="78DC003A"/>
    <w:lvl w:ilvl="0" w:tplc="1D90649C">
      <w:start w:val="1"/>
      <w:numFmt w:val="decimal"/>
      <w:lvlText w:val="%1."/>
      <w:lvlJc w:val="left"/>
      <w:pPr>
        <w:tabs>
          <w:tab w:val="num" w:pos="360"/>
        </w:tabs>
        <w:ind w:left="360" w:hanging="360"/>
      </w:pPr>
      <w:rPr>
        <w:color w:val="auto"/>
      </w:rPr>
    </w:lvl>
    <w:lvl w:ilvl="1" w:tplc="3060207C">
      <w:start w:val="1"/>
      <w:numFmt w:val="lowerRoman"/>
      <w:lvlText w:val="%2)"/>
      <w:lvlJc w:val="left"/>
      <w:pPr>
        <w:tabs>
          <w:tab w:val="num" w:pos="1800"/>
        </w:tabs>
        <w:ind w:left="1800" w:hanging="720"/>
      </w:pPr>
      <w:rPr>
        <w:rFonts w:hint="default"/>
        <w:u w:val="none"/>
      </w:rPr>
    </w:lvl>
    <w:lvl w:ilvl="2" w:tplc="0C2EB234">
      <w:start w:val="1"/>
      <w:numFmt w:val="lowerLetter"/>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nsid w:val="57367B2A"/>
    <w:multiLevelType w:val="hybridMultilevel"/>
    <w:tmpl w:val="45043A0A"/>
    <w:lvl w:ilvl="0" w:tplc="0809000F">
      <w:start w:val="1"/>
      <w:numFmt w:val="decimal"/>
      <w:lvlText w:val="%1."/>
      <w:lvlJc w:val="left"/>
      <w:pPr>
        <w:tabs>
          <w:tab w:val="num" w:pos="360"/>
        </w:tabs>
        <w:ind w:left="360" w:hanging="360"/>
      </w:pPr>
    </w:lvl>
    <w:lvl w:ilvl="1" w:tplc="3060207C">
      <w:start w:val="1"/>
      <w:numFmt w:val="lowerRoman"/>
      <w:lvlText w:val="%2)"/>
      <w:lvlJc w:val="left"/>
      <w:pPr>
        <w:tabs>
          <w:tab w:val="num" w:pos="1800"/>
        </w:tabs>
        <w:ind w:left="1800" w:hanging="720"/>
      </w:pPr>
      <w:rPr>
        <w:rFonts w:hint="default"/>
        <w:u w:val="none"/>
      </w:rPr>
    </w:lvl>
    <w:lvl w:ilvl="2" w:tplc="0C2EB234">
      <w:start w:val="1"/>
      <w:numFmt w:val="lowerLetter"/>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nsid w:val="599B654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7"/>
  </w:num>
  <w:num w:numId="2">
    <w:abstractNumId w:val="4"/>
  </w:num>
  <w:num w:numId="3">
    <w:abstractNumId w:val="9"/>
  </w:num>
  <w:num w:numId="4">
    <w:abstractNumId w:val="6"/>
    <w:lvlOverride w:ilvl="0">
      <w:startOverride w:val="1"/>
    </w:lvlOverride>
  </w:num>
  <w:num w:numId="5">
    <w:abstractNumId w:val="2"/>
  </w:num>
  <w:num w:numId="6">
    <w:abstractNumId w:val="1"/>
  </w:num>
  <w:num w:numId="7">
    <w:abstractNumId w:val="0"/>
  </w:num>
  <w:num w:numId="8">
    <w:abstractNumId w:val="5"/>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2B9"/>
    <w:rsid w:val="00002EE2"/>
    <w:rsid w:val="00007255"/>
    <w:rsid w:val="00012D93"/>
    <w:rsid w:val="00013008"/>
    <w:rsid w:val="0002057E"/>
    <w:rsid w:val="0002145A"/>
    <w:rsid w:val="00025596"/>
    <w:rsid w:val="000403EA"/>
    <w:rsid w:val="000414DE"/>
    <w:rsid w:val="00045481"/>
    <w:rsid w:val="00047449"/>
    <w:rsid w:val="00052934"/>
    <w:rsid w:val="00055DC5"/>
    <w:rsid w:val="000604CE"/>
    <w:rsid w:val="00073345"/>
    <w:rsid w:val="00080F7E"/>
    <w:rsid w:val="00083EA8"/>
    <w:rsid w:val="00084297"/>
    <w:rsid w:val="000845C1"/>
    <w:rsid w:val="00084B28"/>
    <w:rsid w:val="00087FD4"/>
    <w:rsid w:val="00092DD3"/>
    <w:rsid w:val="00096E30"/>
    <w:rsid w:val="000A0B1E"/>
    <w:rsid w:val="000A3DB4"/>
    <w:rsid w:val="000B2575"/>
    <w:rsid w:val="000C51A6"/>
    <w:rsid w:val="000D6AFF"/>
    <w:rsid w:val="000F2DF7"/>
    <w:rsid w:val="001076F6"/>
    <w:rsid w:val="0011115F"/>
    <w:rsid w:val="001131C1"/>
    <w:rsid w:val="00117F81"/>
    <w:rsid w:val="00117F90"/>
    <w:rsid w:val="00120D70"/>
    <w:rsid w:val="0012606A"/>
    <w:rsid w:val="00126168"/>
    <w:rsid w:val="001275FF"/>
    <w:rsid w:val="0013028B"/>
    <w:rsid w:val="00130DC0"/>
    <w:rsid w:val="001372A7"/>
    <w:rsid w:val="0014337A"/>
    <w:rsid w:val="00152962"/>
    <w:rsid w:val="001616F4"/>
    <w:rsid w:val="00163770"/>
    <w:rsid w:val="00165037"/>
    <w:rsid w:val="00182080"/>
    <w:rsid w:val="00183ADA"/>
    <w:rsid w:val="00192025"/>
    <w:rsid w:val="001A1A4A"/>
    <w:rsid w:val="001A32D3"/>
    <w:rsid w:val="001B2F38"/>
    <w:rsid w:val="001B428B"/>
    <w:rsid w:val="001C3787"/>
    <w:rsid w:val="001D5094"/>
    <w:rsid w:val="001D6113"/>
    <w:rsid w:val="001D6BAC"/>
    <w:rsid w:val="001E2F4D"/>
    <w:rsid w:val="001E3076"/>
    <w:rsid w:val="001E4338"/>
    <w:rsid w:val="001E57C4"/>
    <w:rsid w:val="001F13E7"/>
    <w:rsid w:val="001F35F4"/>
    <w:rsid w:val="00201747"/>
    <w:rsid w:val="00202870"/>
    <w:rsid w:val="002065A6"/>
    <w:rsid w:val="00212118"/>
    <w:rsid w:val="00212CA8"/>
    <w:rsid w:val="00214C57"/>
    <w:rsid w:val="00215925"/>
    <w:rsid w:val="0022159E"/>
    <w:rsid w:val="002238C9"/>
    <w:rsid w:val="002239DE"/>
    <w:rsid w:val="00224DD0"/>
    <w:rsid w:val="00232108"/>
    <w:rsid w:val="00242A8B"/>
    <w:rsid w:val="00244D23"/>
    <w:rsid w:val="0024664C"/>
    <w:rsid w:val="00252013"/>
    <w:rsid w:val="00260A97"/>
    <w:rsid w:val="0026332B"/>
    <w:rsid w:val="002649DD"/>
    <w:rsid w:val="0027120C"/>
    <w:rsid w:val="0027767D"/>
    <w:rsid w:val="00280251"/>
    <w:rsid w:val="00290A53"/>
    <w:rsid w:val="00291380"/>
    <w:rsid w:val="002A5A88"/>
    <w:rsid w:val="002B3BC1"/>
    <w:rsid w:val="002B4AF0"/>
    <w:rsid w:val="002C7C81"/>
    <w:rsid w:val="002D0588"/>
    <w:rsid w:val="002D3654"/>
    <w:rsid w:val="002D4A5A"/>
    <w:rsid w:val="002E55BA"/>
    <w:rsid w:val="002F23B9"/>
    <w:rsid w:val="002F3890"/>
    <w:rsid w:val="00302DD4"/>
    <w:rsid w:val="0031055B"/>
    <w:rsid w:val="00314621"/>
    <w:rsid w:val="003347B1"/>
    <w:rsid w:val="00335091"/>
    <w:rsid w:val="003502A9"/>
    <w:rsid w:val="003502FD"/>
    <w:rsid w:val="0035155F"/>
    <w:rsid w:val="0035616C"/>
    <w:rsid w:val="003609E7"/>
    <w:rsid w:val="00364F12"/>
    <w:rsid w:val="00367165"/>
    <w:rsid w:val="00373EEE"/>
    <w:rsid w:val="003742D8"/>
    <w:rsid w:val="00385966"/>
    <w:rsid w:val="003A0C57"/>
    <w:rsid w:val="003A7DD0"/>
    <w:rsid w:val="003B08A5"/>
    <w:rsid w:val="003B59EE"/>
    <w:rsid w:val="003B5E9B"/>
    <w:rsid w:val="003C7506"/>
    <w:rsid w:val="003D3DF3"/>
    <w:rsid w:val="003D6620"/>
    <w:rsid w:val="003E106A"/>
    <w:rsid w:val="003E6E72"/>
    <w:rsid w:val="003F6E44"/>
    <w:rsid w:val="003F7957"/>
    <w:rsid w:val="00404539"/>
    <w:rsid w:val="00410852"/>
    <w:rsid w:val="004132B9"/>
    <w:rsid w:val="004420F5"/>
    <w:rsid w:val="00445CF5"/>
    <w:rsid w:val="0045006C"/>
    <w:rsid w:val="004509D6"/>
    <w:rsid w:val="0045202A"/>
    <w:rsid w:val="004539D0"/>
    <w:rsid w:val="0045472E"/>
    <w:rsid w:val="00457C14"/>
    <w:rsid w:val="004603C4"/>
    <w:rsid w:val="004753AD"/>
    <w:rsid w:val="00477ADF"/>
    <w:rsid w:val="0049111A"/>
    <w:rsid w:val="00491379"/>
    <w:rsid w:val="00494DD8"/>
    <w:rsid w:val="004A642D"/>
    <w:rsid w:val="004B1BB6"/>
    <w:rsid w:val="004B7F3C"/>
    <w:rsid w:val="004D6D6D"/>
    <w:rsid w:val="004E2FA9"/>
    <w:rsid w:val="004E478C"/>
    <w:rsid w:val="004F38E8"/>
    <w:rsid w:val="00504DF1"/>
    <w:rsid w:val="00505B46"/>
    <w:rsid w:val="0051304D"/>
    <w:rsid w:val="00515BE5"/>
    <w:rsid w:val="0053682C"/>
    <w:rsid w:val="00541A1E"/>
    <w:rsid w:val="0054546E"/>
    <w:rsid w:val="005533FE"/>
    <w:rsid w:val="0056376B"/>
    <w:rsid w:val="00565E77"/>
    <w:rsid w:val="00573911"/>
    <w:rsid w:val="00575A50"/>
    <w:rsid w:val="005801E3"/>
    <w:rsid w:val="005933A8"/>
    <w:rsid w:val="00594528"/>
    <w:rsid w:val="00595BA8"/>
    <w:rsid w:val="005A0F7C"/>
    <w:rsid w:val="005B4C84"/>
    <w:rsid w:val="005B58F6"/>
    <w:rsid w:val="005E1B7C"/>
    <w:rsid w:val="005E510A"/>
    <w:rsid w:val="005E7EE7"/>
    <w:rsid w:val="005F2F59"/>
    <w:rsid w:val="00604FD7"/>
    <w:rsid w:val="006170BB"/>
    <w:rsid w:val="006236A2"/>
    <w:rsid w:val="006252BE"/>
    <w:rsid w:val="00630012"/>
    <w:rsid w:val="00642AB0"/>
    <w:rsid w:val="00645C4C"/>
    <w:rsid w:val="006466BB"/>
    <w:rsid w:val="00651C40"/>
    <w:rsid w:val="0065433D"/>
    <w:rsid w:val="006632A8"/>
    <w:rsid w:val="006674A3"/>
    <w:rsid w:val="006678DE"/>
    <w:rsid w:val="00683427"/>
    <w:rsid w:val="00684C76"/>
    <w:rsid w:val="00686CBD"/>
    <w:rsid w:val="00693372"/>
    <w:rsid w:val="006A3492"/>
    <w:rsid w:val="006C091A"/>
    <w:rsid w:val="006C25F9"/>
    <w:rsid w:val="006C5E58"/>
    <w:rsid w:val="006D1378"/>
    <w:rsid w:val="006D3C04"/>
    <w:rsid w:val="006E49E0"/>
    <w:rsid w:val="006E54B3"/>
    <w:rsid w:val="006F2703"/>
    <w:rsid w:val="006F38DB"/>
    <w:rsid w:val="006F6360"/>
    <w:rsid w:val="00706E71"/>
    <w:rsid w:val="00721613"/>
    <w:rsid w:val="00731159"/>
    <w:rsid w:val="00733A26"/>
    <w:rsid w:val="007350D5"/>
    <w:rsid w:val="00746888"/>
    <w:rsid w:val="00762C2E"/>
    <w:rsid w:val="00765818"/>
    <w:rsid w:val="007676D7"/>
    <w:rsid w:val="00774401"/>
    <w:rsid w:val="00774BB5"/>
    <w:rsid w:val="00774E15"/>
    <w:rsid w:val="0077584B"/>
    <w:rsid w:val="00775D0B"/>
    <w:rsid w:val="0078020F"/>
    <w:rsid w:val="0079465A"/>
    <w:rsid w:val="007A2EF0"/>
    <w:rsid w:val="007A3C7A"/>
    <w:rsid w:val="007C180B"/>
    <w:rsid w:val="007D4BB8"/>
    <w:rsid w:val="007D5C46"/>
    <w:rsid w:val="007D7694"/>
    <w:rsid w:val="007E79C8"/>
    <w:rsid w:val="007F2F98"/>
    <w:rsid w:val="007F479B"/>
    <w:rsid w:val="008026F7"/>
    <w:rsid w:val="008063C0"/>
    <w:rsid w:val="00813F1B"/>
    <w:rsid w:val="0083299C"/>
    <w:rsid w:val="00832A0C"/>
    <w:rsid w:val="008356F8"/>
    <w:rsid w:val="0083747F"/>
    <w:rsid w:val="008425B6"/>
    <w:rsid w:val="00851533"/>
    <w:rsid w:val="00853738"/>
    <w:rsid w:val="00862A11"/>
    <w:rsid w:val="00863EF6"/>
    <w:rsid w:val="00892AAD"/>
    <w:rsid w:val="00893056"/>
    <w:rsid w:val="008A0512"/>
    <w:rsid w:val="008A1916"/>
    <w:rsid w:val="008A40D2"/>
    <w:rsid w:val="008C51D7"/>
    <w:rsid w:val="008D2D7E"/>
    <w:rsid w:val="008D5486"/>
    <w:rsid w:val="008E402E"/>
    <w:rsid w:val="008E5C23"/>
    <w:rsid w:val="008F0BC4"/>
    <w:rsid w:val="008F3A41"/>
    <w:rsid w:val="00906456"/>
    <w:rsid w:val="00917F21"/>
    <w:rsid w:val="00921DF5"/>
    <w:rsid w:val="00932765"/>
    <w:rsid w:val="00933E9F"/>
    <w:rsid w:val="00935FA4"/>
    <w:rsid w:val="0093731B"/>
    <w:rsid w:val="009553BE"/>
    <w:rsid w:val="00957F59"/>
    <w:rsid w:val="009625E1"/>
    <w:rsid w:val="0096607F"/>
    <w:rsid w:val="0097477A"/>
    <w:rsid w:val="00974953"/>
    <w:rsid w:val="00976068"/>
    <w:rsid w:val="009A1467"/>
    <w:rsid w:val="009A179B"/>
    <w:rsid w:val="009A6936"/>
    <w:rsid w:val="009A6D00"/>
    <w:rsid w:val="009B0DF7"/>
    <w:rsid w:val="009B1D6E"/>
    <w:rsid w:val="009B359C"/>
    <w:rsid w:val="009B39FB"/>
    <w:rsid w:val="009B59D9"/>
    <w:rsid w:val="009C1F4D"/>
    <w:rsid w:val="009C7A6F"/>
    <w:rsid w:val="009D0762"/>
    <w:rsid w:val="009D4728"/>
    <w:rsid w:val="009D7FF1"/>
    <w:rsid w:val="009E42D8"/>
    <w:rsid w:val="009F4B66"/>
    <w:rsid w:val="00A01F75"/>
    <w:rsid w:val="00A11387"/>
    <w:rsid w:val="00A137BC"/>
    <w:rsid w:val="00A172F8"/>
    <w:rsid w:val="00A23986"/>
    <w:rsid w:val="00A2523E"/>
    <w:rsid w:val="00A34D67"/>
    <w:rsid w:val="00A369CB"/>
    <w:rsid w:val="00A36C64"/>
    <w:rsid w:val="00A4765E"/>
    <w:rsid w:val="00A602F2"/>
    <w:rsid w:val="00A6167D"/>
    <w:rsid w:val="00A65E08"/>
    <w:rsid w:val="00A74426"/>
    <w:rsid w:val="00A74850"/>
    <w:rsid w:val="00A75BEC"/>
    <w:rsid w:val="00AB1218"/>
    <w:rsid w:val="00AB1E65"/>
    <w:rsid w:val="00AB429E"/>
    <w:rsid w:val="00AB513B"/>
    <w:rsid w:val="00AB6B40"/>
    <w:rsid w:val="00AC28EA"/>
    <w:rsid w:val="00AE18FF"/>
    <w:rsid w:val="00AE4604"/>
    <w:rsid w:val="00AE5187"/>
    <w:rsid w:val="00AF2A14"/>
    <w:rsid w:val="00AF3E4F"/>
    <w:rsid w:val="00AF4175"/>
    <w:rsid w:val="00AF5F7A"/>
    <w:rsid w:val="00B04F1E"/>
    <w:rsid w:val="00B06BBA"/>
    <w:rsid w:val="00B23E53"/>
    <w:rsid w:val="00B24DBD"/>
    <w:rsid w:val="00B27E8F"/>
    <w:rsid w:val="00B41A9F"/>
    <w:rsid w:val="00B45153"/>
    <w:rsid w:val="00B45DFE"/>
    <w:rsid w:val="00B60E34"/>
    <w:rsid w:val="00B659AA"/>
    <w:rsid w:val="00B70CDC"/>
    <w:rsid w:val="00B7503F"/>
    <w:rsid w:val="00B8644C"/>
    <w:rsid w:val="00B9062A"/>
    <w:rsid w:val="00B92874"/>
    <w:rsid w:val="00B93E1A"/>
    <w:rsid w:val="00B978A5"/>
    <w:rsid w:val="00B978DA"/>
    <w:rsid w:val="00BA05EF"/>
    <w:rsid w:val="00BC113F"/>
    <w:rsid w:val="00BD14A4"/>
    <w:rsid w:val="00BF7D74"/>
    <w:rsid w:val="00C015F2"/>
    <w:rsid w:val="00C15E3D"/>
    <w:rsid w:val="00C15EBE"/>
    <w:rsid w:val="00C17A95"/>
    <w:rsid w:val="00C21786"/>
    <w:rsid w:val="00C3160B"/>
    <w:rsid w:val="00C32BB0"/>
    <w:rsid w:val="00C45683"/>
    <w:rsid w:val="00C46016"/>
    <w:rsid w:val="00C51798"/>
    <w:rsid w:val="00C57144"/>
    <w:rsid w:val="00C63AF9"/>
    <w:rsid w:val="00C6501D"/>
    <w:rsid w:val="00C66A07"/>
    <w:rsid w:val="00C7071F"/>
    <w:rsid w:val="00C70B57"/>
    <w:rsid w:val="00C822AB"/>
    <w:rsid w:val="00C82BE2"/>
    <w:rsid w:val="00C913A4"/>
    <w:rsid w:val="00C930E0"/>
    <w:rsid w:val="00C94196"/>
    <w:rsid w:val="00C96557"/>
    <w:rsid w:val="00CA7F56"/>
    <w:rsid w:val="00CB2D6E"/>
    <w:rsid w:val="00CC4D6A"/>
    <w:rsid w:val="00CD064A"/>
    <w:rsid w:val="00CD20C1"/>
    <w:rsid w:val="00CE1B39"/>
    <w:rsid w:val="00CE1C8E"/>
    <w:rsid w:val="00CF34B5"/>
    <w:rsid w:val="00D01F79"/>
    <w:rsid w:val="00D06013"/>
    <w:rsid w:val="00D118DE"/>
    <w:rsid w:val="00D249E9"/>
    <w:rsid w:val="00D27446"/>
    <w:rsid w:val="00D31E20"/>
    <w:rsid w:val="00D31EF8"/>
    <w:rsid w:val="00D325DB"/>
    <w:rsid w:val="00D3703B"/>
    <w:rsid w:val="00D37A15"/>
    <w:rsid w:val="00D418C9"/>
    <w:rsid w:val="00D4431C"/>
    <w:rsid w:val="00D57368"/>
    <w:rsid w:val="00D728BE"/>
    <w:rsid w:val="00D75C9E"/>
    <w:rsid w:val="00D76105"/>
    <w:rsid w:val="00D80174"/>
    <w:rsid w:val="00D80714"/>
    <w:rsid w:val="00D91404"/>
    <w:rsid w:val="00DA1DA4"/>
    <w:rsid w:val="00DA74A3"/>
    <w:rsid w:val="00DC1507"/>
    <w:rsid w:val="00DD35D4"/>
    <w:rsid w:val="00DE14CD"/>
    <w:rsid w:val="00DE6A76"/>
    <w:rsid w:val="00DF10BB"/>
    <w:rsid w:val="00DF164F"/>
    <w:rsid w:val="00DF2CB2"/>
    <w:rsid w:val="00DF7806"/>
    <w:rsid w:val="00E03696"/>
    <w:rsid w:val="00E157DA"/>
    <w:rsid w:val="00E165D6"/>
    <w:rsid w:val="00E20A3D"/>
    <w:rsid w:val="00E24924"/>
    <w:rsid w:val="00E3098D"/>
    <w:rsid w:val="00E318F1"/>
    <w:rsid w:val="00E34DC4"/>
    <w:rsid w:val="00E3533B"/>
    <w:rsid w:val="00E405E2"/>
    <w:rsid w:val="00E425E9"/>
    <w:rsid w:val="00E467E0"/>
    <w:rsid w:val="00E51A73"/>
    <w:rsid w:val="00E525FF"/>
    <w:rsid w:val="00E52CA4"/>
    <w:rsid w:val="00E57082"/>
    <w:rsid w:val="00E63112"/>
    <w:rsid w:val="00E63298"/>
    <w:rsid w:val="00E716E5"/>
    <w:rsid w:val="00E775FB"/>
    <w:rsid w:val="00E82721"/>
    <w:rsid w:val="00E83636"/>
    <w:rsid w:val="00E83D31"/>
    <w:rsid w:val="00E86AD9"/>
    <w:rsid w:val="00E93EA5"/>
    <w:rsid w:val="00EA2394"/>
    <w:rsid w:val="00EA2449"/>
    <w:rsid w:val="00EA2B77"/>
    <w:rsid w:val="00EA6F42"/>
    <w:rsid w:val="00EA7233"/>
    <w:rsid w:val="00ED33CA"/>
    <w:rsid w:val="00ED54F7"/>
    <w:rsid w:val="00EE559B"/>
    <w:rsid w:val="00EE6D4D"/>
    <w:rsid w:val="00EE7565"/>
    <w:rsid w:val="00EE7590"/>
    <w:rsid w:val="00EF3FA2"/>
    <w:rsid w:val="00F01FFB"/>
    <w:rsid w:val="00F12968"/>
    <w:rsid w:val="00F13818"/>
    <w:rsid w:val="00F13F74"/>
    <w:rsid w:val="00F159F1"/>
    <w:rsid w:val="00F163E4"/>
    <w:rsid w:val="00F16E1B"/>
    <w:rsid w:val="00F17C58"/>
    <w:rsid w:val="00F21224"/>
    <w:rsid w:val="00F22045"/>
    <w:rsid w:val="00F2473F"/>
    <w:rsid w:val="00F2674B"/>
    <w:rsid w:val="00F31C8F"/>
    <w:rsid w:val="00F33FFF"/>
    <w:rsid w:val="00F3428F"/>
    <w:rsid w:val="00F34A43"/>
    <w:rsid w:val="00F41F4A"/>
    <w:rsid w:val="00F43AD3"/>
    <w:rsid w:val="00F47F54"/>
    <w:rsid w:val="00F6461C"/>
    <w:rsid w:val="00F70BE7"/>
    <w:rsid w:val="00F717DC"/>
    <w:rsid w:val="00F72375"/>
    <w:rsid w:val="00F763DB"/>
    <w:rsid w:val="00F76BA4"/>
    <w:rsid w:val="00F80961"/>
    <w:rsid w:val="00F80DE3"/>
    <w:rsid w:val="00F81D16"/>
    <w:rsid w:val="00F826EA"/>
    <w:rsid w:val="00F83333"/>
    <w:rsid w:val="00F83A7B"/>
    <w:rsid w:val="00F94B71"/>
    <w:rsid w:val="00F94F03"/>
    <w:rsid w:val="00FA13BA"/>
    <w:rsid w:val="00FA6469"/>
    <w:rsid w:val="00FB1992"/>
    <w:rsid w:val="00FC0FBD"/>
    <w:rsid w:val="00FC22D4"/>
    <w:rsid w:val="00FD3DCA"/>
    <w:rsid w:val="00FD53FF"/>
    <w:rsid w:val="00FD6C77"/>
    <w:rsid w:val="00FF69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2B9"/>
    <w:pPr>
      <w:spacing w:after="0" w:line="240" w:lineRule="auto"/>
    </w:pPr>
    <w:rPr>
      <w:rFonts w:ascii="Times New Roman" w:eastAsia="Times New Roman" w:hAnsi="Times New Roman" w:cs="Times New Roman"/>
      <w:szCs w:val="24"/>
    </w:rPr>
  </w:style>
  <w:style w:type="paragraph" w:styleId="Heading7">
    <w:name w:val="heading 7"/>
    <w:basedOn w:val="Normal"/>
    <w:next w:val="Normal"/>
    <w:link w:val="Heading7Char"/>
    <w:qFormat/>
    <w:rsid w:val="004132B9"/>
    <w:pPr>
      <w:keepNext/>
      <w:outlineLvl w:val="6"/>
    </w:pPr>
    <w:rPr>
      <w:rFonts w:ascii="CG Times" w:hAnsi="CG Times"/>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4132B9"/>
    <w:rPr>
      <w:rFonts w:ascii="CG Times" w:eastAsia="Times New Roman" w:hAnsi="CG Times" w:cs="Times New Roman"/>
      <w:szCs w:val="20"/>
      <w:lang w:eastAsia="en-GB"/>
    </w:rPr>
  </w:style>
  <w:style w:type="paragraph" w:styleId="ListParagraph">
    <w:name w:val="List Paragraph"/>
    <w:basedOn w:val="Normal"/>
    <w:uiPriority w:val="34"/>
    <w:qFormat/>
    <w:rsid w:val="004132B9"/>
    <w:pPr>
      <w:spacing w:after="200" w:line="276" w:lineRule="auto"/>
      <w:ind w:left="720"/>
    </w:pPr>
    <w:rPr>
      <w:rFonts w:ascii="Calibri" w:eastAsia="Calibri" w:hAnsi="Calibri"/>
      <w:sz w:val="22"/>
      <w:szCs w:val="20"/>
      <w:lang w:eastAsia="en-GB"/>
    </w:rPr>
  </w:style>
  <w:style w:type="character" w:styleId="CommentReference">
    <w:name w:val="annotation reference"/>
    <w:basedOn w:val="DefaultParagraphFont"/>
    <w:uiPriority w:val="99"/>
    <w:semiHidden/>
    <w:unhideWhenUsed/>
    <w:rsid w:val="00BA05EF"/>
    <w:rPr>
      <w:sz w:val="16"/>
      <w:szCs w:val="16"/>
    </w:rPr>
  </w:style>
  <w:style w:type="paragraph" w:styleId="CommentText">
    <w:name w:val="annotation text"/>
    <w:basedOn w:val="Normal"/>
    <w:link w:val="CommentTextChar"/>
    <w:uiPriority w:val="99"/>
    <w:semiHidden/>
    <w:unhideWhenUsed/>
    <w:rsid w:val="00BA05EF"/>
    <w:rPr>
      <w:sz w:val="20"/>
      <w:szCs w:val="20"/>
    </w:rPr>
  </w:style>
  <w:style w:type="character" w:customStyle="1" w:styleId="CommentTextChar">
    <w:name w:val="Comment Text Char"/>
    <w:basedOn w:val="DefaultParagraphFont"/>
    <w:link w:val="CommentText"/>
    <w:uiPriority w:val="99"/>
    <w:semiHidden/>
    <w:rsid w:val="00BA05E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A05EF"/>
    <w:rPr>
      <w:b/>
      <w:bCs/>
    </w:rPr>
  </w:style>
  <w:style w:type="character" w:customStyle="1" w:styleId="CommentSubjectChar">
    <w:name w:val="Comment Subject Char"/>
    <w:basedOn w:val="CommentTextChar"/>
    <w:link w:val="CommentSubject"/>
    <w:uiPriority w:val="99"/>
    <w:semiHidden/>
    <w:rsid w:val="00BA05EF"/>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A05EF"/>
    <w:rPr>
      <w:rFonts w:ascii="Tahoma" w:hAnsi="Tahoma" w:cs="Tahoma"/>
      <w:sz w:val="16"/>
      <w:szCs w:val="16"/>
    </w:rPr>
  </w:style>
  <w:style w:type="character" w:customStyle="1" w:styleId="BalloonTextChar">
    <w:name w:val="Balloon Text Char"/>
    <w:basedOn w:val="DefaultParagraphFont"/>
    <w:link w:val="BalloonText"/>
    <w:uiPriority w:val="99"/>
    <w:semiHidden/>
    <w:rsid w:val="00BA05EF"/>
    <w:rPr>
      <w:rFonts w:ascii="Tahoma" w:eastAsia="Times New Roman" w:hAnsi="Tahoma" w:cs="Tahoma"/>
      <w:sz w:val="16"/>
      <w:szCs w:val="16"/>
    </w:rPr>
  </w:style>
  <w:style w:type="paragraph" w:styleId="NoSpacing">
    <w:name w:val="No Spacing"/>
    <w:uiPriority w:val="1"/>
    <w:qFormat/>
    <w:rsid w:val="003D3DF3"/>
    <w:pPr>
      <w:spacing w:after="0" w:line="240" w:lineRule="auto"/>
    </w:pPr>
  </w:style>
  <w:style w:type="paragraph" w:styleId="Header">
    <w:name w:val="header"/>
    <w:basedOn w:val="Normal"/>
    <w:link w:val="HeaderChar"/>
    <w:uiPriority w:val="99"/>
    <w:semiHidden/>
    <w:unhideWhenUsed/>
    <w:rsid w:val="003D3DF3"/>
    <w:pPr>
      <w:tabs>
        <w:tab w:val="center" w:pos="4513"/>
        <w:tab w:val="right" w:pos="9026"/>
      </w:tabs>
    </w:pPr>
  </w:style>
  <w:style w:type="character" w:customStyle="1" w:styleId="HeaderChar">
    <w:name w:val="Header Char"/>
    <w:basedOn w:val="DefaultParagraphFont"/>
    <w:link w:val="Header"/>
    <w:uiPriority w:val="99"/>
    <w:semiHidden/>
    <w:rsid w:val="003D3DF3"/>
    <w:rPr>
      <w:rFonts w:ascii="Times New Roman" w:eastAsia="Times New Roman" w:hAnsi="Times New Roman" w:cs="Times New Roman"/>
      <w:szCs w:val="24"/>
    </w:rPr>
  </w:style>
  <w:style w:type="paragraph" w:styleId="Footer">
    <w:name w:val="footer"/>
    <w:basedOn w:val="Normal"/>
    <w:link w:val="FooterChar"/>
    <w:uiPriority w:val="99"/>
    <w:unhideWhenUsed/>
    <w:rsid w:val="003D3DF3"/>
    <w:pPr>
      <w:tabs>
        <w:tab w:val="center" w:pos="4513"/>
        <w:tab w:val="right" w:pos="9026"/>
      </w:tabs>
    </w:pPr>
  </w:style>
  <w:style w:type="character" w:customStyle="1" w:styleId="FooterChar">
    <w:name w:val="Footer Char"/>
    <w:basedOn w:val="DefaultParagraphFont"/>
    <w:link w:val="Footer"/>
    <w:uiPriority w:val="99"/>
    <w:rsid w:val="003D3DF3"/>
    <w:rPr>
      <w:rFonts w:ascii="Times New Roman" w:eastAsia="Times New Roman"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2B9"/>
    <w:pPr>
      <w:spacing w:after="0" w:line="240" w:lineRule="auto"/>
    </w:pPr>
    <w:rPr>
      <w:rFonts w:ascii="Times New Roman" w:eastAsia="Times New Roman" w:hAnsi="Times New Roman" w:cs="Times New Roman"/>
      <w:szCs w:val="24"/>
    </w:rPr>
  </w:style>
  <w:style w:type="paragraph" w:styleId="Heading7">
    <w:name w:val="heading 7"/>
    <w:basedOn w:val="Normal"/>
    <w:next w:val="Normal"/>
    <w:link w:val="Heading7Char"/>
    <w:qFormat/>
    <w:rsid w:val="004132B9"/>
    <w:pPr>
      <w:keepNext/>
      <w:outlineLvl w:val="6"/>
    </w:pPr>
    <w:rPr>
      <w:rFonts w:ascii="CG Times" w:hAnsi="CG Times"/>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4132B9"/>
    <w:rPr>
      <w:rFonts w:ascii="CG Times" w:eastAsia="Times New Roman" w:hAnsi="CG Times" w:cs="Times New Roman"/>
      <w:szCs w:val="20"/>
      <w:lang w:eastAsia="en-GB"/>
    </w:rPr>
  </w:style>
  <w:style w:type="paragraph" w:styleId="ListParagraph">
    <w:name w:val="List Paragraph"/>
    <w:basedOn w:val="Normal"/>
    <w:uiPriority w:val="34"/>
    <w:qFormat/>
    <w:rsid w:val="004132B9"/>
    <w:pPr>
      <w:spacing w:after="200" w:line="276" w:lineRule="auto"/>
      <w:ind w:left="720"/>
    </w:pPr>
    <w:rPr>
      <w:rFonts w:ascii="Calibri" w:eastAsia="Calibri" w:hAnsi="Calibri"/>
      <w:sz w:val="22"/>
      <w:szCs w:val="20"/>
      <w:lang w:eastAsia="en-GB"/>
    </w:rPr>
  </w:style>
  <w:style w:type="character" w:styleId="CommentReference">
    <w:name w:val="annotation reference"/>
    <w:basedOn w:val="DefaultParagraphFont"/>
    <w:uiPriority w:val="99"/>
    <w:semiHidden/>
    <w:unhideWhenUsed/>
    <w:rsid w:val="00BA05EF"/>
    <w:rPr>
      <w:sz w:val="16"/>
      <w:szCs w:val="16"/>
    </w:rPr>
  </w:style>
  <w:style w:type="paragraph" w:styleId="CommentText">
    <w:name w:val="annotation text"/>
    <w:basedOn w:val="Normal"/>
    <w:link w:val="CommentTextChar"/>
    <w:uiPriority w:val="99"/>
    <w:semiHidden/>
    <w:unhideWhenUsed/>
    <w:rsid w:val="00BA05EF"/>
    <w:rPr>
      <w:sz w:val="20"/>
      <w:szCs w:val="20"/>
    </w:rPr>
  </w:style>
  <w:style w:type="character" w:customStyle="1" w:styleId="CommentTextChar">
    <w:name w:val="Comment Text Char"/>
    <w:basedOn w:val="DefaultParagraphFont"/>
    <w:link w:val="CommentText"/>
    <w:uiPriority w:val="99"/>
    <w:semiHidden/>
    <w:rsid w:val="00BA05E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A05EF"/>
    <w:rPr>
      <w:b/>
      <w:bCs/>
    </w:rPr>
  </w:style>
  <w:style w:type="character" w:customStyle="1" w:styleId="CommentSubjectChar">
    <w:name w:val="Comment Subject Char"/>
    <w:basedOn w:val="CommentTextChar"/>
    <w:link w:val="CommentSubject"/>
    <w:uiPriority w:val="99"/>
    <w:semiHidden/>
    <w:rsid w:val="00BA05EF"/>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A05EF"/>
    <w:rPr>
      <w:rFonts w:ascii="Tahoma" w:hAnsi="Tahoma" w:cs="Tahoma"/>
      <w:sz w:val="16"/>
      <w:szCs w:val="16"/>
    </w:rPr>
  </w:style>
  <w:style w:type="character" w:customStyle="1" w:styleId="BalloonTextChar">
    <w:name w:val="Balloon Text Char"/>
    <w:basedOn w:val="DefaultParagraphFont"/>
    <w:link w:val="BalloonText"/>
    <w:uiPriority w:val="99"/>
    <w:semiHidden/>
    <w:rsid w:val="00BA05EF"/>
    <w:rPr>
      <w:rFonts w:ascii="Tahoma" w:eastAsia="Times New Roman" w:hAnsi="Tahoma" w:cs="Tahoma"/>
      <w:sz w:val="16"/>
      <w:szCs w:val="16"/>
    </w:rPr>
  </w:style>
  <w:style w:type="paragraph" w:styleId="NoSpacing">
    <w:name w:val="No Spacing"/>
    <w:uiPriority w:val="1"/>
    <w:qFormat/>
    <w:rsid w:val="003D3DF3"/>
    <w:pPr>
      <w:spacing w:after="0" w:line="240" w:lineRule="auto"/>
    </w:pPr>
  </w:style>
  <w:style w:type="paragraph" w:styleId="Header">
    <w:name w:val="header"/>
    <w:basedOn w:val="Normal"/>
    <w:link w:val="HeaderChar"/>
    <w:uiPriority w:val="99"/>
    <w:semiHidden/>
    <w:unhideWhenUsed/>
    <w:rsid w:val="003D3DF3"/>
    <w:pPr>
      <w:tabs>
        <w:tab w:val="center" w:pos="4513"/>
        <w:tab w:val="right" w:pos="9026"/>
      </w:tabs>
    </w:pPr>
  </w:style>
  <w:style w:type="character" w:customStyle="1" w:styleId="HeaderChar">
    <w:name w:val="Header Char"/>
    <w:basedOn w:val="DefaultParagraphFont"/>
    <w:link w:val="Header"/>
    <w:uiPriority w:val="99"/>
    <w:semiHidden/>
    <w:rsid w:val="003D3DF3"/>
    <w:rPr>
      <w:rFonts w:ascii="Times New Roman" w:eastAsia="Times New Roman" w:hAnsi="Times New Roman" w:cs="Times New Roman"/>
      <w:szCs w:val="24"/>
    </w:rPr>
  </w:style>
  <w:style w:type="paragraph" w:styleId="Footer">
    <w:name w:val="footer"/>
    <w:basedOn w:val="Normal"/>
    <w:link w:val="FooterChar"/>
    <w:uiPriority w:val="99"/>
    <w:unhideWhenUsed/>
    <w:rsid w:val="003D3DF3"/>
    <w:pPr>
      <w:tabs>
        <w:tab w:val="center" w:pos="4513"/>
        <w:tab w:val="right" w:pos="9026"/>
      </w:tabs>
    </w:pPr>
  </w:style>
  <w:style w:type="character" w:customStyle="1" w:styleId="FooterChar">
    <w:name w:val="Footer Char"/>
    <w:basedOn w:val="DefaultParagraphFont"/>
    <w:link w:val="Footer"/>
    <w:uiPriority w:val="99"/>
    <w:rsid w:val="003D3DF3"/>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28C83-1285-44B9-9405-CB8EA9C54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1779</Words>
  <Characters>10142</Characters>
  <Application>Microsoft Office Word</Application>
  <DocSecurity>4</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Home Office</Company>
  <LinksUpToDate>false</LinksUpToDate>
  <CharactersWithSpaces>11898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Kelly</dc:creator>
  <cp:lastModifiedBy>Saunders, Les - Cabinet Office [Restricted]</cp:lastModifiedBy>
  <cp:revision>2</cp:revision>
  <cp:lastPrinted>2013-07-31T16:54:00Z</cp:lastPrinted>
  <dcterms:created xsi:type="dcterms:W3CDTF">2013-08-07T12:48:00Z</dcterms:created>
  <dcterms:modified xsi:type="dcterms:W3CDTF">2013-08-07T12:48:00Z</dcterms:modified>
</cp:coreProperties>
</file>