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8f6f61d30e9247a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50" w:rsidRPr="00821CD8" w:rsidRDefault="002E7B50">
      <w:pPr>
        <w:rPr>
          <w:rFonts w:ascii="Foundry Form Sans" w:hAnsi="Foundry Form Sans"/>
          <w:b/>
          <w:sz w:val="24"/>
          <w:szCs w:val="24"/>
        </w:rPr>
      </w:pPr>
      <w:r w:rsidRPr="00821CD8">
        <w:rPr>
          <w:rFonts w:ascii="Foundry Form Sans" w:hAnsi="Foundry Form Sans"/>
          <w:b/>
          <w:sz w:val="24"/>
          <w:szCs w:val="24"/>
        </w:rPr>
        <w:t>GLA – Property Asset Strategy</w:t>
      </w:r>
    </w:p>
    <w:p w:rsidR="00821CD8" w:rsidRDefault="00821CD8">
      <w:pPr>
        <w:rPr>
          <w:rFonts w:ascii="Foundry Form Sans" w:hAnsi="Foundry Form Sans"/>
          <w:b/>
          <w:sz w:val="24"/>
          <w:szCs w:val="24"/>
        </w:rPr>
      </w:pPr>
      <w:bookmarkStart w:id="0" w:name="_GoBack"/>
      <w:bookmarkEnd w:id="0"/>
    </w:p>
    <w:p w:rsidR="001728A2" w:rsidRPr="00821CD8" w:rsidRDefault="001728A2">
      <w:pPr>
        <w:rPr>
          <w:rFonts w:ascii="Foundry Form Sans" w:hAnsi="Foundry Form Sans"/>
          <w:sz w:val="24"/>
          <w:szCs w:val="24"/>
        </w:rPr>
      </w:pPr>
      <w:r w:rsidRPr="00821CD8">
        <w:rPr>
          <w:rFonts w:ascii="Foundry Form Sans" w:hAnsi="Foundry Form Sans"/>
          <w:b/>
          <w:sz w:val="24"/>
          <w:szCs w:val="24"/>
        </w:rPr>
        <w:t>Introduction</w:t>
      </w:r>
    </w:p>
    <w:p w:rsidR="00013360" w:rsidRDefault="007D3D4F">
      <w:pPr>
        <w:rPr>
          <w:rFonts w:ascii="Foundry Form Sans" w:hAnsi="Foundry Form Sans"/>
          <w:sz w:val="24"/>
          <w:szCs w:val="24"/>
        </w:rPr>
      </w:pPr>
      <w:r w:rsidRPr="00821CD8">
        <w:rPr>
          <w:rFonts w:ascii="Foundry Form Sans" w:hAnsi="Foundry Form Sans"/>
          <w:sz w:val="24"/>
          <w:szCs w:val="24"/>
        </w:rPr>
        <w:t>The</w:t>
      </w:r>
      <w:r w:rsidR="001728A2" w:rsidRPr="00821CD8">
        <w:rPr>
          <w:rFonts w:ascii="Foundry Form Sans" w:hAnsi="Foundry Form Sans"/>
          <w:sz w:val="24"/>
          <w:szCs w:val="24"/>
        </w:rPr>
        <w:t xml:space="preserve"> GLA is </w:t>
      </w:r>
      <w:r w:rsidRPr="00821CD8">
        <w:rPr>
          <w:rFonts w:ascii="Foundry Form Sans" w:hAnsi="Foundry Form Sans"/>
          <w:sz w:val="24"/>
          <w:szCs w:val="24"/>
        </w:rPr>
        <w:t xml:space="preserve">a major land owner, with a portfolio of </w:t>
      </w:r>
      <w:r w:rsidR="00156C2C" w:rsidRPr="00821CD8">
        <w:rPr>
          <w:rFonts w:ascii="Foundry Form Sans" w:hAnsi="Foundry Form Sans"/>
          <w:sz w:val="24"/>
          <w:szCs w:val="24"/>
        </w:rPr>
        <w:t>over</w:t>
      </w:r>
      <w:r w:rsidRPr="00821CD8">
        <w:rPr>
          <w:rFonts w:ascii="Foundry Form Sans" w:hAnsi="Foundry Form Sans"/>
          <w:sz w:val="24"/>
          <w:szCs w:val="24"/>
        </w:rPr>
        <w:t xml:space="preserve"> 600 ha of land and other assets, mainly in the east of London. It is therefore </w:t>
      </w:r>
      <w:r w:rsidR="001728A2" w:rsidRPr="00821CD8">
        <w:rPr>
          <w:rFonts w:ascii="Foundry Form Sans" w:hAnsi="Foundry Form Sans"/>
          <w:sz w:val="24"/>
          <w:szCs w:val="24"/>
        </w:rPr>
        <w:t xml:space="preserve">in an ideal position to influence and deliver the stimulation of </w:t>
      </w:r>
      <w:r w:rsidR="00DF0C96" w:rsidRPr="00821CD8">
        <w:rPr>
          <w:rFonts w:ascii="Foundry Form Sans" w:hAnsi="Foundry Form Sans"/>
          <w:sz w:val="24"/>
          <w:szCs w:val="24"/>
        </w:rPr>
        <w:t xml:space="preserve">new homes, regeneration and </w:t>
      </w:r>
      <w:r w:rsidR="001728A2" w:rsidRPr="00821CD8">
        <w:rPr>
          <w:rFonts w:ascii="Foundry Form Sans" w:hAnsi="Foundry Form Sans"/>
          <w:sz w:val="24"/>
          <w:szCs w:val="24"/>
        </w:rPr>
        <w:t xml:space="preserve">economic growth by the use of </w:t>
      </w:r>
      <w:r w:rsidRPr="00821CD8">
        <w:rPr>
          <w:rFonts w:ascii="Foundry Form Sans" w:hAnsi="Foundry Form Sans"/>
          <w:sz w:val="24"/>
          <w:szCs w:val="24"/>
        </w:rPr>
        <w:t>these</w:t>
      </w:r>
      <w:r w:rsidR="00DF0C96" w:rsidRPr="00821CD8">
        <w:rPr>
          <w:rFonts w:ascii="Foundry Form Sans" w:hAnsi="Foundry Form Sans"/>
          <w:sz w:val="24"/>
          <w:szCs w:val="24"/>
        </w:rPr>
        <w:t xml:space="preserve"> assets</w:t>
      </w:r>
      <w:r w:rsidR="001728A2" w:rsidRPr="00821CD8">
        <w:rPr>
          <w:rFonts w:ascii="Foundry Form Sans" w:hAnsi="Foundry Form Sans"/>
          <w:sz w:val="24"/>
          <w:szCs w:val="24"/>
        </w:rPr>
        <w:t>. This docu</w:t>
      </w:r>
      <w:r w:rsidR="00821CD8">
        <w:rPr>
          <w:rFonts w:ascii="Foundry Form Sans" w:hAnsi="Foundry Form Sans"/>
          <w:sz w:val="24"/>
          <w:szCs w:val="24"/>
        </w:rPr>
        <w:t>ment sets out the GLA's</w:t>
      </w:r>
      <w:r w:rsidR="001728A2" w:rsidRPr="00821CD8">
        <w:rPr>
          <w:rFonts w:ascii="Foundry Form Sans" w:hAnsi="Foundry Form Sans"/>
          <w:sz w:val="24"/>
          <w:szCs w:val="24"/>
        </w:rPr>
        <w:t xml:space="preserve"> strategy fo</w:t>
      </w:r>
      <w:r w:rsidR="00602F89" w:rsidRPr="00821CD8">
        <w:rPr>
          <w:rFonts w:ascii="Foundry Form Sans" w:hAnsi="Foundry Form Sans"/>
          <w:sz w:val="24"/>
          <w:szCs w:val="24"/>
        </w:rPr>
        <w:t>r the use of land owned by GLA Land and P</w:t>
      </w:r>
      <w:r w:rsidR="001728A2" w:rsidRPr="00821CD8">
        <w:rPr>
          <w:rFonts w:ascii="Foundry Form Sans" w:hAnsi="Foundry Form Sans"/>
          <w:sz w:val="24"/>
          <w:szCs w:val="24"/>
        </w:rPr>
        <w:t>roperty Ltd (</w:t>
      </w:r>
      <w:r w:rsidR="00024201" w:rsidRPr="00821CD8">
        <w:rPr>
          <w:rFonts w:ascii="Foundry Form Sans" w:hAnsi="Foundry Form Sans"/>
          <w:sz w:val="24"/>
          <w:szCs w:val="24"/>
        </w:rPr>
        <w:t xml:space="preserve">GLAP, </w:t>
      </w:r>
      <w:r w:rsidR="001728A2" w:rsidRPr="00821CD8">
        <w:rPr>
          <w:rFonts w:ascii="Foundry Form Sans" w:hAnsi="Foundry Form Sans"/>
          <w:sz w:val="24"/>
          <w:szCs w:val="24"/>
        </w:rPr>
        <w:t>the GLA's property</w:t>
      </w:r>
      <w:r w:rsidR="00156C2C" w:rsidRPr="00821CD8">
        <w:rPr>
          <w:rFonts w:ascii="Foundry Form Sans" w:hAnsi="Foundry Form Sans"/>
          <w:sz w:val="24"/>
          <w:szCs w:val="24"/>
        </w:rPr>
        <w:t>-</w:t>
      </w:r>
      <w:r w:rsidR="001728A2" w:rsidRPr="00821CD8">
        <w:rPr>
          <w:rFonts w:ascii="Foundry Form Sans" w:hAnsi="Foundry Form Sans"/>
          <w:sz w:val="24"/>
          <w:szCs w:val="24"/>
        </w:rPr>
        <w:t xml:space="preserve">holding company) and highlights areas of activity where the GLA can assist other public sector landholders </w:t>
      </w:r>
      <w:r w:rsidR="00DF0C96" w:rsidRPr="00821CD8">
        <w:rPr>
          <w:rFonts w:ascii="Foundry Form Sans" w:hAnsi="Foundry Form Sans"/>
          <w:sz w:val="24"/>
          <w:szCs w:val="24"/>
        </w:rPr>
        <w:t xml:space="preserve">to </w:t>
      </w:r>
      <w:r w:rsidR="00602F89" w:rsidRPr="00821CD8">
        <w:rPr>
          <w:rFonts w:ascii="Foundry Form Sans" w:hAnsi="Foundry Form Sans"/>
          <w:sz w:val="24"/>
          <w:szCs w:val="24"/>
        </w:rPr>
        <w:t>b</w:t>
      </w:r>
      <w:r w:rsidR="001728A2" w:rsidRPr="00821CD8">
        <w:rPr>
          <w:rFonts w:ascii="Foundry Form Sans" w:hAnsi="Foundry Form Sans"/>
          <w:sz w:val="24"/>
          <w:szCs w:val="24"/>
        </w:rPr>
        <w:t>ring forward surplus assets for the benefit of Londoners.</w:t>
      </w:r>
      <w:r w:rsidR="00B3065D">
        <w:rPr>
          <w:rFonts w:ascii="Foundry Form Sans" w:hAnsi="Foundry Form Sans"/>
          <w:sz w:val="24"/>
          <w:szCs w:val="24"/>
        </w:rPr>
        <w:t xml:space="preserve"> Further information can be found on the GLA website and this paper contains a number of links both to the GLA website and to relevant, external websites.</w:t>
      </w:r>
      <w:r w:rsidR="00813F10" w:rsidRPr="00821CD8">
        <w:rPr>
          <w:rFonts w:ascii="Foundry Form Sans" w:hAnsi="Foundry Form Sans"/>
          <w:sz w:val="24"/>
          <w:szCs w:val="24"/>
        </w:rPr>
        <w:t xml:space="preserve"> </w:t>
      </w:r>
    </w:p>
    <w:p w:rsidR="00821CD8" w:rsidRPr="00821CD8" w:rsidRDefault="00821CD8">
      <w:pPr>
        <w:rPr>
          <w:rFonts w:ascii="Foundry Form Sans" w:hAnsi="Foundry Form Sans"/>
          <w:sz w:val="24"/>
          <w:szCs w:val="24"/>
        </w:rPr>
      </w:pPr>
    </w:p>
    <w:p w:rsidR="00013360" w:rsidRPr="00821CD8" w:rsidRDefault="00A96873" w:rsidP="00013360">
      <w:pPr>
        <w:rPr>
          <w:rFonts w:ascii="Foundry Form Sans" w:hAnsi="Foundry Form Sans"/>
          <w:b/>
          <w:sz w:val="24"/>
          <w:szCs w:val="24"/>
        </w:rPr>
      </w:pPr>
      <w:r w:rsidRPr="00821CD8">
        <w:rPr>
          <w:rFonts w:ascii="Foundry Form Sans" w:hAnsi="Foundry Form Sans"/>
          <w:b/>
          <w:sz w:val="24"/>
          <w:szCs w:val="24"/>
        </w:rPr>
        <w:t xml:space="preserve">The Mayor’s </w:t>
      </w:r>
      <w:r w:rsidR="008B4152" w:rsidRPr="00821CD8">
        <w:rPr>
          <w:rFonts w:ascii="Foundry Form Sans" w:hAnsi="Foundry Form Sans"/>
          <w:b/>
          <w:sz w:val="24"/>
          <w:szCs w:val="24"/>
        </w:rPr>
        <w:t>A</w:t>
      </w:r>
      <w:r w:rsidR="00DF0C96" w:rsidRPr="00821CD8">
        <w:rPr>
          <w:rFonts w:ascii="Foundry Form Sans" w:hAnsi="Foundry Form Sans"/>
          <w:b/>
          <w:sz w:val="24"/>
          <w:szCs w:val="24"/>
        </w:rPr>
        <w:t xml:space="preserve">ims and </w:t>
      </w:r>
      <w:r w:rsidR="00013360" w:rsidRPr="00821CD8">
        <w:rPr>
          <w:rFonts w:ascii="Foundry Form Sans" w:hAnsi="Foundry Form Sans"/>
          <w:b/>
          <w:sz w:val="24"/>
          <w:szCs w:val="24"/>
        </w:rPr>
        <w:t>Objectives</w:t>
      </w:r>
    </w:p>
    <w:p w:rsidR="00DF0C96" w:rsidRPr="00821CD8" w:rsidRDefault="00013360" w:rsidP="00013360">
      <w:pPr>
        <w:rPr>
          <w:rFonts w:ascii="Foundry Form Sans" w:hAnsi="Foundry Form Sans"/>
          <w:sz w:val="24"/>
          <w:szCs w:val="24"/>
        </w:rPr>
      </w:pPr>
      <w:r w:rsidRPr="00821CD8">
        <w:rPr>
          <w:rFonts w:ascii="Foundry Form Sans" w:hAnsi="Foundry Form Sans"/>
          <w:sz w:val="24"/>
          <w:szCs w:val="24"/>
        </w:rPr>
        <w:t xml:space="preserve">The prime </w:t>
      </w:r>
      <w:r w:rsidR="00DF0C96" w:rsidRPr="00821CD8">
        <w:rPr>
          <w:rFonts w:ascii="Foundry Form Sans" w:hAnsi="Foundry Form Sans"/>
          <w:sz w:val="24"/>
          <w:szCs w:val="24"/>
        </w:rPr>
        <w:t xml:space="preserve">aim </w:t>
      </w:r>
      <w:r w:rsidR="005A53B0">
        <w:rPr>
          <w:rFonts w:ascii="Foundry Form Sans" w:hAnsi="Foundry Form Sans"/>
          <w:sz w:val="24"/>
          <w:szCs w:val="24"/>
        </w:rPr>
        <w:t>of the GLA's P</w:t>
      </w:r>
      <w:r w:rsidRPr="00821CD8">
        <w:rPr>
          <w:rFonts w:ascii="Foundry Form Sans" w:hAnsi="Foundry Form Sans"/>
          <w:sz w:val="24"/>
          <w:szCs w:val="24"/>
        </w:rPr>
        <w:t xml:space="preserve">roperty </w:t>
      </w:r>
      <w:r w:rsidR="005A53B0">
        <w:rPr>
          <w:rFonts w:ascii="Foundry Form Sans" w:hAnsi="Foundry Form Sans"/>
          <w:sz w:val="24"/>
          <w:szCs w:val="24"/>
        </w:rPr>
        <w:t>A</w:t>
      </w:r>
      <w:r w:rsidR="00821CD8">
        <w:rPr>
          <w:rFonts w:ascii="Foundry Form Sans" w:hAnsi="Foundry Form Sans"/>
          <w:sz w:val="24"/>
          <w:szCs w:val="24"/>
        </w:rPr>
        <w:t xml:space="preserve">sset </w:t>
      </w:r>
      <w:r w:rsidR="005A53B0">
        <w:rPr>
          <w:rFonts w:ascii="Foundry Form Sans" w:hAnsi="Foundry Form Sans"/>
          <w:sz w:val="24"/>
          <w:szCs w:val="24"/>
        </w:rPr>
        <w:t>S</w:t>
      </w:r>
      <w:r w:rsidRPr="00821CD8">
        <w:rPr>
          <w:rFonts w:ascii="Foundry Form Sans" w:hAnsi="Foundry Form Sans"/>
          <w:sz w:val="24"/>
          <w:szCs w:val="24"/>
        </w:rPr>
        <w:t xml:space="preserve">trategy is to use </w:t>
      </w:r>
      <w:r w:rsidR="00DF0C96" w:rsidRPr="00821CD8">
        <w:rPr>
          <w:rFonts w:ascii="Foundry Form Sans" w:hAnsi="Foundry Form Sans"/>
          <w:sz w:val="24"/>
          <w:szCs w:val="24"/>
        </w:rPr>
        <w:t xml:space="preserve">its land </w:t>
      </w:r>
      <w:r w:rsidRPr="00821CD8">
        <w:rPr>
          <w:rFonts w:ascii="Foundry Form Sans" w:hAnsi="Foundry Form Sans"/>
          <w:sz w:val="24"/>
          <w:szCs w:val="24"/>
        </w:rPr>
        <w:t xml:space="preserve">assets </w:t>
      </w:r>
      <w:r w:rsidR="00DF0C96" w:rsidRPr="00821CD8">
        <w:rPr>
          <w:rFonts w:ascii="Foundry Form Sans" w:hAnsi="Foundry Form Sans"/>
          <w:sz w:val="24"/>
          <w:szCs w:val="24"/>
        </w:rPr>
        <w:t xml:space="preserve">to support the Mayor’s key policy priorities including </w:t>
      </w:r>
      <w:r w:rsidR="00156C2C" w:rsidRPr="00821CD8">
        <w:rPr>
          <w:rFonts w:ascii="Foundry Form Sans" w:hAnsi="Foundry Form Sans"/>
          <w:sz w:val="24"/>
          <w:szCs w:val="24"/>
        </w:rPr>
        <w:t xml:space="preserve">generating </w:t>
      </w:r>
      <w:r w:rsidR="00DF0C96" w:rsidRPr="00821CD8">
        <w:rPr>
          <w:rFonts w:ascii="Foundry Form Sans" w:hAnsi="Foundry Form Sans"/>
          <w:sz w:val="24"/>
          <w:szCs w:val="24"/>
        </w:rPr>
        <w:t>revenues to support the GLA’s budget strategy.</w:t>
      </w:r>
    </w:p>
    <w:p w:rsidR="00DF0C96" w:rsidRPr="00821CD8" w:rsidRDefault="00DF0C96" w:rsidP="00013360">
      <w:pPr>
        <w:rPr>
          <w:rFonts w:ascii="Foundry Form Sans" w:hAnsi="Foundry Form Sans"/>
          <w:sz w:val="24"/>
          <w:szCs w:val="24"/>
        </w:rPr>
      </w:pPr>
      <w:r w:rsidRPr="00821CD8">
        <w:rPr>
          <w:rFonts w:ascii="Foundry Form Sans" w:hAnsi="Foundry Form Sans"/>
          <w:sz w:val="24"/>
          <w:szCs w:val="24"/>
        </w:rPr>
        <w:t>The specific objectives of this strategy are to utilise the GLA’s land and property assets to:</w:t>
      </w:r>
    </w:p>
    <w:p w:rsidR="00DF0C96" w:rsidRPr="00821CD8" w:rsidRDefault="00DF0C96" w:rsidP="00E64AA9">
      <w:pPr>
        <w:pStyle w:val="ListParagraph"/>
        <w:numPr>
          <w:ilvl w:val="0"/>
          <w:numId w:val="4"/>
        </w:numPr>
        <w:rPr>
          <w:rFonts w:ascii="Foundry Form Sans" w:hAnsi="Foundry Form Sans"/>
          <w:sz w:val="24"/>
          <w:szCs w:val="24"/>
        </w:rPr>
      </w:pPr>
      <w:r w:rsidRPr="00821CD8">
        <w:rPr>
          <w:rFonts w:ascii="Foundry Form Sans" w:hAnsi="Foundry Form Sans"/>
          <w:sz w:val="24"/>
          <w:szCs w:val="24"/>
        </w:rPr>
        <w:t>Support the construction of new homes of all tenures to help meet London’s pressing housing needs</w:t>
      </w:r>
      <w:r w:rsidR="00156C2C" w:rsidRPr="00821CD8">
        <w:rPr>
          <w:rFonts w:ascii="Foundry Form Sans" w:hAnsi="Foundry Form Sans"/>
          <w:sz w:val="24"/>
          <w:szCs w:val="24"/>
        </w:rPr>
        <w:t>;</w:t>
      </w:r>
    </w:p>
    <w:p w:rsidR="00DF0C96" w:rsidRPr="00821CD8" w:rsidRDefault="00DF0C96" w:rsidP="00E64AA9">
      <w:pPr>
        <w:pStyle w:val="ListParagraph"/>
        <w:numPr>
          <w:ilvl w:val="0"/>
          <w:numId w:val="4"/>
        </w:numPr>
        <w:rPr>
          <w:rFonts w:ascii="Foundry Form Sans" w:hAnsi="Foundry Form Sans"/>
          <w:sz w:val="24"/>
          <w:szCs w:val="24"/>
        </w:rPr>
      </w:pPr>
      <w:r w:rsidRPr="00821CD8">
        <w:rPr>
          <w:rFonts w:ascii="Foundry Form Sans" w:hAnsi="Foundry Form Sans"/>
          <w:sz w:val="24"/>
          <w:szCs w:val="24"/>
        </w:rPr>
        <w:t>Support economic development activities that can help create new employment and regeneration opportunities</w:t>
      </w:r>
      <w:r w:rsidR="00156C2C" w:rsidRPr="00821CD8">
        <w:rPr>
          <w:rFonts w:ascii="Foundry Form Sans" w:hAnsi="Foundry Form Sans"/>
          <w:sz w:val="24"/>
          <w:szCs w:val="24"/>
        </w:rPr>
        <w:t>;</w:t>
      </w:r>
    </w:p>
    <w:p w:rsidR="007D3D4F" w:rsidRPr="00821CD8" w:rsidRDefault="00DF0C96" w:rsidP="00E64AA9">
      <w:pPr>
        <w:pStyle w:val="ListParagraph"/>
        <w:numPr>
          <w:ilvl w:val="0"/>
          <w:numId w:val="4"/>
        </w:numPr>
        <w:rPr>
          <w:rFonts w:ascii="Foundry Form Sans" w:hAnsi="Foundry Form Sans"/>
          <w:sz w:val="24"/>
          <w:szCs w:val="24"/>
        </w:rPr>
      </w:pPr>
      <w:r w:rsidRPr="00821CD8">
        <w:rPr>
          <w:rFonts w:ascii="Foundry Form Sans" w:hAnsi="Foundry Form Sans"/>
          <w:sz w:val="24"/>
          <w:szCs w:val="24"/>
        </w:rPr>
        <w:t>Deliver developments of the highest quality</w:t>
      </w:r>
      <w:r w:rsidR="007D3D4F" w:rsidRPr="00821CD8">
        <w:rPr>
          <w:rFonts w:ascii="Foundry Form Sans" w:hAnsi="Foundry Form Sans"/>
          <w:sz w:val="24"/>
          <w:szCs w:val="24"/>
        </w:rPr>
        <w:t xml:space="preserve"> which, wherever possible, are of mixed use and demonstrate long term viability and local benefits</w:t>
      </w:r>
      <w:r w:rsidR="00156C2C" w:rsidRPr="00821CD8">
        <w:rPr>
          <w:rFonts w:ascii="Foundry Form Sans" w:hAnsi="Foundry Form Sans"/>
          <w:sz w:val="24"/>
          <w:szCs w:val="24"/>
        </w:rPr>
        <w:t>;</w:t>
      </w:r>
    </w:p>
    <w:p w:rsidR="007D3D4F" w:rsidRPr="00821CD8" w:rsidRDefault="007D3D4F" w:rsidP="00E64AA9">
      <w:pPr>
        <w:pStyle w:val="ListParagraph"/>
        <w:numPr>
          <w:ilvl w:val="0"/>
          <w:numId w:val="4"/>
        </w:numPr>
        <w:rPr>
          <w:rFonts w:ascii="Foundry Form Sans" w:hAnsi="Foundry Form Sans"/>
          <w:sz w:val="24"/>
          <w:szCs w:val="24"/>
        </w:rPr>
      </w:pPr>
      <w:r w:rsidRPr="00821CD8">
        <w:rPr>
          <w:rFonts w:ascii="Foundry Form Sans" w:hAnsi="Foundry Form Sans"/>
          <w:sz w:val="24"/>
          <w:szCs w:val="24"/>
        </w:rPr>
        <w:t>Encourage and support creative approaches to development that can help stimulate new opportunities for investment</w:t>
      </w:r>
      <w:r w:rsidR="00156C2C" w:rsidRPr="00821CD8">
        <w:rPr>
          <w:rFonts w:ascii="Foundry Form Sans" w:hAnsi="Foundry Form Sans"/>
          <w:sz w:val="24"/>
          <w:szCs w:val="24"/>
        </w:rPr>
        <w:t>; and</w:t>
      </w:r>
    </w:p>
    <w:p w:rsidR="00821CD8" w:rsidRPr="00821CD8" w:rsidRDefault="007D3D4F" w:rsidP="00821CD8">
      <w:pPr>
        <w:pStyle w:val="ListParagraph"/>
        <w:numPr>
          <w:ilvl w:val="0"/>
          <w:numId w:val="4"/>
        </w:numPr>
        <w:rPr>
          <w:rFonts w:ascii="Foundry Form Sans" w:hAnsi="Foundry Form Sans"/>
          <w:sz w:val="24"/>
          <w:szCs w:val="24"/>
        </w:rPr>
      </w:pPr>
      <w:r w:rsidRPr="00821CD8">
        <w:rPr>
          <w:rFonts w:ascii="Foundry Form Sans" w:hAnsi="Foundry Form Sans"/>
          <w:sz w:val="24"/>
          <w:szCs w:val="24"/>
        </w:rPr>
        <w:t>Deliver income from rents, leases and receipts which will</w:t>
      </w:r>
      <w:r w:rsidR="007935C3" w:rsidRPr="00821CD8">
        <w:rPr>
          <w:rFonts w:ascii="Foundry Form Sans" w:hAnsi="Foundry Form Sans"/>
          <w:sz w:val="24"/>
          <w:szCs w:val="24"/>
        </w:rPr>
        <w:t xml:space="preserve"> help</w:t>
      </w:r>
      <w:r w:rsidRPr="00821CD8">
        <w:rPr>
          <w:rFonts w:ascii="Foundry Form Sans" w:hAnsi="Foundry Form Sans"/>
          <w:sz w:val="24"/>
          <w:szCs w:val="24"/>
        </w:rPr>
        <w:t xml:space="preserve"> meet the GLA’s short and longer term financial requirements</w:t>
      </w:r>
      <w:r w:rsidR="00156C2C" w:rsidRPr="00821CD8">
        <w:rPr>
          <w:rFonts w:ascii="Foundry Form Sans" w:hAnsi="Foundry Form Sans"/>
          <w:sz w:val="24"/>
          <w:szCs w:val="24"/>
        </w:rPr>
        <w:t>.</w:t>
      </w:r>
      <w:r w:rsidRPr="00821CD8">
        <w:rPr>
          <w:rFonts w:ascii="Foundry Form Sans" w:hAnsi="Foundry Form Sans"/>
          <w:sz w:val="24"/>
          <w:szCs w:val="24"/>
        </w:rPr>
        <w:t xml:space="preserve"> </w:t>
      </w:r>
    </w:p>
    <w:p w:rsidR="00821CD8" w:rsidRDefault="00821CD8">
      <w:pPr>
        <w:rPr>
          <w:rFonts w:ascii="Foundry Form Sans" w:hAnsi="Foundry Form Sans"/>
          <w:b/>
          <w:sz w:val="24"/>
          <w:szCs w:val="24"/>
        </w:rPr>
      </w:pPr>
    </w:p>
    <w:p w:rsidR="00DB2D4F" w:rsidRPr="00821CD8" w:rsidRDefault="00DB2D4F">
      <w:pPr>
        <w:rPr>
          <w:rFonts w:ascii="Foundry Form Sans" w:hAnsi="Foundry Form Sans"/>
          <w:b/>
          <w:sz w:val="24"/>
          <w:szCs w:val="24"/>
        </w:rPr>
      </w:pPr>
      <w:r w:rsidRPr="00821CD8">
        <w:rPr>
          <w:rFonts w:ascii="Foundry Form Sans" w:hAnsi="Foundry Form Sans"/>
          <w:b/>
          <w:sz w:val="24"/>
          <w:szCs w:val="24"/>
        </w:rPr>
        <w:t>How do we support delivery of these Aims and Objectives?</w:t>
      </w:r>
    </w:p>
    <w:p w:rsidR="00DB2D4F" w:rsidRPr="00821CD8" w:rsidRDefault="00DB2D4F" w:rsidP="008B4152">
      <w:pPr>
        <w:pStyle w:val="ListParagraph"/>
        <w:numPr>
          <w:ilvl w:val="0"/>
          <w:numId w:val="5"/>
        </w:numPr>
        <w:rPr>
          <w:rFonts w:ascii="Foundry Form Sans" w:hAnsi="Foundry Form Sans"/>
          <w:b/>
          <w:sz w:val="24"/>
          <w:szCs w:val="24"/>
          <w:u w:val="single"/>
        </w:rPr>
      </w:pPr>
      <w:r w:rsidRPr="00821CD8">
        <w:rPr>
          <w:rFonts w:ascii="Foundry Form Sans" w:hAnsi="Foundry Form Sans"/>
          <w:b/>
          <w:sz w:val="24"/>
          <w:szCs w:val="24"/>
          <w:u w:val="single"/>
        </w:rPr>
        <w:t>By using the GLA’s own property portfolio</w:t>
      </w:r>
    </w:p>
    <w:p w:rsidR="001728A2" w:rsidRPr="00821CD8" w:rsidRDefault="001728A2">
      <w:pPr>
        <w:rPr>
          <w:rFonts w:ascii="Foundry Form Sans" w:hAnsi="Foundry Form Sans"/>
          <w:b/>
          <w:sz w:val="24"/>
          <w:szCs w:val="24"/>
        </w:rPr>
      </w:pPr>
      <w:r w:rsidRPr="00821CD8">
        <w:rPr>
          <w:rFonts w:ascii="Foundry Form Sans" w:hAnsi="Foundry Form Sans"/>
          <w:b/>
          <w:sz w:val="24"/>
          <w:szCs w:val="24"/>
        </w:rPr>
        <w:t>Background</w:t>
      </w:r>
    </w:p>
    <w:p w:rsidR="001728A2" w:rsidRPr="00821CD8" w:rsidRDefault="00DB2D4F">
      <w:pPr>
        <w:rPr>
          <w:rFonts w:ascii="Foundry Form Sans" w:hAnsi="Foundry Form Sans"/>
          <w:sz w:val="24"/>
          <w:szCs w:val="24"/>
        </w:rPr>
      </w:pPr>
      <w:r w:rsidRPr="00821CD8">
        <w:rPr>
          <w:rFonts w:ascii="Foundry Form Sans" w:hAnsi="Foundry Form Sans"/>
          <w:sz w:val="24"/>
          <w:szCs w:val="24"/>
        </w:rPr>
        <w:t>T</w:t>
      </w:r>
      <w:r w:rsidR="001728A2" w:rsidRPr="00821CD8">
        <w:rPr>
          <w:rFonts w:ascii="Foundry Form Sans" w:hAnsi="Foundry Form Sans"/>
          <w:sz w:val="24"/>
          <w:szCs w:val="24"/>
        </w:rPr>
        <w:t xml:space="preserve">he GLA inherited a substantial portfolio of property following </w:t>
      </w:r>
      <w:r w:rsidR="00602F89" w:rsidRPr="00821CD8">
        <w:rPr>
          <w:rFonts w:ascii="Foundry Form Sans" w:hAnsi="Foundry Form Sans"/>
          <w:sz w:val="24"/>
          <w:szCs w:val="24"/>
        </w:rPr>
        <w:t>the closure</w:t>
      </w:r>
      <w:r w:rsidR="00156C2C" w:rsidRPr="00821CD8">
        <w:rPr>
          <w:rFonts w:ascii="Foundry Form Sans" w:hAnsi="Foundry Form Sans"/>
          <w:sz w:val="24"/>
          <w:szCs w:val="24"/>
        </w:rPr>
        <w:t>s</w:t>
      </w:r>
      <w:r w:rsidR="00602F89" w:rsidRPr="00821CD8">
        <w:rPr>
          <w:rFonts w:ascii="Foundry Form Sans" w:hAnsi="Foundry Form Sans"/>
          <w:sz w:val="24"/>
          <w:szCs w:val="24"/>
        </w:rPr>
        <w:t xml:space="preserve"> of both the London Development A</w:t>
      </w:r>
      <w:r w:rsidR="001728A2" w:rsidRPr="00821CD8">
        <w:rPr>
          <w:rFonts w:ascii="Foundry Form Sans" w:hAnsi="Foundry Form Sans"/>
          <w:sz w:val="24"/>
          <w:szCs w:val="24"/>
        </w:rPr>
        <w:t>g</w:t>
      </w:r>
      <w:r w:rsidR="00602F89" w:rsidRPr="00821CD8">
        <w:rPr>
          <w:rFonts w:ascii="Foundry Form Sans" w:hAnsi="Foundry Form Sans"/>
          <w:sz w:val="24"/>
          <w:szCs w:val="24"/>
        </w:rPr>
        <w:t>ency and London Thames Gateway D</w:t>
      </w:r>
      <w:r w:rsidR="001728A2" w:rsidRPr="00821CD8">
        <w:rPr>
          <w:rFonts w:ascii="Foundry Form Sans" w:hAnsi="Foundry Form Sans"/>
          <w:sz w:val="24"/>
          <w:szCs w:val="24"/>
        </w:rPr>
        <w:t>evelopment Corporation. In addition</w:t>
      </w:r>
      <w:r w:rsidR="00602F89" w:rsidRPr="00821CD8">
        <w:rPr>
          <w:rFonts w:ascii="Foundry Form Sans" w:hAnsi="Foundry Form Sans"/>
          <w:sz w:val="24"/>
          <w:szCs w:val="24"/>
        </w:rPr>
        <w:t>,</w:t>
      </w:r>
      <w:r w:rsidR="001728A2" w:rsidRPr="00821CD8">
        <w:rPr>
          <w:rFonts w:ascii="Foundry Form Sans" w:hAnsi="Foundry Form Sans"/>
          <w:sz w:val="24"/>
          <w:szCs w:val="24"/>
        </w:rPr>
        <w:t xml:space="preserve"> the GLA acquired the London property assets of the HCA. The vast majority of these </w:t>
      </w:r>
      <w:r w:rsidR="00602F89" w:rsidRPr="00821CD8">
        <w:rPr>
          <w:rFonts w:ascii="Foundry Form Sans" w:hAnsi="Foundry Form Sans"/>
          <w:sz w:val="24"/>
          <w:szCs w:val="24"/>
        </w:rPr>
        <w:t>assets are now held within GLA Land and P</w:t>
      </w:r>
      <w:r w:rsidR="001728A2" w:rsidRPr="00821CD8">
        <w:rPr>
          <w:rFonts w:ascii="Foundry Form Sans" w:hAnsi="Foundry Form Sans"/>
          <w:sz w:val="24"/>
          <w:szCs w:val="24"/>
        </w:rPr>
        <w:t xml:space="preserve">roperty Ltd and form the stock by which the GLA is </w:t>
      </w:r>
      <w:r w:rsidR="000401BA" w:rsidRPr="00821CD8">
        <w:rPr>
          <w:rFonts w:ascii="Foundry Form Sans" w:hAnsi="Foundry Form Sans"/>
          <w:sz w:val="24"/>
          <w:szCs w:val="24"/>
        </w:rPr>
        <w:t>vigorously</w:t>
      </w:r>
      <w:r w:rsidR="001728A2" w:rsidRPr="00821CD8">
        <w:rPr>
          <w:rFonts w:ascii="Foundry Form Sans" w:hAnsi="Foundry Form Sans"/>
          <w:sz w:val="24"/>
          <w:szCs w:val="24"/>
        </w:rPr>
        <w:t xml:space="preserve"> pursuing opportunities to use surplus public sector land to meet the key objectives of:</w:t>
      </w:r>
    </w:p>
    <w:p w:rsidR="001728A2" w:rsidRPr="00821CD8" w:rsidRDefault="000401BA" w:rsidP="00602F89">
      <w:pPr>
        <w:pStyle w:val="ListParagraph"/>
        <w:numPr>
          <w:ilvl w:val="0"/>
          <w:numId w:val="1"/>
        </w:numPr>
        <w:rPr>
          <w:rFonts w:ascii="Foundry Form Sans" w:hAnsi="Foundry Form Sans"/>
          <w:i/>
          <w:sz w:val="24"/>
          <w:szCs w:val="24"/>
        </w:rPr>
      </w:pPr>
      <w:r w:rsidRPr="00821CD8">
        <w:rPr>
          <w:rFonts w:ascii="Foundry Form Sans" w:hAnsi="Foundry Form Sans"/>
          <w:sz w:val="24"/>
          <w:szCs w:val="24"/>
        </w:rPr>
        <w:lastRenderedPageBreak/>
        <w:t>The</w:t>
      </w:r>
      <w:r w:rsidR="001728A2" w:rsidRPr="00821CD8">
        <w:rPr>
          <w:rFonts w:ascii="Foundry Form Sans" w:hAnsi="Foundry Form Sans"/>
          <w:sz w:val="24"/>
          <w:szCs w:val="24"/>
        </w:rPr>
        <w:t xml:space="preserve"> building of a substantial number of new homes within London to meet the increasing demand of Londoners</w:t>
      </w:r>
      <w:r w:rsidR="00B3065D">
        <w:rPr>
          <w:rFonts w:ascii="Foundry Form Sans" w:hAnsi="Foundry Form Sans"/>
          <w:sz w:val="24"/>
          <w:szCs w:val="24"/>
        </w:rPr>
        <w:t>. Including the GLA’s interest in Barking Riverside, the property portfolio inherited in 2012 has the capacity to deliver</w:t>
      </w:r>
      <w:r w:rsidR="00A10DE8">
        <w:rPr>
          <w:rFonts w:ascii="Foundry Form Sans" w:hAnsi="Foundry Form Sans"/>
          <w:i/>
          <w:sz w:val="24"/>
          <w:szCs w:val="24"/>
          <w:u w:val="single"/>
        </w:rPr>
        <w:t xml:space="preserve"> </w:t>
      </w:r>
      <w:r w:rsidR="000B29EE" w:rsidRPr="006E4A84">
        <w:rPr>
          <w:rFonts w:ascii="Foundry Form Sans" w:hAnsi="Foundry Form Sans"/>
          <w:sz w:val="24"/>
          <w:szCs w:val="24"/>
        </w:rPr>
        <w:t>40,000</w:t>
      </w:r>
      <w:r w:rsidR="00B3065D">
        <w:rPr>
          <w:rFonts w:ascii="Foundry Form Sans" w:hAnsi="Foundry Form Sans"/>
          <w:sz w:val="24"/>
          <w:szCs w:val="24"/>
        </w:rPr>
        <w:t xml:space="preserve"> new homes</w:t>
      </w:r>
      <w:r w:rsidR="00156C2C" w:rsidRPr="00821CD8">
        <w:rPr>
          <w:rFonts w:ascii="Foundry Form Sans" w:hAnsi="Foundry Form Sans"/>
          <w:sz w:val="24"/>
          <w:szCs w:val="24"/>
        </w:rPr>
        <w:t>;</w:t>
      </w:r>
    </w:p>
    <w:p w:rsidR="001728A2" w:rsidRPr="00821CD8" w:rsidRDefault="00602F89" w:rsidP="00602F89">
      <w:pPr>
        <w:pStyle w:val="ListParagraph"/>
        <w:numPr>
          <w:ilvl w:val="0"/>
          <w:numId w:val="1"/>
        </w:numPr>
        <w:rPr>
          <w:rFonts w:ascii="Foundry Form Sans" w:hAnsi="Foundry Form Sans"/>
          <w:sz w:val="24"/>
          <w:szCs w:val="24"/>
        </w:rPr>
      </w:pPr>
      <w:r w:rsidRPr="00821CD8">
        <w:rPr>
          <w:rFonts w:ascii="Foundry Form Sans" w:hAnsi="Foundry Form Sans"/>
          <w:sz w:val="24"/>
          <w:szCs w:val="24"/>
        </w:rPr>
        <w:t>T</w:t>
      </w:r>
      <w:r w:rsidR="001728A2" w:rsidRPr="00821CD8">
        <w:rPr>
          <w:rFonts w:ascii="Foundry Form Sans" w:hAnsi="Foundry Form Sans"/>
          <w:sz w:val="24"/>
          <w:szCs w:val="24"/>
        </w:rPr>
        <w:t>o provide opportunities for job creation both in the construction industry and in the delivery of new commercial property</w:t>
      </w:r>
      <w:r w:rsidRPr="00821CD8">
        <w:rPr>
          <w:rFonts w:ascii="Foundry Form Sans" w:hAnsi="Foundry Form Sans"/>
          <w:sz w:val="24"/>
          <w:szCs w:val="24"/>
        </w:rPr>
        <w:t>,</w:t>
      </w:r>
      <w:r w:rsidR="001728A2" w:rsidRPr="00821CD8">
        <w:rPr>
          <w:rFonts w:ascii="Foundry Form Sans" w:hAnsi="Foundry Form Sans"/>
          <w:sz w:val="24"/>
          <w:szCs w:val="24"/>
        </w:rPr>
        <w:t xml:space="preserve"> providing first-class accommodation for businesses seeking to either expand or open new premises in London</w:t>
      </w:r>
      <w:r w:rsidR="00156C2C" w:rsidRPr="00821CD8">
        <w:rPr>
          <w:rFonts w:ascii="Foundry Form Sans" w:hAnsi="Foundry Form Sans"/>
          <w:sz w:val="24"/>
          <w:szCs w:val="24"/>
        </w:rPr>
        <w:t>; and</w:t>
      </w:r>
    </w:p>
    <w:p w:rsidR="001728A2" w:rsidRPr="00821CD8" w:rsidRDefault="000401BA" w:rsidP="00602F89">
      <w:pPr>
        <w:pStyle w:val="ListParagraph"/>
        <w:numPr>
          <w:ilvl w:val="0"/>
          <w:numId w:val="1"/>
        </w:numPr>
        <w:rPr>
          <w:rFonts w:ascii="Foundry Form Sans" w:hAnsi="Foundry Form Sans"/>
          <w:sz w:val="24"/>
          <w:szCs w:val="24"/>
        </w:rPr>
      </w:pPr>
      <w:r w:rsidRPr="00821CD8">
        <w:rPr>
          <w:rFonts w:ascii="Foundry Form Sans" w:hAnsi="Foundry Form Sans"/>
          <w:sz w:val="24"/>
          <w:szCs w:val="24"/>
        </w:rPr>
        <w:t>To</w:t>
      </w:r>
      <w:r w:rsidR="001728A2" w:rsidRPr="00821CD8">
        <w:rPr>
          <w:rFonts w:ascii="Foundry Form Sans" w:hAnsi="Foundry Form Sans"/>
          <w:sz w:val="24"/>
          <w:szCs w:val="24"/>
        </w:rPr>
        <w:t xml:space="preserve"> aid the regeneration o</w:t>
      </w:r>
      <w:r w:rsidR="00602F89" w:rsidRPr="00821CD8">
        <w:rPr>
          <w:rFonts w:ascii="Foundry Form Sans" w:hAnsi="Foundry Form Sans"/>
          <w:sz w:val="24"/>
          <w:szCs w:val="24"/>
        </w:rPr>
        <w:t>f those parts of London that have</w:t>
      </w:r>
      <w:r w:rsidR="001728A2" w:rsidRPr="00821CD8">
        <w:rPr>
          <w:rFonts w:ascii="Foundry Form Sans" w:hAnsi="Foundry Form Sans"/>
          <w:sz w:val="24"/>
          <w:szCs w:val="24"/>
        </w:rPr>
        <w:t xml:space="preserve"> </w:t>
      </w:r>
      <w:r w:rsidR="00B42924" w:rsidRPr="00821CD8">
        <w:rPr>
          <w:rFonts w:ascii="Foundry Form Sans" w:hAnsi="Foundry Form Sans"/>
          <w:sz w:val="24"/>
          <w:szCs w:val="24"/>
        </w:rPr>
        <w:t>suffered decline due to a variety</w:t>
      </w:r>
      <w:r w:rsidR="001728A2" w:rsidRPr="00821CD8">
        <w:rPr>
          <w:rFonts w:ascii="Foundry Form Sans" w:hAnsi="Foundry Form Sans"/>
          <w:sz w:val="24"/>
          <w:szCs w:val="24"/>
        </w:rPr>
        <w:t xml:space="preserve"> of reasons and are now in need of a catalyst to drive forward future growth</w:t>
      </w:r>
    </w:p>
    <w:p w:rsidR="00013360" w:rsidRPr="00821CD8" w:rsidRDefault="000401BA">
      <w:pPr>
        <w:rPr>
          <w:rFonts w:ascii="Foundry Form Sans" w:hAnsi="Foundry Form Sans"/>
          <w:sz w:val="24"/>
          <w:szCs w:val="24"/>
        </w:rPr>
      </w:pPr>
      <w:r w:rsidRPr="00821CD8">
        <w:rPr>
          <w:rFonts w:ascii="Foundry Form Sans" w:hAnsi="Foundry Form Sans"/>
          <w:sz w:val="24"/>
          <w:szCs w:val="24"/>
        </w:rPr>
        <w:t>In</w:t>
      </w:r>
      <w:r w:rsidR="001728A2" w:rsidRPr="00821CD8">
        <w:rPr>
          <w:rFonts w:ascii="Foundry Form Sans" w:hAnsi="Foundry Form Sans"/>
          <w:sz w:val="24"/>
          <w:szCs w:val="24"/>
        </w:rPr>
        <w:t xml:space="preserve"> April 2012 the GLA inherited a property portfolio of 6</w:t>
      </w:r>
      <w:r w:rsidR="000C7CB7">
        <w:rPr>
          <w:rFonts w:ascii="Foundry Form Sans" w:hAnsi="Foundry Form Sans"/>
          <w:sz w:val="24"/>
          <w:szCs w:val="24"/>
        </w:rPr>
        <w:t>3</w:t>
      </w:r>
      <w:r w:rsidR="001728A2" w:rsidRPr="00821CD8">
        <w:rPr>
          <w:rFonts w:ascii="Foundry Form Sans" w:hAnsi="Foundry Form Sans"/>
          <w:sz w:val="24"/>
          <w:szCs w:val="24"/>
        </w:rPr>
        <w:t xml:space="preserve">5 </w:t>
      </w:r>
      <w:r w:rsidR="00D658A7" w:rsidRPr="00821CD8">
        <w:rPr>
          <w:rFonts w:ascii="Foundry Form Sans" w:hAnsi="Foundry Form Sans"/>
          <w:sz w:val="24"/>
          <w:szCs w:val="24"/>
        </w:rPr>
        <w:t>hectares</w:t>
      </w:r>
      <w:r w:rsidR="001728A2" w:rsidRPr="00821CD8">
        <w:rPr>
          <w:rFonts w:ascii="Foundry Form Sans" w:hAnsi="Foundry Form Sans"/>
          <w:sz w:val="24"/>
          <w:szCs w:val="24"/>
        </w:rPr>
        <w:t xml:space="preserve"> of land</w:t>
      </w:r>
      <w:r w:rsidR="000C7CB7">
        <w:rPr>
          <w:rFonts w:ascii="Foundry Form Sans" w:hAnsi="Foundry Form Sans"/>
          <w:sz w:val="24"/>
          <w:szCs w:val="24"/>
        </w:rPr>
        <w:t xml:space="preserve"> (which included c100</w:t>
      </w:r>
      <w:r w:rsidR="003A6F85" w:rsidRPr="00821CD8">
        <w:rPr>
          <w:rFonts w:ascii="Foundry Form Sans" w:hAnsi="Foundry Form Sans"/>
          <w:sz w:val="24"/>
          <w:szCs w:val="24"/>
        </w:rPr>
        <w:t xml:space="preserve"> h</w:t>
      </w:r>
      <w:r w:rsidR="00D658A7" w:rsidRPr="00821CD8">
        <w:rPr>
          <w:rFonts w:ascii="Foundry Form Sans" w:hAnsi="Foundry Form Sans"/>
          <w:sz w:val="24"/>
          <w:szCs w:val="24"/>
        </w:rPr>
        <w:t>ectares</w:t>
      </w:r>
      <w:r w:rsidR="003A6F85" w:rsidRPr="00821CD8">
        <w:rPr>
          <w:rFonts w:ascii="Foundry Form Sans" w:hAnsi="Foundry Form Sans"/>
          <w:sz w:val="24"/>
          <w:szCs w:val="24"/>
        </w:rPr>
        <w:t xml:space="preserve"> of </w:t>
      </w:r>
      <w:r w:rsidR="007D1534" w:rsidRPr="00821CD8">
        <w:rPr>
          <w:rFonts w:ascii="Foundry Form Sans" w:hAnsi="Foundry Form Sans"/>
          <w:sz w:val="24"/>
          <w:szCs w:val="24"/>
        </w:rPr>
        <w:t>dock bed</w:t>
      </w:r>
      <w:r w:rsidR="000C7CB7">
        <w:rPr>
          <w:rFonts w:ascii="Foundry Form Sans" w:hAnsi="Foundry Form Sans"/>
          <w:sz w:val="24"/>
          <w:szCs w:val="24"/>
        </w:rPr>
        <w:t xml:space="preserve"> but excluded infrastructure</w:t>
      </w:r>
      <w:r w:rsidR="003A6F85" w:rsidRPr="00821CD8">
        <w:rPr>
          <w:rFonts w:ascii="Foundry Form Sans" w:hAnsi="Foundry Form Sans"/>
          <w:sz w:val="24"/>
          <w:szCs w:val="24"/>
        </w:rPr>
        <w:t>)</w:t>
      </w:r>
      <w:r w:rsidR="00DA557E">
        <w:rPr>
          <w:rFonts w:ascii="Foundry Form Sans" w:hAnsi="Foundry Form Sans"/>
          <w:sz w:val="24"/>
          <w:szCs w:val="24"/>
        </w:rPr>
        <w:t xml:space="preserve"> with a value at the time of £365</w:t>
      </w:r>
      <w:r w:rsidR="00BC1C5F" w:rsidRPr="00821CD8">
        <w:rPr>
          <w:rFonts w:ascii="Foundry Form Sans" w:hAnsi="Foundry Form Sans"/>
          <w:sz w:val="24"/>
          <w:szCs w:val="24"/>
        </w:rPr>
        <w:t>m</w:t>
      </w:r>
      <w:r w:rsidR="001728A2" w:rsidRPr="00821CD8">
        <w:rPr>
          <w:rFonts w:ascii="Foundry Form Sans" w:hAnsi="Foundry Form Sans"/>
          <w:sz w:val="24"/>
          <w:szCs w:val="24"/>
        </w:rPr>
        <w:t xml:space="preserve">. Between April 2012 and March 2013 approximately 100 </w:t>
      </w:r>
      <w:r w:rsidR="00D658A7" w:rsidRPr="00821CD8">
        <w:rPr>
          <w:rFonts w:ascii="Foundry Form Sans" w:hAnsi="Foundry Form Sans"/>
          <w:sz w:val="24"/>
          <w:szCs w:val="24"/>
        </w:rPr>
        <w:t>hectares</w:t>
      </w:r>
      <w:r w:rsidR="001728A2" w:rsidRPr="00821CD8">
        <w:rPr>
          <w:rFonts w:ascii="Foundry Form Sans" w:hAnsi="Foundry Form Sans"/>
          <w:sz w:val="24"/>
          <w:szCs w:val="24"/>
        </w:rPr>
        <w:t xml:space="preserve"> was contractually </w:t>
      </w:r>
      <w:r w:rsidR="00602F89" w:rsidRPr="00821CD8">
        <w:rPr>
          <w:rFonts w:ascii="Foundry Form Sans" w:hAnsi="Foundry Form Sans"/>
          <w:sz w:val="24"/>
          <w:szCs w:val="24"/>
        </w:rPr>
        <w:t>committed</w:t>
      </w:r>
      <w:r w:rsidR="00156C2C" w:rsidRPr="00821CD8">
        <w:rPr>
          <w:rFonts w:ascii="Foundry Form Sans" w:hAnsi="Foundry Form Sans"/>
          <w:sz w:val="24"/>
          <w:szCs w:val="24"/>
        </w:rPr>
        <w:t xml:space="preserve"> for development</w:t>
      </w:r>
      <w:r w:rsidR="00602F89" w:rsidRPr="00821CD8">
        <w:rPr>
          <w:rFonts w:ascii="Foundry Form Sans" w:hAnsi="Foundry Form Sans"/>
          <w:sz w:val="24"/>
          <w:szCs w:val="24"/>
        </w:rPr>
        <w:t>,</w:t>
      </w:r>
      <w:r w:rsidR="001728A2" w:rsidRPr="00821CD8">
        <w:rPr>
          <w:rFonts w:ascii="Foundry Form Sans" w:hAnsi="Foundry Form Sans"/>
          <w:sz w:val="24"/>
          <w:szCs w:val="24"/>
        </w:rPr>
        <w:t xml:space="preserve"> delivering £1 billion of gross develo</w:t>
      </w:r>
      <w:r w:rsidR="00602F89" w:rsidRPr="00821CD8">
        <w:rPr>
          <w:rFonts w:ascii="Foundry Form Sans" w:hAnsi="Foundry Form Sans"/>
          <w:sz w:val="24"/>
          <w:szCs w:val="24"/>
        </w:rPr>
        <w:t xml:space="preserve">pment value. </w:t>
      </w:r>
    </w:p>
    <w:p w:rsidR="00013360" w:rsidRPr="00821CD8" w:rsidRDefault="00013360">
      <w:pPr>
        <w:rPr>
          <w:rFonts w:ascii="Foundry Form Sans" w:hAnsi="Foundry Form Sans"/>
          <w:b/>
          <w:sz w:val="24"/>
          <w:szCs w:val="24"/>
        </w:rPr>
      </w:pPr>
      <w:r w:rsidRPr="00821CD8">
        <w:rPr>
          <w:rFonts w:ascii="Foundry Form Sans" w:hAnsi="Foundry Form Sans"/>
          <w:b/>
          <w:sz w:val="24"/>
          <w:szCs w:val="24"/>
        </w:rPr>
        <w:t>Portfolio Details</w:t>
      </w:r>
    </w:p>
    <w:p w:rsidR="00013360" w:rsidRPr="00821CD8" w:rsidRDefault="00013360">
      <w:pPr>
        <w:rPr>
          <w:rFonts w:ascii="Foundry Form Sans" w:hAnsi="Foundry Form Sans"/>
          <w:sz w:val="24"/>
          <w:szCs w:val="24"/>
        </w:rPr>
      </w:pPr>
      <w:r w:rsidRPr="00821CD8">
        <w:rPr>
          <w:rFonts w:ascii="Foundry Form Sans" w:hAnsi="Foundry Form Sans"/>
          <w:sz w:val="24"/>
          <w:szCs w:val="24"/>
        </w:rPr>
        <w:t>In order to manage the portfolio effectively, the property assets have been allocated to one of five categories. These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6071"/>
      </w:tblGrid>
      <w:tr w:rsidR="00013360" w:rsidRPr="00821CD8" w:rsidTr="00013360">
        <w:trPr>
          <w:tblCellSpacing w:w="15" w:type="dxa"/>
        </w:trPr>
        <w:tc>
          <w:tcPr>
            <w:tcW w:w="3000" w:type="dxa"/>
            <w:hideMark/>
          </w:tcPr>
          <w:p w:rsidR="00013360" w:rsidRPr="00821CD8" w:rsidRDefault="00013360" w:rsidP="00013360">
            <w:pPr>
              <w:spacing w:after="0" w:line="240" w:lineRule="auto"/>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Saleable asset</w:t>
            </w:r>
          </w:p>
        </w:tc>
        <w:tc>
          <w:tcPr>
            <w:tcW w:w="0" w:type="auto"/>
            <w:hideMark/>
          </w:tcPr>
          <w:p w:rsidR="00013360" w:rsidRPr="00821CD8" w:rsidRDefault="00013360" w:rsidP="00013360">
            <w:pPr>
              <w:spacing w:after="0" w:line="240" w:lineRule="auto"/>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Property subject to review but potential future disposal</w:t>
            </w:r>
            <w:r w:rsidR="004676E4" w:rsidRPr="00821CD8">
              <w:rPr>
                <w:rFonts w:ascii="Foundry Form Sans" w:eastAsia="Times New Roman" w:hAnsi="Foundry Form Sans" w:cs="Arial"/>
                <w:sz w:val="24"/>
                <w:szCs w:val="24"/>
                <w:lang w:eastAsia="en-GB"/>
              </w:rPr>
              <w:t>. Examples of saleable assets include:</w:t>
            </w:r>
          </w:p>
          <w:p w:rsidR="00972A11" w:rsidRPr="00821CD8" w:rsidRDefault="00972A11" w:rsidP="00013360">
            <w:pPr>
              <w:spacing w:after="0" w:line="240" w:lineRule="auto"/>
              <w:rPr>
                <w:rFonts w:ascii="Foundry Form Sans" w:eastAsia="Times New Roman" w:hAnsi="Foundry Form Sans" w:cs="Arial"/>
                <w:sz w:val="24"/>
                <w:szCs w:val="24"/>
                <w:lang w:eastAsia="en-GB"/>
              </w:rPr>
            </w:pPr>
          </w:p>
          <w:p w:rsidR="007935C3" w:rsidRPr="00821CD8" w:rsidRDefault="007935C3" w:rsidP="00013360">
            <w:pPr>
              <w:spacing w:after="0" w:line="240" w:lineRule="auto"/>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 xml:space="preserve">Stephenson St – </w:t>
            </w:r>
            <w:r w:rsidR="00A109C5">
              <w:rPr>
                <w:rFonts w:ascii="Foundry Form Sans" w:eastAsia="Times New Roman" w:hAnsi="Foundry Form Sans" w:cs="Arial"/>
                <w:i/>
                <w:sz w:val="24"/>
                <w:szCs w:val="24"/>
                <w:lang w:eastAsia="en-GB"/>
              </w:rPr>
              <w:t>brief description and hyper</w:t>
            </w:r>
            <w:r w:rsidRPr="00A109C5">
              <w:rPr>
                <w:rFonts w:ascii="Foundry Form Sans" w:eastAsia="Times New Roman" w:hAnsi="Foundry Form Sans" w:cs="Arial"/>
                <w:i/>
                <w:sz w:val="24"/>
                <w:szCs w:val="24"/>
                <w:lang w:eastAsia="en-GB"/>
              </w:rPr>
              <w:t>link to template</w:t>
            </w:r>
          </w:p>
          <w:p w:rsidR="00BF765C" w:rsidRPr="00821CD8" w:rsidRDefault="00BF765C" w:rsidP="00013360">
            <w:pPr>
              <w:spacing w:after="0" w:line="240" w:lineRule="auto"/>
              <w:rPr>
                <w:rFonts w:ascii="Foundry Form Sans" w:eastAsia="Times New Roman" w:hAnsi="Foundry Form Sans" w:cs="Arial"/>
                <w:sz w:val="24"/>
                <w:szCs w:val="24"/>
                <w:lang w:eastAsia="en-GB"/>
              </w:rPr>
            </w:pPr>
          </w:p>
          <w:p w:rsidR="004676E4" w:rsidRPr="00821CD8" w:rsidRDefault="002A64A1" w:rsidP="00013360">
            <w:pPr>
              <w:spacing w:after="0" w:line="240" w:lineRule="auto"/>
              <w:rPr>
                <w:rFonts w:ascii="Foundry Form Sans" w:eastAsia="Times New Roman" w:hAnsi="Foundry Form Sans" w:cs="Arial"/>
                <w:sz w:val="24"/>
                <w:szCs w:val="24"/>
                <w:lang w:eastAsia="en-GB"/>
              </w:rPr>
            </w:pPr>
            <w:r>
              <w:rPr>
                <w:rFonts w:ascii="Foundry Form Sans" w:eastAsia="Times New Roman" w:hAnsi="Foundry Form Sans" w:cs="Arial"/>
                <w:sz w:val="24"/>
                <w:szCs w:val="24"/>
                <w:lang w:eastAsia="en-GB"/>
              </w:rPr>
              <w:t xml:space="preserve">Armada 2 – 3.3 hectares of brownfield land, part safeguarded in respect of a proposed new Thames river crossing. Currently being considered for educational/employment uses </w:t>
            </w:r>
          </w:p>
          <w:p w:rsidR="00972A11" w:rsidRPr="00821CD8" w:rsidRDefault="00972A11" w:rsidP="00013360">
            <w:pPr>
              <w:spacing w:after="0" w:line="240" w:lineRule="auto"/>
              <w:rPr>
                <w:rFonts w:ascii="Foundry Form Sans" w:eastAsia="Times New Roman" w:hAnsi="Foundry Form Sans" w:cs="Arial"/>
                <w:sz w:val="24"/>
                <w:szCs w:val="24"/>
                <w:lang w:eastAsia="en-GB"/>
              </w:rPr>
            </w:pPr>
          </w:p>
          <w:p w:rsidR="004676E4" w:rsidRPr="00821CD8" w:rsidRDefault="004676E4" w:rsidP="00013360">
            <w:pPr>
              <w:spacing w:after="0" w:line="240" w:lineRule="auto"/>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Quicksilver Place – a detached industrial building, currently held as an investment</w:t>
            </w:r>
            <w:r w:rsidR="00EC31CA" w:rsidRPr="00821CD8">
              <w:rPr>
                <w:rFonts w:ascii="Foundry Form Sans" w:eastAsia="Times New Roman" w:hAnsi="Foundry Form Sans" w:cs="Arial"/>
                <w:sz w:val="24"/>
                <w:szCs w:val="24"/>
                <w:lang w:eastAsia="en-GB"/>
              </w:rPr>
              <w:t xml:space="preserve"> but not seen as a long term hold</w:t>
            </w:r>
          </w:p>
          <w:p w:rsidR="00BF765C" w:rsidRPr="00821CD8" w:rsidRDefault="00BF765C" w:rsidP="00013360">
            <w:pPr>
              <w:spacing w:after="0" w:line="240" w:lineRule="auto"/>
              <w:rPr>
                <w:rFonts w:ascii="Foundry Form Sans" w:eastAsia="Times New Roman" w:hAnsi="Foundry Form Sans" w:cs="Arial"/>
                <w:sz w:val="24"/>
                <w:szCs w:val="24"/>
                <w:lang w:eastAsia="en-GB"/>
              </w:rPr>
            </w:pPr>
          </w:p>
        </w:tc>
      </w:tr>
      <w:tr w:rsidR="00013360" w:rsidRPr="00821CD8" w:rsidTr="00013360">
        <w:trPr>
          <w:tblCellSpacing w:w="15" w:type="dxa"/>
        </w:trPr>
        <w:tc>
          <w:tcPr>
            <w:tcW w:w="0" w:type="auto"/>
            <w:hideMark/>
          </w:tcPr>
          <w:p w:rsidR="00013360" w:rsidRPr="00821CD8" w:rsidRDefault="00013360" w:rsidP="00013360">
            <w:pPr>
              <w:spacing w:after="0" w:line="240" w:lineRule="auto"/>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Investment</w:t>
            </w:r>
          </w:p>
        </w:tc>
        <w:tc>
          <w:tcPr>
            <w:tcW w:w="0" w:type="auto"/>
            <w:hideMark/>
          </w:tcPr>
          <w:p w:rsidR="00013360" w:rsidRPr="00821CD8" w:rsidRDefault="00013360" w:rsidP="00013360">
            <w:pPr>
              <w:spacing w:after="0" w:line="240" w:lineRule="auto"/>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Income producing asset that provides revenue for reinvestment in other projects</w:t>
            </w:r>
            <w:r w:rsidR="004676E4" w:rsidRPr="00821CD8">
              <w:rPr>
                <w:rFonts w:ascii="Foundry Form Sans" w:eastAsia="Times New Roman" w:hAnsi="Foundry Form Sans" w:cs="Arial"/>
                <w:sz w:val="24"/>
                <w:szCs w:val="24"/>
                <w:lang w:eastAsia="en-GB"/>
              </w:rPr>
              <w:t>. A major source of income for the GLA is its retained interest in the ExCel Centre complex</w:t>
            </w:r>
          </w:p>
          <w:p w:rsidR="00BF765C" w:rsidRPr="00821CD8" w:rsidRDefault="00BF765C" w:rsidP="00013360">
            <w:pPr>
              <w:spacing w:after="0" w:line="240" w:lineRule="auto"/>
              <w:rPr>
                <w:rFonts w:ascii="Foundry Form Sans" w:eastAsia="Times New Roman" w:hAnsi="Foundry Form Sans" w:cs="Arial"/>
                <w:sz w:val="24"/>
                <w:szCs w:val="24"/>
                <w:lang w:eastAsia="en-GB"/>
              </w:rPr>
            </w:pPr>
          </w:p>
        </w:tc>
      </w:tr>
      <w:tr w:rsidR="00013360" w:rsidRPr="00821CD8" w:rsidTr="00013360">
        <w:trPr>
          <w:tblCellSpacing w:w="15" w:type="dxa"/>
        </w:trPr>
        <w:tc>
          <w:tcPr>
            <w:tcW w:w="0" w:type="auto"/>
            <w:hideMark/>
          </w:tcPr>
          <w:p w:rsidR="00013360" w:rsidRPr="00821CD8" w:rsidRDefault="00013360" w:rsidP="00013360">
            <w:pPr>
              <w:spacing w:after="0" w:line="240" w:lineRule="auto"/>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Subject to disposal process</w:t>
            </w:r>
          </w:p>
        </w:tc>
        <w:tc>
          <w:tcPr>
            <w:tcW w:w="0" w:type="auto"/>
            <w:hideMark/>
          </w:tcPr>
          <w:p w:rsidR="00013360" w:rsidRPr="00821CD8" w:rsidRDefault="00013360" w:rsidP="00013360">
            <w:pPr>
              <w:spacing w:after="0" w:line="240" w:lineRule="auto"/>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Property either in the course of development or currently being disposed of</w:t>
            </w:r>
            <w:r w:rsidR="004676E4" w:rsidRPr="00821CD8">
              <w:rPr>
                <w:rFonts w:ascii="Foundry Form Sans" w:eastAsia="Times New Roman" w:hAnsi="Foundry Form Sans" w:cs="Arial"/>
                <w:sz w:val="24"/>
                <w:szCs w:val="24"/>
                <w:lang w:eastAsia="en-GB"/>
              </w:rPr>
              <w:t>. Examples of properties currently subject to disposal process include:</w:t>
            </w:r>
          </w:p>
          <w:p w:rsidR="00972A11" w:rsidRPr="00821CD8" w:rsidRDefault="00972A11" w:rsidP="00013360">
            <w:pPr>
              <w:spacing w:after="0" w:line="240" w:lineRule="auto"/>
              <w:rPr>
                <w:rFonts w:ascii="Foundry Form Sans" w:eastAsia="Times New Roman" w:hAnsi="Foundry Form Sans" w:cs="Arial"/>
                <w:sz w:val="24"/>
                <w:szCs w:val="24"/>
                <w:lang w:eastAsia="en-GB"/>
              </w:rPr>
            </w:pPr>
          </w:p>
          <w:p w:rsidR="0075010B" w:rsidRPr="00821CD8" w:rsidRDefault="004676E4" w:rsidP="00013360">
            <w:pPr>
              <w:spacing w:after="0" w:line="240" w:lineRule="auto"/>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White</w:t>
            </w:r>
            <w:r w:rsidR="0075010B" w:rsidRPr="00821CD8">
              <w:rPr>
                <w:rFonts w:ascii="Foundry Form Sans" w:eastAsia="Times New Roman" w:hAnsi="Foundry Form Sans" w:cs="Arial"/>
                <w:sz w:val="24"/>
                <w:szCs w:val="24"/>
                <w:lang w:eastAsia="en-GB"/>
              </w:rPr>
              <w:t xml:space="preserve"> H</w:t>
            </w:r>
            <w:r w:rsidRPr="00821CD8">
              <w:rPr>
                <w:rFonts w:ascii="Foundry Form Sans" w:eastAsia="Times New Roman" w:hAnsi="Foundry Form Sans" w:cs="Arial"/>
                <w:sz w:val="24"/>
                <w:szCs w:val="24"/>
                <w:lang w:eastAsia="en-GB"/>
              </w:rPr>
              <w:t>art Triangle – a joint venture with Tilfen Land</w:t>
            </w:r>
            <w:r w:rsidR="0075010B" w:rsidRPr="00821CD8">
              <w:rPr>
                <w:rFonts w:ascii="Foundry Form Sans" w:eastAsia="Times New Roman" w:hAnsi="Foundry Form Sans" w:cs="Arial"/>
                <w:sz w:val="24"/>
                <w:szCs w:val="24"/>
                <w:lang w:eastAsia="en-GB"/>
              </w:rPr>
              <w:t xml:space="preserve">, delivering new industrial units. </w:t>
            </w:r>
            <w:hyperlink r:id="rId9" w:history="1">
              <w:r w:rsidR="0075010B" w:rsidRPr="00821CD8">
                <w:rPr>
                  <w:rStyle w:val="Hyperlink"/>
                  <w:rFonts w:ascii="Foundry Form Sans" w:eastAsia="Times New Roman" w:hAnsi="Foundry Form Sans" w:cs="Arial"/>
                  <w:sz w:val="24"/>
                  <w:szCs w:val="24"/>
                  <w:lang w:eastAsia="en-GB"/>
                </w:rPr>
                <w:t>http://whiteharttriangle.com/</w:t>
              </w:r>
            </w:hyperlink>
          </w:p>
          <w:p w:rsidR="00B41F3E" w:rsidRPr="00821CD8" w:rsidRDefault="00B41F3E" w:rsidP="00013360">
            <w:pPr>
              <w:spacing w:after="0" w:line="240" w:lineRule="auto"/>
              <w:rPr>
                <w:rFonts w:ascii="Foundry Form Sans" w:eastAsia="Times New Roman" w:hAnsi="Foundry Form Sans" w:cs="Arial"/>
                <w:sz w:val="24"/>
                <w:szCs w:val="24"/>
                <w:lang w:eastAsia="en-GB"/>
              </w:rPr>
            </w:pPr>
          </w:p>
          <w:p w:rsidR="00A505EE" w:rsidRDefault="0075010B" w:rsidP="009C2CE4">
            <w:pPr>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 xml:space="preserve">Silvertown Quays – </w:t>
            </w:r>
            <w:r w:rsidRPr="00821CD8">
              <w:rPr>
                <w:rFonts w:ascii="Foundry Form Sans" w:hAnsi="Foundry Form Sans" w:cs="Arial"/>
                <w:sz w:val="24"/>
                <w:szCs w:val="24"/>
                <w:lang w:val="en"/>
              </w:rPr>
              <w:t>The Mayor, has confirmed a £1.5bn deal with The Silvertown Partnership to transform Silvertown Quays in London’s Royal Docks into a new innovation quarter and destination for global brands, creating over 9,000 new jobs and boosting the UK economy by £6.5bn when complete</w:t>
            </w:r>
            <w:r w:rsidR="004676E4" w:rsidRPr="00821CD8">
              <w:rPr>
                <w:rFonts w:ascii="Foundry Form Sans" w:eastAsia="Times New Roman" w:hAnsi="Foundry Form Sans" w:cs="Arial"/>
                <w:sz w:val="24"/>
                <w:szCs w:val="24"/>
                <w:lang w:eastAsia="en-GB"/>
              </w:rPr>
              <w:t xml:space="preserve"> </w:t>
            </w:r>
            <w:r w:rsidRPr="00821CD8">
              <w:rPr>
                <w:rFonts w:ascii="Foundry Form Sans" w:eastAsia="Times New Roman" w:hAnsi="Foundry Form Sans" w:cs="Arial"/>
                <w:sz w:val="24"/>
                <w:szCs w:val="24"/>
                <w:lang w:eastAsia="en-GB"/>
              </w:rPr>
              <w:t xml:space="preserve"> - </w:t>
            </w:r>
            <w:hyperlink r:id="rId10" w:history="1">
              <w:r w:rsidR="00A505EE" w:rsidRPr="0034791B">
                <w:rPr>
                  <w:rStyle w:val="Hyperlink"/>
                  <w:rFonts w:ascii="Foundry Form Sans" w:eastAsia="Times New Roman" w:hAnsi="Foundry Form Sans" w:cs="Arial"/>
                  <w:sz w:val="24"/>
                  <w:szCs w:val="24"/>
                  <w:lang w:eastAsia="en-GB"/>
                </w:rPr>
                <w:t>http://www.london.gov.uk/priorities/housing-land/land-</w:t>
              </w:r>
              <w:r w:rsidR="00A505EE" w:rsidRPr="0034791B">
                <w:rPr>
                  <w:rStyle w:val="Hyperlink"/>
                  <w:rFonts w:ascii="Foundry Form Sans" w:eastAsia="Times New Roman" w:hAnsi="Foundry Form Sans" w:cs="Arial"/>
                  <w:sz w:val="24"/>
                  <w:szCs w:val="24"/>
                  <w:lang w:eastAsia="en-GB"/>
                </w:rPr>
                <w:lastRenderedPageBreak/>
                <w:t>assets/silvertown-quays</w:t>
              </w:r>
            </w:hyperlink>
          </w:p>
          <w:p w:rsidR="007935C3" w:rsidRPr="00821CD8" w:rsidRDefault="007935C3" w:rsidP="009C2CE4">
            <w:pPr>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 xml:space="preserve">Cane Hill – </w:t>
            </w:r>
            <w:r w:rsidR="00BF765C" w:rsidRPr="00A109C5">
              <w:rPr>
                <w:rFonts w:ascii="Foundry Form Sans" w:eastAsia="Times New Roman" w:hAnsi="Foundry Form Sans" w:cs="Arial"/>
                <w:i/>
                <w:sz w:val="24"/>
                <w:szCs w:val="24"/>
                <w:lang w:eastAsia="en-GB"/>
              </w:rPr>
              <w:t xml:space="preserve">brief description and </w:t>
            </w:r>
            <w:r w:rsidRPr="00A109C5">
              <w:rPr>
                <w:rFonts w:ascii="Foundry Form Sans" w:eastAsia="Times New Roman" w:hAnsi="Foundry Form Sans" w:cs="Arial"/>
                <w:i/>
                <w:sz w:val="24"/>
                <w:szCs w:val="24"/>
                <w:lang w:eastAsia="en-GB"/>
              </w:rPr>
              <w:t>hyper link to template</w:t>
            </w:r>
          </w:p>
        </w:tc>
      </w:tr>
      <w:tr w:rsidR="00013360" w:rsidRPr="00821CD8" w:rsidTr="00013360">
        <w:trPr>
          <w:tblCellSpacing w:w="15" w:type="dxa"/>
        </w:trPr>
        <w:tc>
          <w:tcPr>
            <w:tcW w:w="0" w:type="auto"/>
            <w:hideMark/>
          </w:tcPr>
          <w:p w:rsidR="00013360" w:rsidRPr="00821CD8" w:rsidRDefault="00013360" w:rsidP="00013360">
            <w:pPr>
              <w:spacing w:after="0" w:line="240" w:lineRule="auto"/>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lastRenderedPageBreak/>
              <w:t>Operational asset</w:t>
            </w:r>
          </w:p>
        </w:tc>
        <w:tc>
          <w:tcPr>
            <w:tcW w:w="0" w:type="auto"/>
            <w:hideMark/>
          </w:tcPr>
          <w:p w:rsidR="00013360" w:rsidRPr="00821CD8" w:rsidRDefault="00013360" w:rsidP="009C2CE4">
            <w:pPr>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Property currently allocated for operational use</w:t>
            </w:r>
            <w:r w:rsidR="0075010B" w:rsidRPr="00821CD8">
              <w:rPr>
                <w:rFonts w:ascii="Foundry Form Sans" w:eastAsia="Times New Roman" w:hAnsi="Foundry Form Sans" w:cs="Arial"/>
                <w:sz w:val="24"/>
                <w:szCs w:val="24"/>
                <w:lang w:eastAsia="en-GB"/>
              </w:rPr>
              <w:t>. GLA Land &amp; Property Ltd has few operational properties (City Hall is not a GLAP asset and is therefore excluded from this strategy)</w:t>
            </w:r>
            <w:r w:rsidR="00481AFD" w:rsidRPr="00821CD8">
              <w:rPr>
                <w:rFonts w:ascii="Foundry Form Sans" w:eastAsia="Times New Roman" w:hAnsi="Foundry Form Sans" w:cs="Arial"/>
                <w:sz w:val="24"/>
                <w:szCs w:val="24"/>
                <w:lang w:eastAsia="en-GB"/>
              </w:rPr>
              <w:t>. The two main ones being the National Sports Centre</w:t>
            </w:r>
            <w:r w:rsidR="007935C3" w:rsidRPr="00821CD8">
              <w:rPr>
                <w:rFonts w:ascii="Foundry Form Sans" w:eastAsia="Times New Roman" w:hAnsi="Foundry Form Sans" w:cs="Arial"/>
                <w:sz w:val="24"/>
                <w:szCs w:val="24"/>
                <w:lang w:eastAsia="en-GB"/>
              </w:rPr>
              <w:t xml:space="preserve"> (NSC)</w:t>
            </w:r>
            <w:r w:rsidR="00481AFD" w:rsidRPr="00821CD8">
              <w:rPr>
                <w:rFonts w:ascii="Foundry Form Sans" w:eastAsia="Times New Roman" w:hAnsi="Foundry Form Sans" w:cs="Arial"/>
                <w:sz w:val="24"/>
                <w:szCs w:val="24"/>
                <w:lang w:eastAsia="en-GB"/>
              </w:rPr>
              <w:t>, Crystal Palace and Thames Barrier Park. The NSC is man</w:t>
            </w:r>
            <w:r w:rsidR="007935C3" w:rsidRPr="00821CD8">
              <w:rPr>
                <w:rFonts w:ascii="Foundry Form Sans" w:eastAsia="Times New Roman" w:hAnsi="Foundry Form Sans" w:cs="Arial"/>
                <w:sz w:val="24"/>
                <w:szCs w:val="24"/>
                <w:lang w:eastAsia="en-GB"/>
              </w:rPr>
              <w:t>a</w:t>
            </w:r>
            <w:r w:rsidR="00481AFD" w:rsidRPr="00821CD8">
              <w:rPr>
                <w:rFonts w:ascii="Foundry Form Sans" w:eastAsia="Times New Roman" w:hAnsi="Foundry Form Sans" w:cs="Arial"/>
                <w:sz w:val="24"/>
                <w:szCs w:val="24"/>
                <w:lang w:eastAsia="en-GB"/>
              </w:rPr>
              <w:t>ged by GLL on behalf of the GLA and further details can be found on their website (</w:t>
            </w:r>
            <w:hyperlink r:id="rId11" w:history="1">
              <w:r w:rsidR="00972A11" w:rsidRPr="00821CD8">
                <w:rPr>
                  <w:rStyle w:val="Hyperlink"/>
                  <w:rFonts w:ascii="Foundry Form Sans" w:eastAsia="Times New Roman" w:hAnsi="Foundry Form Sans" w:cs="Arial"/>
                  <w:sz w:val="24"/>
                  <w:szCs w:val="24"/>
                  <w:lang w:eastAsia="en-GB"/>
                </w:rPr>
                <w:t>http://www.better.org.uk/leisure/crystal-palace-national-sports-centre</w:t>
              </w:r>
            </w:hyperlink>
            <w:r w:rsidR="00481AFD" w:rsidRPr="00821CD8">
              <w:rPr>
                <w:rFonts w:ascii="Foundry Form Sans" w:eastAsia="Times New Roman" w:hAnsi="Foundry Form Sans" w:cs="Arial"/>
                <w:sz w:val="24"/>
                <w:szCs w:val="24"/>
                <w:lang w:eastAsia="en-GB"/>
              </w:rPr>
              <w:t>)</w:t>
            </w:r>
          </w:p>
          <w:p w:rsidR="00972A11" w:rsidRPr="00821CD8" w:rsidRDefault="00972A11" w:rsidP="009C2CE4">
            <w:pPr>
              <w:rPr>
                <w:rFonts w:ascii="Foundry Form Sans" w:eastAsia="Times New Roman" w:hAnsi="Foundry Form Sans" w:cs="Arial"/>
                <w:sz w:val="24"/>
                <w:szCs w:val="24"/>
                <w:lang w:eastAsia="en-GB"/>
              </w:rPr>
            </w:pPr>
          </w:p>
        </w:tc>
      </w:tr>
      <w:tr w:rsidR="00013360" w:rsidRPr="00821CD8" w:rsidTr="00013360">
        <w:trPr>
          <w:tblCellSpacing w:w="15" w:type="dxa"/>
        </w:trPr>
        <w:tc>
          <w:tcPr>
            <w:tcW w:w="0" w:type="auto"/>
            <w:hideMark/>
          </w:tcPr>
          <w:p w:rsidR="00013360" w:rsidRPr="00821CD8" w:rsidRDefault="00013360" w:rsidP="00013360">
            <w:pPr>
              <w:spacing w:after="0" w:line="240" w:lineRule="auto"/>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Limited marketability</w:t>
            </w:r>
          </w:p>
        </w:tc>
        <w:tc>
          <w:tcPr>
            <w:tcW w:w="0" w:type="auto"/>
            <w:hideMark/>
          </w:tcPr>
          <w:p w:rsidR="00013360" w:rsidRDefault="00013360" w:rsidP="00013360">
            <w:pPr>
              <w:spacing w:after="0" w:line="240" w:lineRule="auto"/>
              <w:rPr>
                <w:rFonts w:ascii="Foundry Form Sans" w:eastAsia="Times New Roman" w:hAnsi="Foundry Form Sans" w:cs="Arial"/>
                <w:sz w:val="24"/>
                <w:szCs w:val="24"/>
                <w:lang w:eastAsia="en-GB"/>
              </w:rPr>
            </w:pPr>
            <w:r w:rsidRPr="00821CD8">
              <w:rPr>
                <w:rFonts w:ascii="Foundry Form Sans" w:eastAsia="Times New Roman" w:hAnsi="Foundry Form Sans" w:cs="Arial"/>
                <w:sz w:val="24"/>
                <w:szCs w:val="24"/>
                <w:lang w:eastAsia="en-GB"/>
              </w:rPr>
              <w:t>Property interests with nominal value or retained to protect previous public sector investment</w:t>
            </w:r>
            <w:r w:rsidR="00167CA5">
              <w:rPr>
                <w:rFonts w:ascii="Foundry Form Sans" w:eastAsia="Times New Roman" w:hAnsi="Foundry Form Sans" w:cs="Arial"/>
                <w:sz w:val="24"/>
                <w:szCs w:val="24"/>
                <w:lang w:eastAsia="en-GB"/>
              </w:rPr>
              <w:t>. Examples of properties within this category include:</w:t>
            </w:r>
          </w:p>
          <w:p w:rsidR="00167CA5" w:rsidRDefault="00167CA5" w:rsidP="00013360">
            <w:pPr>
              <w:spacing w:after="0" w:line="240" w:lineRule="auto"/>
              <w:rPr>
                <w:rFonts w:ascii="Foundry Form Sans" w:eastAsia="Times New Roman" w:hAnsi="Foundry Form Sans" w:cs="Arial"/>
                <w:sz w:val="24"/>
                <w:szCs w:val="24"/>
                <w:lang w:eastAsia="en-GB"/>
              </w:rPr>
            </w:pPr>
          </w:p>
          <w:p w:rsidR="00167CA5" w:rsidRDefault="00FF5BDA" w:rsidP="00013360">
            <w:pPr>
              <w:spacing w:after="0" w:line="240" w:lineRule="auto"/>
              <w:rPr>
                <w:rFonts w:ascii="Foundry Form Sans" w:eastAsia="Times New Roman" w:hAnsi="Foundry Form Sans" w:cs="Arial"/>
                <w:sz w:val="24"/>
                <w:szCs w:val="24"/>
                <w:lang w:eastAsia="en-GB"/>
              </w:rPr>
            </w:pPr>
            <w:r>
              <w:rPr>
                <w:rFonts w:ascii="Foundry Form Sans" w:eastAsia="Times New Roman" w:hAnsi="Foundry Form Sans" w:cs="Arial"/>
                <w:sz w:val="24"/>
                <w:szCs w:val="24"/>
                <w:lang w:eastAsia="en-GB"/>
              </w:rPr>
              <w:t>Royal Docks Waterways – c100 hectares of water, let on a long lease to Royal Docks Management Authority (</w:t>
            </w:r>
            <w:hyperlink r:id="rId12" w:history="1">
              <w:r w:rsidRPr="006035A2">
                <w:rPr>
                  <w:rStyle w:val="Hyperlink"/>
                  <w:rFonts w:ascii="Foundry Form Sans" w:eastAsia="Times New Roman" w:hAnsi="Foundry Form Sans" w:cs="Arial"/>
                  <w:sz w:val="24"/>
                  <w:szCs w:val="24"/>
                  <w:lang w:eastAsia="en-GB"/>
                </w:rPr>
                <w:t>http://www.londonsroyaldocks.co.uk/</w:t>
              </w:r>
            </w:hyperlink>
            <w:r>
              <w:rPr>
                <w:rFonts w:ascii="Foundry Form Sans" w:eastAsia="Times New Roman" w:hAnsi="Foundry Form Sans" w:cs="Arial"/>
                <w:sz w:val="24"/>
                <w:szCs w:val="24"/>
                <w:lang w:eastAsia="en-GB"/>
              </w:rPr>
              <w:t>). Part of the waterway will be used for the Floating Village (Royal Victoria Dock) project.</w:t>
            </w:r>
          </w:p>
          <w:p w:rsidR="00FF5BDA" w:rsidRDefault="00FF5BDA" w:rsidP="00013360">
            <w:pPr>
              <w:spacing w:after="0" w:line="240" w:lineRule="auto"/>
              <w:rPr>
                <w:rFonts w:ascii="Foundry Form Sans" w:eastAsia="Times New Roman" w:hAnsi="Foundry Form Sans" w:cs="Arial"/>
                <w:sz w:val="24"/>
                <w:szCs w:val="24"/>
                <w:lang w:eastAsia="en-GB"/>
              </w:rPr>
            </w:pPr>
          </w:p>
          <w:p w:rsidR="00FF5BDA" w:rsidRDefault="00FF5BDA" w:rsidP="00013360">
            <w:pPr>
              <w:spacing w:after="0" w:line="240" w:lineRule="auto"/>
              <w:rPr>
                <w:rFonts w:ascii="Foundry Form Sans" w:eastAsia="Times New Roman" w:hAnsi="Foundry Form Sans" w:cs="Arial"/>
                <w:sz w:val="24"/>
                <w:szCs w:val="24"/>
                <w:lang w:eastAsia="en-GB"/>
              </w:rPr>
            </w:pPr>
            <w:r>
              <w:rPr>
                <w:rFonts w:ascii="Foundry Form Sans" w:eastAsia="Times New Roman" w:hAnsi="Foundry Form Sans" w:cs="Arial"/>
                <w:sz w:val="24"/>
                <w:szCs w:val="24"/>
                <w:lang w:eastAsia="en-GB"/>
              </w:rPr>
              <w:t xml:space="preserve">Trident Business Centre – the GLA has retained the freehold interest in this charitable facility to protect public sector investment in developing the building. </w:t>
            </w:r>
            <w:hyperlink r:id="rId13" w:history="1">
              <w:r w:rsidRPr="006035A2">
                <w:rPr>
                  <w:rStyle w:val="Hyperlink"/>
                  <w:rFonts w:ascii="Foundry Form Sans" w:eastAsia="Times New Roman" w:hAnsi="Foundry Form Sans" w:cs="Arial"/>
                  <w:sz w:val="24"/>
                  <w:szCs w:val="24"/>
                  <w:lang w:eastAsia="en-GB"/>
                </w:rPr>
                <w:t>http://www.tridentcentre.co.uk/</w:t>
              </w:r>
            </w:hyperlink>
          </w:p>
          <w:p w:rsidR="00FF5BDA" w:rsidRPr="00821CD8" w:rsidRDefault="00FF5BDA" w:rsidP="00013360">
            <w:pPr>
              <w:spacing w:after="0" w:line="240" w:lineRule="auto"/>
              <w:rPr>
                <w:rFonts w:ascii="Foundry Form Sans" w:eastAsia="Times New Roman" w:hAnsi="Foundry Form Sans" w:cs="Arial"/>
                <w:sz w:val="24"/>
                <w:szCs w:val="24"/>
                <w:lang w:eastAsia="en-GB"/>
              </w:rPr>
            </w:pPr>
          </w:p>
        </w:tc>
      </w:tr>
    </w:tbl>
    <w:p w:rsidR="00DB581D" w:rsidRPr="00821CD8" w:rsidRDefault="00DB581D" w:rsidP="00DB581D">
      <w:pPr>
        <w:rPr>
          <w:rFonts w:ascii="Foundry Form Sans" w:hAnsi="Foundry Form Sans"/>
          <w:sz w:val="24"/>
          <w:szCs w:val="24"/>
        </w:rPr>
      </w:pPr>
      <w:r w:rsidRPr="00821CD8">
        <w:rPr>
          <w:rFonts w:ascii="Foundry Form Sans" w:hAnsi="Foundry Form Sans"/>
          <w:sz w:val="24"/>
          <w:szCs w:val="24"/>
        </w:rPr>
        <w:t xml:space="preserve">The portfolio is constantly </w:t>
      </w:r>
      <w:r w:rsidR="00D658A7" w:rsidRPr="00821CD8">
        <w:rPr>
          <w:rFonts w:ascii="Foundry Form Sans" w:hAnsi="Foundry Form Sans"/>
          <w:sz w:val="24"/>
          <w:szCs w:val="24"/>
        </w:rPr>
        <w:t xml:space="preserve">being </w:t>
      </w:r>
      <w:r w:rsidRPr="00821CD8">
        <w:rPr>
          <w:rFonts w:ascii="Foundry Form Sans" w:hAnsi="Foundry Form Sans"/>
          <w:sz w:val="24"/>
          <w:szCs w:val="24"/>
        </w:rPr>
        <w:t>reviewed and where appropriate, those properties in the “Saleable Asset” category will be brought to the market at the earliest opportunity.</w:t>
      </w:r>
    </w:p>
    <w:p w:rsidR="00BC1C5F" w:rsidRPr="00167CA5" w:rsidDel="00E64AA9" w:rsidRDefault="00013360">
      <w:pPr>
        <w:rPr>
          <w:rFonts w:ascii="Foundry Form Sans" w:hAnsi="Foundry Form Sans"/>
          <w:sz w:val="24"/>
          <w:szCs w:val="24"/>
        </w:rPr>
      </w:pPr>
      <w:r w:rsidRPr="00821CD8">
        <w:rPr>
          <w:rFonts w:ascii="Foundry Form Sans" w:hAnsi="Foundry Form Sans"/>
          <w:sz w:val="24"/>
          <w:szCs w:val="24"/>
        </w:rPr>
        <w:t xml:space="preserve">The table below sets out the position as at </w:t>
      </w:r>
      <w:r w:rsidR="0075621B">
        <w:rPr>
          <w:rFonts w:ascii="Foundry Form Sans" w:hAnsi="Foundry Form Sans"/>
          <w:sz w:val="24"/>
          <w:szCs w:val="24"/>
        </w:rPr>
        <w:t>1</w:t>
      </w:r>
      <w:r w:rsidR="0075621B" w:rsidRPr="0075621B">
        <w:rPr>
          <w:rFonts w:ascii="Foundry Form Sans" w:hAnsi="Foundry Form Sans"/>
          <w:sz w:val="24"/>
          <w:szCs w:val="24"/>
          <w:vertAlign w:val="superscript"/>
        </w:rPr>
        <w:t>st</w:t>
      </w:r>
      <w:r w:rsidR="0075621B">
        <w:rPr>
          <w:rFonts w:ascii="Foundry Form Sans" w:hAnsi="Foundry Form Sans"/>
          <w:sz w:val="24"/>
          <w:szCs w:val="24"/>
        </w:rPr>
        <w:t xml:space="preserve"> November</w:t>
      </w:r>
      <w:r w:rsidRPr="00821CD8">
        <w:rPr>
          <w:rFonts w:ascii="Foundry Form Sans" w:hAnsi="Foundry Form Sans"/>
          <w:sz w:val="24"/>
          <w:szCs w:val="24"/>
        </w:rPr>
        <w:t xml:space="preserve"> 2013.</w:t>
      </w:r>
      <w:r w:rsidR="00AA42C8" w:rsidRPr="00821CD8">
        <w:rPr>
          <w:rFonts w:ascii="Foundry Form Sans" w:hAnsi="Foundry Form Sans"/>
          <w:sz w:val="24"/>
          <w:szCs w:val="24"/>
        </w:rPr>
        <w:t xml:space="preserve"> </w:t>
      </w:r>
      <w:r w:rsidR="00167CA5">
        <w:rPr>
          <w:rFonts w:ascii="Foundry Form Sans" w:hAnsi="Foundry Form Sans"/>
          <w:sz w:val="24"/>
          <w:szCs w:val="24"/>
        </w:rPr>
        <w:t>This i</w:t>
      </w:r>
      <w:r w:rsidR="00167CA5" w:rsidRPr="00167CA5">
        <w:rPr>
          <w:rFonts w:ascii="Foundry Form Sans" w:hAnsi="Foundry Form Sans"/>
          <w:sz w:val="24"/>
          <w:szCs w:val="24"/>
        </w:rPr>
        <w:t>ncludes certain areas of infrastructure.</w:t>
      </w:r>
    </w:p>
    <w:tbl>
      <w:tblPr>
        <w:tblStyle w:val="TableGrid"/>
        <w:tblW w:w="0" w:type="auto"/>
        <w:tblLook w:val="04A0" w:firstRow="1" w:lastRow="0" w:firstColumn="1" w:lastColumn="0" w:noHBand="0" w:noVBand="1"/>
      </w:tblPr>
      <w:tblGrid>
        <w:gridCol w:w="3227"/>
        <w:gridCol w:w="2410"/>
        <w:gridCol w:w="2976"/>
      </w:tblGrid>
      <w:tr w:rsidR="003A6F85" w:rsidRPr="00821CD8" w:rsidTr="004B40F2">
        <w:tc>
          <w:tcPr>
            <w:tcW w:w="3227" w:type="dxa"/>
          </w:tcPr>
          <w:p w:rsidR="003A6F85" w:rsidRPr="00821CD8" w:rsidRDefault="003A6F85">
            <w:pPr>
              <w:rPr>
                <w:rFonts w:ascii="Foundry Form Sans" w:hAnsi="Foundry Form Sans"/>
                <w:sz w:val="24"/>
                <w:szCs w:val="24"/>
              </w:rPr>
            </w:pPr>
            <w:r w:rsidRPr="00821CD8">
              <w:rPr>
                <w:rFonts w:ascii="Foundry Form Sans" w:hAnsi="Foundry Form Sans"/>
                <w:sz w:val="24"/>
                <w:szCs w:val="24"/>
              </w:rPr>
              <w:t xml:space="preserve">Category </w:t>
            </w:r>
          </w:p>
        </w:tc>
        <w:tc>
          <w:tcPr>
            <w:tcW w:w="2410" w:type="dxa"/>
          </w:tcPr>
          <w:p w:rsidR="003A6F85" w:rsidRPr="00821CD8" w:rsidRDefault="003A6F85" w:rsidP="00AA42C8">
            <w:pPr>
              <w:jc w:val="center"/>
              <w:rPr>
                <w:rFonts w:ascii="Foundry Form Sans" w:hAnsi="Foundry Form Sans"/>
                <w:sz w:val="24"/>
                <w:szCs w:val="24"/>
              </w:rPr>
            </w:pPr>
            <w:r w:rsidRPr="00821CD8">
              <w:rPr>
                <w:rFonts w:ascii="Foundry Form Sans" w:hAnsi="Foundry Form Sans"/>
                <w:sz w:val="24"/>
                <w:szCs w:val="24"/>
              </w:rPr>
              <w:t>Number of Assets</w:t>
            </w:r>
          </w:p>
        </w:tc>
        <w:tc>
          <w:tcPr>
            <w:tcW w:w="2976" w:type="dxa"/>
          </w:tcPr>
          <w:p w:rsidR="003A6F85" w:rsidRPr="00821CD8" w:rsidRDefault="003A6F85" w:rsidP="00AA42C8">
            <w:pPr>
              <w:jc w:val="center"/>
              <w:rPr>
                <w:rFonts w:ascii="Foundry Form Sans" w:hAnsi="Foundry Form Sans"/>
                <w:sz w:val="24"/>
                <w:szCs w:val="24"/>
              </w:rPr>
            </w:pPr>
            <w:r w:rsidRPr="00821CD8">
              <w:rPr>
                <w:rFonts w:ascii="Foundry Form Sans" w:hAnsi="Foundry Form Sans"/>
                <w:sz w:val="24"/>
                <w:szCs w:val="24"/>
              </w:rPr>
              <w:t>Size (Hectares)</w:t>
            </w:r>
          </w:p>
        </w:tc>
      </w:tr>
      <w:tr w:rsidR="003A6F85" w:rsidRPr="00821CD8" w:rsidTr="004B40F2">
        <w:tc>
          <w:tcPr>
            <w:tcW w:w="3227" w:type="dxa"/>
          </w:tcPr>
          <w:p w:rsidR="003A6F85" w:rsidRPr="00821CD8" w:rsidRDefault="003A6F85">
            <w:pPr>
              <w:rPr>
                <w:rFonts w:ascii="Foundry Form Sans" w:hAnsi="Foundry Form Sans"/>
                <w:sz w:val="24"/>
                <w:szCs w:val="24"/>
              </w:rPr>
            </w:pPr>
            <w:r w:rsidRPr="00821CD8">
              <w:rPr>
                <w:rFonts w:ascii="Foundry Form Sans" w:hAnsi="Foundry Form Sans"/>
                <w:sz w:val="24"/>
                <w:szCs w:val="24"/>
              </w:rPr>
              <w:t>Saleable asset</w:t>
            </w:r>
          </w:p>
        </w:tc>
        <w:tc>
          <w:tcPr>
            <w:tcW w:w="2410" w:type="dxa"/>
          </w:tcPr>
          <w:p w:rsidR="003A6F85" w:rsidRPr="0075621B" w:rsidRDefault="00CF416F" w:rsidP="00AA42C8">
            <w:pPr>
              <w:jc w:val="center"/>
              <w:rPr>
                <w:rFonts w:ascii="Foundry Form Sans" w:hAnsi="Foundry Form Sans"/>
                <w:sz w:val="24"/>
                <w:szCs w:val="24"/>
              </w:rPr>
            </w:pPr>
            <w:r>
              <w:rPr>
                <w:rFonts w:ascii="Foundry Form Sans" w:hAnsi="Foundry Form Sans"/>
                <w:sz w:val="24"/>
                <w:szCs w:val="24"/>
              </w:rPr>
              <w:t>41</w:t>
            </w:r>
          </w:p>
        </w:tc>
        <w:tc>
          <w:tcPr>
            <w:tcW w:w="2976" w:type="dxa"/>
          </w:tcPr>
          <w:p w:rsidR="003A6F85" w:rsidRPr="0075621B" w:rsidRDefault="007B7C3A" w:rsidP="00AA42C8">
            <w:pPr>
              <w:jc w:val="center"/>
              <w:rPr>
                <w:rFonts w:ascii="Foundry Form Sans" w:hAnsi="Foundry Form Sans"/>
                <w:sz w:val="24"/>
                <w:szCs w:val="24"/>
              </w:rPr>
            </w:pPr>
            <w:r w:rsidRPr="0075621B">
              <w:rPr>
                <w:rFonts w:ascii="Foundry Form Sans" w:hAnsi="Foundry Form Sans"/>
                <w:sz w:val="24"/>
                <w:szCs w:val="24"/>
              </w:rPr>
              <w:t xml:space="preserve">  </w:t>
            </w:r>
            <w:r w:rsidR="00CF416F">
              <w:rPr>
                <w:rFonts w:ascii="Foundry Form Sans" w:hAnsi="Foundry Form Sans"/>
                <w:sz w:val="24"/>
                <w:szCs w:val="24"/>
              </w:rPr>
              <w:t>68.11</w:t>
            </w:r>
          </w:p>
        </w:tc>
      </w:tr>
      <w:tr w:rsidR="003A6F85" w:rsidRPr="00821CD8" w:rsidTr="004B40F2">
        <w:tc>
          <w:tcPr>
            <w:tcW w:w="3227" w:type="dxa"/>
          </w:tcPr>
          <w:p w:rsidR="003A6F85" w:rsidRPr="00821CD8" w:rsidRDefault="003A6F85">
            <w:pPr>
              <w:rPr>
                <w:rFonts w:ascii="Foundry Form Sans" w:hAnsi="Foundry Form Sans"/>
                <w:sz w:val="24"/>
                <w:szCs w:val="24"/>
              </w:rPr>
            </w:pPr>
            <w:r w:rsidRPr="00821CD8">
              <w:rPr>
                <w:rFonts w:ascii="Foundry Form Sans" w:hAnsi="Foundry Form Sans"/>
                <w:sz w:val="24"/>
                <w:szCs w:val="24"/>
              </w:rPr>
              <w:t>Investment</w:t>
            </w:r>
          </w:p>
        </w:tc>
        <w:tc>
          <w:tcPr>
            <w:tcW w:w="2410" w:type="dxa"/>
          </w:tcPr>
          <w:p w:rsidR="003A6F85" w:rsidRPr="0075621B" w:rsidRDefault="00AA42C8" w:rsidP="00AA42C8">
            <w:pPr>
              <w:jc w:val="center"/>
              <w:rPr>
                <w:rFonts w:ascii="Foundry Form Sans" w:hAnsi="Foundry Form Sans"/>
                <w:sz w:val="24"/>
                <w:szCs w:val="24"/>
              </w:rPr>
            </w:pPr>
            <w:r w:rsidRPr="0075621B">
              <w:rPr>
                <w:rFonts w:ascii="Foundry Form Sans" w:hAnsi="Foundry Form Sans"/>
                <w:sz w:val="24"/>
                <w:szCs w:val="24"/>
              </w:rPr>
              <w:t>12</w:t>
            </w:r>
          </w:p>
        </w:tc>
        <w:tc>
          <w:tcPr>
            <w:tcW w:w="2976" w:type="dxa"/>
          </w:tcPr>
          <w:p w:rsidR="003A6F85" w:rsidRPr="0075621B" w:rsidRDefault="007B7C3A" w:rsidP="00AA42C8">
            <w:pPr>
              <w:jc w:val="center"/>
              <w:rPr>
                <w:rFonts w:ascii="Foundry Form Sans" w:hAnsi="Foundry Form Sans"/>
                <w:sz w:val="24"/>
                <w:szCs w:val="24"/>
              </w:rPr>
            </w:pPr>
            <w:r w:rsidRPr="0075621B">
              <w:rPr>
                <w:rFonts w:ascii="Foundry Form Sans" w:hAnsi="Foundry Form Sans"/>
                <w:sz w:val="24"/>
                <w:szCs w:val="24"/>
              </w:rPr>
              <w:t xml:space="preserve">  </w:t>
            </w:r>
            <w:r w:rsidR="0075621B" w:rsidRPr="0075621B">
              <w:rPr>
                <w:rFonts w:ascii="Foundry Form Sans" w:hAnsi="Foundry Form Sans"/>
                <w:sz w:val="24"/>
                <w:szCs w:val="24"/>
              </w:rPr>
              <w:t>49.07</w:t>
            </w:r>
          </w:p>
        </w:tc>
      </w:tr>
      <w:tr w:rsidR="003A6F85" w:rsidRPr="00821CD8" w:rsidTr="004B40F2">
        <w:tc>
          <w:tcPr>
            <w:tcW w:w="3227" w:type="dxa"/>
          </w:tcPr>
          <w:p w:rsidR="003A6F85" w:rsidRPr="00821CD8" w:rsidRDefault="003A6F85">
            <w:pPr>
              <w:rPr>
                <w:rFonts w:ascii="Foundry Form Sans" w:hAnsi="Foundry Form Sans"/>
                <w:sz w:val="24"/>
                <w:szCs w:val="24"/>
              </w:rPr>
            </w:pPr>
            <w:r w:rsidRPr="00821CD8">
              <w:rPr>
                <w:rFonts w:ascii="Foundry Form Sans" w:hAnsi="Foundry Form Sans"/>
                <w:sz w:val="24"/>
                <w:szCs w:val="24"/>
              </w:rPr>
              <w:t>Subject to disposal process</w:t>
            </w:r>
          </w:p>
        </w:tc>
        <w:tc>
          <w:tcPr>
            <w:tcW w:w="2410" w:type="dxa"/>
          </w:tcPr>
          <w:p w:rsidR="003A6F85" w:rsidRPr="0075621B" w:rsidRDefault="00CF416F" w:rsidP="00AA42C8">
            <w:pPr>
              <w:jc w:val="center"/>
              <w:rPr>
                <w:rFonts w:ascii="Foundry Form Sans" w:hAnsi="Foundry Form Sans"/>
                <w:sz w:val="24"/>
                <w:szCs w:val="24"/>
              </w:rPr>
            </w:pPr>
            <w:r>
              <w:rPr>
                <w:rFonts w:ascii="Foundry Form Sans" w:hAnsi="Foundry Form Sans"/>
                <w:sz w:val="24"/>
                <w:szCs w:val="24"/>
              </w:rPr>
              <w:t>81</w:t>
            </w:r>
          </w:p>
        </w:tc>
        <w:tc>
          <w:tcPr>
            <w:tcW w:w="2976" w:type="dxa"/>
          </w:tcPr>
          <w:p w:rsidR="003A6F85" w:rsidRPr="0075621B" w:rsidRDefault="00CF416F" w:rsidP="00AA42C8">
            <w:pPr>
              <w:jc w:val="center"/>
              <w:rPr>
                <w:rFonts w:ascii="Foundry Form Sans" w:hAnsi="Foundry Form Sans"/>
                <w:sz w:val="24"/>
                <w:szCs w:val="24"/>
              </w:rPr>
            </w:pPr>
            <w:r>
              <w:rPr>
                <w:rFonts w:ascii="Foundry Form Sans" w:hAnsi="Foundry Form Sans"/>
                <w:sz w:val="24"/>
                <w:szCs w:val="24"/>
              </w:rPr>
              <w:t>353.87</w:t>
            </w:r>
          </w:p>
        </w:tc>
      </w:tr>
      <w:tr w:rsidR="003A6F85" w:rsidRPr="00821CD8" w:rsidTr="004B40F2">
        <w:tc>
          <w:tcPr>
            <w:tcW w:w="3227" w:type="dxa"/>
          </w:tcPr>
          <w:p w:rsidR="003A6F85" w:rsidRPr="00821CD8" w:rsidRDefault="003A6F85">
            <w:pPr>
              <w:rPr>
                <w:rFonts w:ascii="Foundry Form Sans" w:hAnsi="Foundry Form Sans"/>
                <w:sz w:val="24"/>
                <w:szCs w:val="24"/>
              </w:rPr>
            </w:pPr>
            <w:r w:rsidRPr="00821CD8">
              <w:rPr>
                <w:rFonts w:ascii="Foundry Form Sans" w:hAnsi="Foundry Form Sans"/>
                <w:sz w:val="24"/>
                <w:szCs w:val="24"/>
              </w:rPr>
              <w:t>Operational asset</w:t>
            </w:r>
          </w:p>
        </w:tc>
        <w:tc>
          <w:tcPr>
            <w:tcW w:w="2410" w:type="dxa"/>
          </w:tcPr>
          <w:p w:rsidR="003A6F85" w:rsidRPr="0075621B" w:rsidRDefault="0075621B" w:rsidP="00AA42C8">
            <w:pPr>
              <w:jc w:val="center"/>
              <w:rPr>
                <w:rFonts w:ascii="Foundry Form Sans" w:hAnsi="Foundry Form Sans"/>
                <w:sz w:val="24"/>
                <w:szCs w:val="24"/>
              </w:rPr>
            </w:pPr>
            <w:r w:rsidRPr="0075621B">
              <w:rPr>
                <w:rFonts w:ascii="Foundry Form Sans" w:hAnsi="Foundry Form Sans"/>
                <w:sz w:val="24"/>
                <w:szCs w:val="24"/>
              </w:rPr>
              <w:t>7</w:t>
            </w:r>
          </w:p>
        </w:tc>
        <w:tc>
          <w:tcPr>
            <w:tcW w:w="2976" w:type="dxa"/>
          </w:tcPr>
          <w:p w:rsidR="003A6F85" w:rsidRPr="0075621B" w:rsidRDefault="007B7C3A" w:rsidP="00AA42C8">
            <w:pPr>
              <w:jc w:val="center"/>
              <w:rPr>
                <w:rFonts w:ascii="Foundry Form Sans" w:hAnsi="Foundry Form Sans"/>
                <w:sz w:val="24"/>
                <w:szCs w:val="24"/>
              </w:rPr>
            </w:pPr>
            <w:r w:rsidRPr="0075621B">
              <w:rPr>
                <w:rFonts w:ascii="Foundry Form Sans" w:hAnsi="Foundry Form Sans"/>
                <w:sz w:val="24"/>
                <w:szCs w:val="24"/>
              </w:rPr>
              <w:t xml:space="preserve">  </w:t>
            </w:r>
            <w:r w:rsidR="0075621B" w:rsidRPr="0075621B">
              <w:rPr>
                <w:rFonts w:ascii="Foundry Form Sans" w:hAnsi="Foundry Form Sans"/>
                <w:sz w:val="24"/>
                <w:szCs w:val="24"/>
              </w:rPr>
              <w:t>26.47</w:t>
            </w:r>
          </w:p>
        </w:tc>
      </w:tr>
      <w:tr w:rsidR="003A6F85" w:rsidRPr="00821CD8" w:rsidTr="004B40F2">
        <w:tc>
          <w:tcPr>
            <w:tcW w:w="3227" w:type="dxa"/>
          </w:tcPr>
          <w:p w:rsidR="003A6F85" w:rsidRPr="00821CD8" w:rsidRDefault="003A6F85">
            <w:pPr>
              <w:rPr>
                <w:rFonts w:ascii="Foundry Form Sans" w:hAnsi="Foundry Form Sans"/>
                <w:sz w:val="24"/>
                <w:szCs w:val="24"/>
              </w:rPr>
            </w:pPr>
            <w:r w:rsidRPr="00821CD8">
              <w:rPr>
                <w:rFonts w:ascii="Foundry Form Sans" w:hAnsi="Foundry Form Sans"/>
                <w:sz w:val="24"/>
                <w:szCs w:val="24"/>
              </w:rPr>
              <w:t>Limited marketability</w:t>
            </w:r>
          </w:p>
        </w:tc>
        <w:tc>
          <w:tcPr>
            <w:tcW w:w="2410" w:type="dxa"/>
          </w:tcPr>
          <w:p w:rsidR="003A6F85" w:rsidRPr="0075621B" w:rsidRDefault="0075621B" w:rsidP="00AA42C8">
            <w:pPr>
              <w:jc w:val="center"/>
              <w:rPr>
                <w:rFonts w:ascii="Foundry Form Sans" w:hAnsi="Foundry Form Sans"/>
                <w:sz w:val="24"/>
                <w:szCs w:val="24"/>
              </w:rPr>
            </w:pPr>
            <w:r w:rsidRPr="0075621B">
              <w:rPr>
                <w:rFonts w:ascii="Foundry Form Sans" w:hAnsi="Foundry Form Sans"/>
                <w:sz w:val="24"/>
                <w:szCs w:val="24"/>
              </w:rPr>
              <w:t>40</w:t>
            </w:r>
          </w:p>
        </w:tc>
        <w:tc>
          <w:tcPr>
            <w:tcW w:w="2976" w:type="dxa"/>
          </w:tcPr>
          <w:p w:rsidR="003A6F85" w:rsidRPr="0075621B" w:rsidRDefault="0075621B" w:rsidP="00AA42C8">
            <w:pPr>
              <w:jc w:val="center"/>
              <w:rPr>
                <w:rFonts w:ascii="Foundry Form Sans" w:hAnsi="Foundry Form Sans"/>
                <w:sz w:val="24"/>
                <w:szCs w:val="24"/>
              </w:rPr>
            </w:pPr>
            <w:r w:rsidRPr="0075621B">
              <w:rPr>
                <w:rFonts w:ascii="Foundry Form Sans" w:hAnsi="Foundry Form Sans"/>
                <w:sz w:val="24"/>
                <w:szCs w:val="24"/>
              </w:rPr>
              <w:t>169.74</w:t>
            </w:r>
          </w:p>
        </w:tc>
      </w:tr>
      <w:tr w:rsidR="003A6F85" w:rsidRPr="00821CD8" w:rsidTr="004B40F2">
        <w:tc>
          <w:tcPr>
            <w:tcW w:w="3227" w:type="dxa"/>
          </w:tcPr>
          <w:p w:rsidR="003A6F85" w:rsidRPr="00821CD8" w:rsidRDefault="003A6F85">
            <w:pPr>
              <w:rPr>
                <w:rFonts w:ascii="Foundry Form Sans" w:hAnsi="Foundry Form Sans"/>
                <w:sz w:val="24"/>
                <w:szCs w:val="24"/>
              </w:rPr>
            </w:pPr>
            <w:r w:rsidRPr="00821CD8">
              <w:rPr>
                <w:rFonts w:ascii="Foundry Form Sans" w:hAnsi="Foundry Form Sans"/>
                <w:sz w:val="24"/>
                <w:szCs w:val="24"/>
              </w:rPr>
              <w:t>Total</w:t>
            </w:r>
          </w:p>
        </w:tc>
        <w:tc>
          <w:tcPr>
            <w:tcW w:w="2410" w:type="dxa"/>
          </w:tcPr>
          <w:p w:rsidR="003A6F85" w:rsidRPr="0075621B" w:rsidRDefault="0075621B" w:rsidP="00AA42C8">
            <w:pPr>
              <w:jc w:val="center"/>
              <w:rPr>
                <w:rFonts w:ascii="Foundry Form Sans" w:hAnsi="Foundry Form Sans"/>
                <w:sz w:val="24"/>
                <w:szCs w:val="24"/>
              </w:rPr>
            </w:pPr>
            <w:r w:rsidRPr="0075621B">
              <w:rPr>
                <w:rFonts w:ascii="Foundry Form Sans" w:hAnsi="Foundry Form Sans"/>
                <w:sz w:val="24"/>
                <w:szCs w:val="24"/>
              </w:rPr>
              <w:t>179</w:t>
            </w:r>
          </w:p>
        </w:tc>
        <w:tc>
          <w:tcPr>
            <w:tcW w:w="2976" w:type="dxa"/>
          </w:tcPr>
          <w:p w:rsidR="003A6F85" w:rsidRPr="0075621B" w:rsidRDefault="00CF416F" w:rsidP="00AA42C8">
            <w:pPr>
              <w:jc w:val="center"/>
              <w:rPr>
                <w:rFonts w:ascii="Foundry Form Sans" w:hAnsi="Foundry Form Sans"/>
                <w:sz w:val="24"/>
                <w:szCs w:val="24"/>
              </w:rPr>
            </w:pPr>
            <w:r>
              <w:rPr>
                <w:rFonts w:ascii="Foundry Form Sans" w:hAnsi="Foundry Form Sans"/>
                <w:sz w:val="24"/>
                <w:szCs w:val="24"/>
              </w:rPr>
              <w:t>667.26</w:t>
            </w:r>
          </w:p>
        </w:tc>
      </w:tr>
    </w:tbl>
    <w:p w:rsidR="00BC1C5F" w:rsidRPr="00821CD8" w:rsidRDefault="00BC1C5F">
      <w:pPr>
        <w:rPr>
          <w:rFonts w:ascii="Foundry Form Sans" w:hAnsi="Foundry Form Sans"/>
          <w:sz w:val="24"/>
          <w:szCs w:val="24"/>
        </w:rPr>
      </w:pPr>
    </w:p>
    <w:p w:rsidR="008B4152" w:rsidRPr="00821CD8" w:rsidRDefault="000C4CA7">
      <w:pPr>
        <w:rPr>
          <w:rStyle w:val="Hyperlink"/>
          <w:rFonts w:ascii="Foundry Form Sans" w:hAnsi="Foundry Form Sans"/>
          <w:sz w:val="24"/>
          <w:szCs w:val="24"/>
        </w:rPr>
      </w:pPr>
      <w:r w:rsidRPr="00821CD8">
        <w:rPr>
          <w:rFonts w:ascii="Foundry Form Sans" w:hAnsi="Foundry Form Sans"/>
          <w:sz w:val="24"/>
          <w:szCs w:val="24"/>
        </w:rPr>
        <w:t>Further details of the GLA’s property portfoli</w:t>
      </w:r>
      <w:r w:rsidR="008E3F8E" w:rsidRPr="00821CD8">
        <w:rPr>
          <w:rFonts w:ascii="Foundry Form Sans" w:hAnsi="Foundry Form Sans"/>
          <w:sz w:val="24"/>
          <w:szCs w:val="24"/>
        </w:rPr>
        <w:t>o can be found on the GLA group</w:t>
      </w:r>
      <w:r w:rsidRPr="00821CD8">
        <w:rPr>
          <w:rFonts w:ascii="Foundry Form Sans" w:hAnsi="Foundry Form Sans"/>
          <w:sz w:val="24"/>
          <w:szCs w:val="24"/>
        </w:rPr>
        <w:t xml:space="preserve"> property database via this link </w:t>
      </w:r>
      <w:hyperlink r:id="rId14" w:history="1">
        <w:r w:rsidRPr="00821CD8">
          <w:rPr>
            <w:rStyle w:val="Hyperlink"/>
            <w:rFonts w:ascii="Foundry Form Sans" w:hAnsi="Foundry Form Sans"/>
            <w:sz w:val="24"/>
            <w:szCs w:val="24"/>
          </w:rPr>
          <w:t>http://www.london.gov.uk/priorities/housing-land/land-assets/land-and-property-database</w:t>
        </w:r>
      </w:hyperlink>
    </w:p>
    <w:p w:rsidR="008B4152" w:rsidRPr="00821CD8" w:rsidRDefault="008B4152" w:rsidP="008B4152">
      <w:pPr>
        <w:rPr>
          <w:rFonts w:ascii="Foundry Form Sans" w:hAnsi="Foundry Form Sans"/>
          <w:sz w:val="24"/>
          <w:szCs w:val="24"/>
        </w:rPr>
      </w:pPr>
      <w:r w:rsidRPr="00821CD8">
        <w:rPr>
          <w:rFonts w:ascii="Foundry Form Sans" w:hAnsi="Foundry Form Sans"/>
          <w:sz w:val="24"/>
          <w:szCs w:val="24"/>
        </w:rPr>
        <w:lastRenderedPageBreak/>
        <w:t>In addition to the major property assets identified within the GLA group property database, the GLA also inherited a substantial number of small slivers of land. These include roadside verges, small sections of roads etc. These have no development potential and as a result, the intention is to seek to transfer ownership to a more appropriate landholder where possible. This will only be done where it makes operational and financial sense to do so.</w:t>
      </w:r>
    </w:p>
    <w:p w:rsidR="00013360" w:rsidRPr="00821CD8" w:rsidRDefault="00013360">
      <w:pPr>
        <w:rPr>
          <w:rFonts w:ascii="Foundry Form Sans" w:hAnsi="Foundry Form Sans"/>
          <w:b/>
          <w:sz w:val="24"/>
          <w:szCs w:val="24"/>
        </w:rPr>
      </w:pPr>
      <w:r w:rsidRPr="00821CD8">
        <w:rPr>
          <w:rFonts w:ascii="Foundry Form Sans" w:hAnsi="Foundry Form Sans"/>
          <w:b/>
          <w:sz w:val="24"/>
          <w:szCs w:val="24"/>
        </w:rPr>
        <w:t>Development and Disposal Principles</w:t>
      </w:r>
    </w:p>
    <w:p w:rsidR="00004C78" w:rsidRPr="00821CD8" w:rsidRDefault="00004C78">
      <w:pPr>
        <w:rPr>
          <w:rFonts w:ascii="Foundry Form Sans" w:hAnsi="Foundry Form Sans"/>
          <w:sz w:val="24"/>
          <w:szCs w:val="24"/>
        </w:rPr>
      </w:pPr>
      <w:r w:rsidRPr="00821CD8">
        <w:rPr>
          <w:rFonts w:ascii="Foundry Form Sans" w:hAnsi="Foundry Form Sans"/>
          <w:sz w:val="24"/>
          <w:szCs w:val="24"/>
        </w:rPr>
        <w:t>In s</w:t>
      </w:r>
      <w:r w:rsidR="00B544DC" w:rsidRPr="00821CD8">
        <w:rPr>
          <w:rFonts w:ascii="Foundry Form Sans" w:hAnsi="Foundry Form Sans"/>
          <w:sz w:val="24"/>
          <w:szCs w:val="24"/>
        </w:rPr>
        <w:t>eeking to bring forward property assets for development or disposal, the GLA will adopt a number of principles. These include:</w:t>
      </w:r>
    </w:p>
    <w:p w:rsidR="00B544DC" w:rsidRPr="00821CD8" w:rsidRDefault="00B544DC" w:rsidP="00A8577A">
      <w:pPr>
        <w:pStyle w:val="ListParagraph"/>
        <w:numPr>
          <w:ilvl w:val="0"/>
          <w:numId w:val="2"/>
        </w:numPr>
        <w:rPr>
          <w:rFonts w:ascii="Foundry Form Sans" w:hAnsi="Foundry Form Sans"/>
          <w:sz w:val="24"/>
          <w:szCs w:val="24"/>
        </w:rPr>
      </w:pPr>
      <w:r w:rsidRPr="00821CD8">
        <w:rPr>
          <w:rFonts w:ascii="Foundry Form Sans" w:hAnsi="Foundry Form Sans"/>
          <w:sz w:val="24"/>
          <w:szCs w:val="24"/>
        </w:rPr>
        <w:t>Recognition of the fact that land is key in promoting economic, housing and community activit</w:t>
      </w:r>
      <w:r w:rsidR="003143E7" w:rsidRPr="00821CD8">
        <w:rPr>
          <w:rFonts w:ascii="Foundry Form Sans" w:hAnsi="Foundry Form Sans"/>
          <w:sz w:val="24"/>
          <w:szCs w:val="24"/>
        </w:rPr>
        <w:t>i</w:t>
      </w:r>
      <w:r w:rsidRPr="00821CD8">
        <w:rPr>
          <w:rFonts w:ascii="Foundry Form Sans" w:hAnsi="Foundry Form Sans"/>
          <w:sz w:val="24"/>
          <w:szCs w:val="24"/>
        </w:rPr>
        <w:t>es</w:t>
      </w:r>
      <w:r w:rsidR="00857B35" w:rsidRPr="00821CD8">
        <w:rPr>
          <w:rFonts w:ascii="Foundry Form Sans" w:hAnsi="Foundry Form Sans"/>
          <w:sz w:val="24"/>
          <w:szCs w:val="24"/>
        </w:rPr>
        <w:t>;</w:t>
      </w:r>
    </w:p>
    <w:p w:rsidR="00B544DC" w:rsidRPr="00821CD8" w:rsidRDefault="00B544DC" w:rsidP="00A8577A">
      <w:pPr>
        <w:pStyle w:val="ListParagraph"/>
        <w:numPr>
          <w:ilvl w:val="0"/>
          <w:numId w:val="2"/>
        </w:numPr>
        <w:rPr>
          <w:rFonts w:ascii="Foundry Form Sans" w:hAnsi="Foundry Form Sans"/>
          <w:sz w:val="24"/>
          <w:szCs w:val="24"/>
        </w:rPr>
      </w:pPr>
      <w:r w:rsidRPr="00821CD8">
        <w:rPr>
          <w:rFonts w:ascii="Foundry Form Sans" w:hAnsi="Foundry Form Sans"/>
          <w:sz w:val="24"/>
          <w:szCs w:val="24"/>
        </w:rPr>
        <w:t>The GLA will not hold property assets (especially land suitable for development) longer than necessary</w:t>
      </w:r>
      <w:r w:rsidR="00857B35" w:rsidRPr="00821CD8">
        <w:rPr>
          <w:rFonts w:ascii="Foundry Form Sans" w:hAnsi="Foundry Form Sans"/>
          <w:sz w:val="24"/>
          <w:szCs w:val="24"/>
        </w:rPr>
        <w:t>;</w:t>
      </w:r>
    </w:p>
    <w:p w:rsidR="00B544DC" w:rsidRPr="00821CD8" w:rsidRDefault="00B544DC" w:rsidP="00A8577A">
      <w:pPr>
        <w:pStyle w:val="ListParagraph"/>
        <w:numPr>
          <w:ilvl w:val="0"/>
          <w:numId w:val="2"/>
        </w:numPr>
        <w:rPr>
          <w:rFonts w:ascii="Foundry Form Sans" w:hAnsi="Foundry Form Sans"/>
          <w:sz w:val="24"/>
          <w:szCs w:val="24"/>
        </w:rPr>
      </w:pPr>
      <w:r w:rsidRPr="00821CD8">
        <w:rPr>
          <w:rFonts w:ascii="Foundry Form Sans" w:hAnsi="Foundry Form Sans"/>
          <w:sz w:val="24"/>
          <w:szCs w:val="24"/>
        </w:rPr>
        <w:t>Land will be disposed of to support local plans and strategic needs</w:t>
      </w:r>
      <w:r w:rsidR="00857B35" w:rsidRPr="00821CD8">
        <w:rPr>
          <w:rFonts w:ascii="Foundry Form Sans" w:hAnsi="Foundry Form Sans"/>
          <w:sz w:val="24"/>
          <w:szCs w:val="24"/>
        </w:rPr>
        <w:t>;</w:t>
      </w:r>
    </w:p>
    <w:p w:rsidR="00B544DC" w:rsidRPr="00821CD8" w:rsidRDefault="00B544DC" w:rsidP="00A8577A">
      <w:pPr>
        <w:pStyle w:val="ListParagraph"/>
        <w:numPr>
          <w:ilvl w:val="0"/>
          <w:numId w:val="2"/>
        </w:numPr>
        <w:rPr>
          <w:rFonts w:ascii="Foundry Form Sans" w:hAnsi="Foundry Form Sans"/>
          <w:sz w:val="24"/>
          <w:szCs w:val="24"/>
        </w:rPr>
      </w:pPr>
      <w:r w:rsidRPr="00821CD8">
        <w:rPr>
          <w:rFonts w:ascii="Foundry Form Sans" w:hAnsi="Foundry Form Sans"/>
          <w:sz w:val="24"/>
          <w:szCs w:val="24"/>
        </w:rPr>
        <w:t>The GLA will work closely with</w:t>
      </w:r>
      <w:r w:rsidR="00240401" w:rsidRPr="00821CD8">
        <w:rPr>
          <w:rFonts w:ascii="Foundry Form Sans" w:hAnsi="Foundry Form Sans"/>
          <w:sz w:val="24"/>
          <w:szCs w:val="24"/>
        </w:rPr>
        <w:t xml:space="preserve"> its Functional Bodies</w:t>
      </w:r>
      <w:r w:rsidR="007935C3" w:rsidRPr="00821CD8">
        <w:rPr>
          <w:rFonts w:ascii="Foundry Form Sans" w:hAnsi="Foundry Form Sans"/>
          <w:sz w:val="24"/>
          <w:szCs w:val="24"/>
        </w:rPr>
        <w:t xml:space="preserve"> (TfL, London Legacy Development Corporation, London Fire Brigade and Metropolitan Police)</w:t>
      </w:r>
      <w:r w:rsidR="00240401" w:rsidRPr="00821CD8">
        <w:rPr>
          <w:rFonts w:ascii="Foundry Form Sans" w:hAnsi="Foundry Form Sans"/>
          <w:sz w:val="24"/>
          <w:szCs w:val="24"/>
        </w:rPr>
        <w:t>,</w:t>
      </w:r>
      <w:r w:rsidRPr="00821CD8">
        <w:rPr>
          <w:rFonts w:ascii="Foundry Form Sans" w:hAnsi="Foundry Form Sans"/>
          <w:sz w:val="24"/>
          <w:szCs w:val="24"/>
        </w:rPr>
        <w:t xml:space="preserve"> London Boroughs, other public sector land</w:t>
      </w:r>
      <w:r w:rsidR="00240401" w:rsidRPr="00821CD8">
        <w:rPr>
          <w:rFonts w:ascii="Foundry Form Sans" w:hAnsi="Foundry Form Sans"/>
          <w:sz w:val="24"/>
          <w:szCs w:val="24"/>
        </w:rPr>
        <w:t>holders and external</w:t>
      </w:r>
      <w:r w:rsidRPr="00821CD8">
        <w:rPr>
          <w:rFonts w:ascii="Foundry Form Sans" w:hAnsi="Foundry Form Sans"/>
          <w:sz w:val="24"/>
          <w:szCs w:val="24"/>
        </w:rPr>
        <w:t xml:space="preserve"> parties to deliver the best outcome for London on key strategic sites</w:t>
      </w:r>
      <w:r w:rsidR="00857B35" w:rsidRPr="00821CD8">
        <w:rPr>
          <w:rFonts w:ascii="Foundry Form Sans" w:hAnsi="Foundry Form Sans"/>
          <w:sz w:val="24"/>
          <w:szCs w:val="24"/>
        </w:rPr>
        <w:t>;</w:t>
      </w:r>
    </w:p>
    <w:p w:rsidR="00B544DC" w:rsidRPr="00821CD8" w:rsidRDefault="00F95325" w:rsidP="00A8577A">
      <w:pPr>
        <w:pStyle w:val="ListParagraph"/>
        <w:numPr>
          <w:ilvl w:val="0"/>
          <w:numId w:val="2"/>
        </w:numPr>
        <w:rPr>
          <w:rFonts w:ascii="Foundry Form Sans" w:hAnsi="Foundry Form Sans"/>
          <w:sz w:val="24"/>
          <w:szCs w:val="24"/>
        </w:rPr>
      </w:pPr>
      <w:r w:rsidRPr="00821CD8">
        <w:rPr>
          <w:rFonts w:ascii="Foundry Form Sans" w:hAnsi="Foundry Form Sans"/>
          <w:sz w:val="24"/>
          <w:szCs w:val="24"/>
        </w:rPr>
        <w:t>In the main, disposals will be progressed by way of a competitive method. In relation to major residential</w:t>
      </w:r>
      <w:r w:rsidR="00857B35" w:rsidRPr="00821CD8">
        <w:rPr>
          <w:rFonts w:ascii="Foundry Form Sans" w:hAnsi="Foundry Form Sans"/>
          <w:sz w:val="24"/>
          <w:szCs w:val="24"/>
        </w:rPr>
        <w:t>-</w:t>
      </w:r>
      <w:r w:rsidRPr="00821CD8">
        <w:rPr>
          <w:rFonts w:ascii="Foundry Form Sans" w:hAnsi="Foundry Form Sans"/>
          <w:sz w:val="24"/>
          <w:szCs w:val="24"/>
        </w:rPr>
        <w:t xml:space="preserve">led developments, the default position for disposal will be via the GLA’s London Development Panel (LDP). Further details of the LDP can be found here </w:t>
      </w:r>
      <w:hyperlink r:id="rId15" w:history="1">
        <w:r w:rsidRPr="00821CD8">
          <w:rPr>
            <w:rStyle w:val="Hyperlink"/>
            <w:rFonts w:ascii="Foundry Form Sans" w:hAnsi="Foundry Form Sans"/>
            <w:sz w:val="24"/>
            <w:szCs w:val="24"/>
          </w:rPr>
          <w:t>http://www.london.gov.uk/priorities/housing-land/land-assets/london-development-panel</w:t>
        </w:r>
      </w:hyperlink>
      <w:r w:rsidR="00857B35" w:rsidRPr="00821CD8">
        <w:rPr>
          <w:rStyle w:val="Hyperlink"/>
          <w:rFonts w:ascii="Foundry Form Sans" w:hAnsi="Foundry Form Sans"/>
          <w:sz w:val="24"/>
          <w:szCs w:val="24"/>
        </w:rPr>
        <w:t>;</w:t>
      </w:r>
    </w:p>
    <w:p w:rsidR="00F95325" w:rsidRPr="00821CD8" w:rsidRDefault="00F95325" w:rsidP="00A8577A">
      <w:pPr>
        <w:pStyle w:val="ListParagraph"/>
        <w:numPr>
          <w:ilvl w:val="0"/>
          <w:numId w:val="2"/>
        </w:numPr>
        <w:rPr>
          <w:rFonts w:ascii="Foundry Form Sans" w:hAnsi="Foundry Form Sans"/>
          <w:sz w:val="24"/>
          <w:szCs w:val="24"/>
        </w:rPr>
      </w:pPr>
      <w:r w:rsidRPr="00821CD8">
        <w:rPr>
          <w:rFonts w:ascii="Foundry Form Sans" w:hAnsi="Foundry Form Sans"/>
          <w:sz w:val="24"/>
          <w:szCs w:val="24"/>
        </w:rPr>
        <w:t>The GLA will seek to use payment terms and contract arrangements that encourage</w:t>
      </w:r>
      <w:r w:rsidR="00453AB0" w:rsidRPr="00821CD8">
        <w:rPr>
          <w:rFonts w:ascii="Foundry Form Sans" w:hAnsi="Foundry Form Sans"/>
          <w:sz w:val="24"/>
          <w:szCs w:val="24"/>
        </w:rPr>
        <w:t xml:space="preserve"> early</w:t>
      </w:r>
      <w:r w:rsidRPr="00821CD8">
        <w:rPr>
          <w:rFonts w:ascii="Foundry Form Sans" w:hAnsi="Foundry Form Sans"/>
          <w:sz w:val="24"/>
          <w:szCs w:val="24"/>
        </w:rPr>
        <w:t xml:space="preserve"> development</w:t>
      </w:r>
      <w:r w:rsidR="00245EFE" w:rsidRPr="00821CD8">
        <w:rPr>
          <w:rFonts w:ascii="Foundry Form Sans" w:hAnsi="Foundry Form Sans"/>
          <w:sz w:val="24"/>
          <w:szCs w:val="24"/>
        </w:rPr>
        <w:t xml:space="preserve"> and prevent land-banking</w:t>
      </w:r>
      <w:r w:rsidR="00453AB0" w:rsidRPr="00821CD8">
        <w:rPr>
          <w:rFonts w:ascii="Foundry Form Sans" w:hAnsi="Foundry Form Sans"/>
          <w:sz w:val="24"/>
          <w:szCs w:val="24"/>
        </w:rPr>
        <w:t>. This could involve the deferring of receipts or the GLA taking an equity stake in a development</w:t>
      </w:r>
      <w:r w:rsidR="00857B35" w:rsidRPr="00821CD8">
        <w:rPr>
          <w:rFonts w:ascii="Foundry Form Sans" w:hAnsi="Foundry Form Sans"/>
          <w:sz w:val="24"/>
          <w:szCs w:val="24"/>
        </w:rPr>
        <w:t>;</w:t>
      </w:r>
    </w:p>
    <w:p w:rsidR="00453AB0" w:rsidRPr="00821CD8" w:rsidRDefault="00453AB0" w:rsidP="00A8577A">
      <w:pPr>
        <w:pStyle w:val="ListParagraph"/>
        <w:numPr>
          <w:ilvl w:val="0"/>
          <w:numId w:val="2"/>
        </w:numPr>
        <w:rPr>
          <w:rFonts w:ascii="Foundry Form Sans" w:hAnsi="Foundry Form Sans"/>
          <w:sz w:val="24"/>
          <w:szCs w:val="24"/>
        </w:rPr>
      </w:pPr>
      <w:r w:rsidRPr="00821CD8">
        <w:rPr>
          <w:rFonts w:ascii="Foundry Form Sans" w:hAnsi="Foundry Form Sans"/>
          <w:sz w:val="24"/>
          <w:szCs w:val="24"/>
        </w:rPr>
        <w:t xml:space="preserve">In making the property portfolio transparent to the public, the </w:t>
      </w:r>
      <w:r w:rsidR="00857B35" w:rsidRPr="00821CD8">
        <w:rPr>
          <w:rFonts w:ascii="Foundry Form Sans" w:hAnsi="Foundry Form Sans"/>
          <w:sz w:val="24"/>
          <w:szCs w:val="24"/>
        </w:rPr>
        <w:t>M</w:t>
      </w:r>
      <w:r w:rsidRPr="00821CD8">
        <w:rPr>
          <w:rFonts w:ascii="Foundry Form Sans" w:hAnsi="Foundry Form Sans"/>
          <w:sz w:val="24"/>
          <w:szCs w:val="24"/>
        </w:rPr>
        <w:t>ayor is encouraging interest from developers in order to bring forward sites for development</w:t>
      </w:r>
      <w:r w:rsidR="00632437" w:rsidRPr="00821CD8">
        <w:rPr>
          <w:rFonts w:ascii="Foundry Form Sans" w:hAnsi="Foundry Form Sans"/>
          <w:sz w:val="24"/>
          <w:szCs w:val="24"/>
        </w:rPr>
        <w:t xml:space="preserve"> and</w:t>
      </w:r>
      <w:r w:rsidR="00857B35" w:rsidRPr="00821CD8">
        <w:rPr>
          <w:rFonts w:ascii="Foundry Form Sans" w:hAnsi="Foundry Form Sans"/>
          <w:sz w:val="24"/>
          <w:szCs w:val="24"/>
        </w:rPr>
        <w:t>;</w:t>
      </w:r>
    </w:p>
    <w:p w:rsidR="00245EFE" w:rsidRPr="00821CD8" w:rsidRDefault="00245EFE" w:rsidP="00A8577A">
      <w:pPr>
        <w:pStyle w:val="ListParagraph"/>
        <w:numPr>
          <w:ilvl w:val="0"/>
          <w:numId w:val="2"/>
        </w:numPr>
        <w:rPr>
          <w:rFonts w:ascii="Foundry Form Sans" w:hAnsi="Foundry Form Sans"/>
          <w:sz w:val="24"/>
          <w:szCs w:val="24"/>
        </w:rPr>
      </w:pPr>
      <w:r w:rsidRPr="00821CD8">
        <w:rPr>
          <w:rFonts w:ascii="Foundry Form Sans" w:hAnsi="Foundry Form Sans"/>
          <w:sz w:val="24"/>
          <w:szCs w:val="24"/>
        </w:rPr>
        <w:t xml:space="preserve">The GLA will take an active role in the planning and design of developments on its land </w:t>
      </w:r>
      <w:r w:rsidR="00070A33" w:rsidRPr="00821CD8">
        <w:rPr>
          <w:rFonts w:ascii="Foundry Form Sans" w:hAnsi="Foundry Form Sans"/>
          <w:sz w:val="24"/>
          <w:szCs w:val="24"/>
        </w:rPr>
        <w:t>to ensure the delivery of buildings and environments</w:t>
      </w:r>
      <w:r w:rsidRPr="00821CD8">
        <w:rPr>
          <w:rFonts w:ascii="Foundry Form Sans" w:hAnsi="Foundry Form Sans"/>
          <w:sz w:val="24"/>
          <w:szCs w:val="24"/>
        </w:rPr>
        <w:t xml:space="preserve"> that match the design and quality that the </w:t>
      </w:r>
      <w:r w:rsidR="00857B35" w:rsidRPr="00821CD8">
        <w:rPr>
          <w:rFonts w:ascii="Foundry Form Sans" w:hAnsi="Foundry Form Sans"/>
          <w:sz w:val="24"/>
          <w:szCs w:val="24"/>
        </w:rPr>
        <w:t>M</w:t>
      </w:r>
      <w:r w:rsidRPr="00821CD8">
        <w:rPr>
          <w:rFonts w:ascii="Foundry Form Sans" w:hAnsi="Foundry Form Sans"/>
          <w:sz w:val="24"/>
          <w:szCs w:val="24"/>
        </w:rPr>
        <w:t>ayor is committed to see built for the benefit of Londoners</w:t>
      </w:r>
      <w:r w:rsidR="00857B35" w:rsidRPr="00821CD8">
        <w:rPr>
          <w:rFonts w:ascii="Foundry Form Sans" w:hAnsi="Foundry Form Sans"/>
          <w:sz w:val="24"/>
          <w:szCs w:val="24"/>
        </w:rPr>
        <w:t>.</w:t>
      </w:r>
    </w:p>
    <w:p w:rsidR="00453AB0" w:rsidRPr="00821CD8" w:rsidRDefault="00453AB0" w:rsidP="00453AB0">
      <w:pPr>
        <w:rPr>
          <w:rFonts w:ascii="Foundry Form Sans" w:hAnsi="Foundry Form Sans"/>
          <w:b/>
          <w:sz w:val="24"/>
          <w:szCs w:val="24"/>
        </w:rPr>
      </w:pPr>
      <w:r w:rsidRPr="00821CD8">
        <w:rPr>
          <w:rFonts w:ascii="Foundry Form Sans" w:hAnsi="Foundry Form Sans"/>
          <w:b/>
          <w:sz w:val="24"/>
          <w:szCs w:val="24"/>
        </w:rPr>
        <w:t>Terms of Disposal</w:t>
      </w:r>
    </w:p>
    <w:p w:rsidR="00453AB0" w:rsidRPr="00821CD8" w:rsidRDefault="00453AB0" w:rsidP="00453AB0">
      <w:pPr>
        <w:pStyle w:val="ListParagraph"/>
        <w:numPr>
          <w:ilvl w:val="0"/>
          <w:numId w:val="2"/>
        </w:numPr>
        <w:rPr>
          <w:rFonts w:ascii="Foundry Form Sans" w:hAnsi="Foundry Form Sans"/>
          <w:sz w:val="24"/>
          <w:szCs w:val="24"/>
        </w:rPr>
      </w:pPr>
      <w:r w:rsidRPr="00821CD8">
        <w:rPr>
          <w:rFonts w:ascii="Foundry Form Sans" w:hAnsi="Foundry Form Sans"/>
          <w:sz w:val="24"/>
          <w:szCs w:val="24"/>
        </w:rPr>
        <w:t xml:space="preserve">In disposing of </w:t>
      </w:r>
      <w:r w:rsidR="00632437" w:rsidRPr="00821CD8">
        <w:rPr>
          <w:rFonts w:ascii="Foundry Form Sans" w:hAnsi="Foundry Form Sans"/>
          <w:sz w:val="24"/>
          <w:szCs w:val="24"/>
        </w:rPr>
        <w:t>assets</w:t>
      </w:r>
      <w:r w:rsidRPr="00821CD8">
        <w:rPr>
          <w:rFonts w:ascii="Foundry Form Sans" w:hAnsi="Foundry Form Sans"/>
          <w:sz w:val="24"/>
          <w:szCs w:val="24"/>
        </w:rPr>
        <w:t>, the GLA will</w:t>
      </w:r>
      <w:r w:rsidR="007935C3" w:rsidRPr="00821CD8">
        <w:rPr>
          <w:rFonts w:ascii="Foundry Form Sans" w:hAnsi="Foundry Form Sans"/>
          <w:sz w:val="24"/>
          <w:szCs w:val="24"/>
        </w:rPr>
        <w:t xml:space="preserve"> use its land and property</w:t>
      </w:r>
      <w:r w:rsidR="006879C5" w:rsidRPr="00821CD8">
        <w:rPr>
          <w:rFonts w:ascii="Foundry Form Sans" w:hAnsi="Foundry Form Sans"/>
          <w:sz w:val="24"/>
          <w:szCs w:val="24"/>
        </w:rPr>
        <w:t xml:space="preserve"> to aid the delivery of key objectives around housing, jobs and economic regeneration. The GLA will seek to achieve best value reflecting the Mayor’s policies and objectives</w:t>
      </w:r>
      <w:r w:rsidR="00857B35" w:rsidRPr="00821CD8">
        <w:rPr>
          <w:rFonts w:ascii="Foundry Form Sans" w:hAnsi="Foundry Form Sans"/>
          <w:sz w:val="24"/>
          <w:szCs w:val="24"/>
        </w:rPr>
        <w:t>;</w:t>
      </w:r>
    </w:p>
    <w:p w:rsidR="006879C5" w:rsidRPr="00821CD8" w:rsidRDefault="006879C5" w:rsidP="00453AB0">
      <w:pPr>
        <w:pStyle w:val="ListParagraph"/>
        <w:numPr>
          <w:ilvl w:val="0"/>
          <w:numId w:val="2"/>
        </w:numPr>
        <w:rPr>
          <w:rFonts w:ascii="Foundry Form Sans" w:hAnsi="Foundry Form Sans"/>
          <w:sz w:val="24"/>
          <w:szCs w:val="24"/>
        </w:rPr>
      </w:pPr>
      <w:r w:rsidRPr="00821CD8">
        <w:rPr>
          <w:rFonts w:ascii="Foundry Form Sans" w:hAnsi="Foundry Form Sans"/>
          <w:sz w:val="24"/>
          <w:szCs w:val="24"/>
        </w:rPr>
        <w:t xml:space="preserve">While surplus assets will generally be disposed of by way of a freehold sale, there will be </w:t>
      </w:r>
      <w:r w:rsidR="009C2CE4" w:rsidRPr="00821CD8">
        <w:rPr>
          <w:rFonts w:ascii="Foundry Form Sans" w:hAnsi="Foundry Form Sans"/>
          <w:sz w:val="24"/>
          <w:szCs w:val="24"/>
        </w:rPr>
        <w:t>occasions</w:t>
      </w:r>
      <w:r w:rsidRPr="00821CD8">
        <w:rPr>
          <w:rFonts w:ascii="Foundry Form Sans" w:hAnsi="Foundry Form Sans"/>
          <w:sz w:val="24"/>
          <w:szCs w:val="24"/>
        </w:rPr>
        <w:t xml:space="preserve"> where there are good financial, operational or strategic reasons for the GLA to retain a long term interest in a property</w:t>
      </w:r>
    </w:p>
    <w:p w:rsidR="00453AB0" w:rsidRPr="00821CD8" w:rsidRDefault="00453AB0" w:rsidP="00453AB0">
      <w:pPr>
        <w:pStyle w:val="ListParagraph"/>
        <w:numPr>
          <w:ilvl w:val="0"/>
          <w:numId w:val="2"/>
        </w:numPr>
        <w:rPr>
          <w:rFonts w:ascii="Foundry Form Sans" w:hAnsi="Foundry Form Sans"/>
          <w:sz w:val="24"/>
          <w:szCs w:val="24"/>
        </w:rPr>
      </w:pPr>
      <w:r w:rsidRPr="00821CD8">
        <w:rPr>
          <w:rFonts w:ascii="Foundry Form Sans" w:hAnsi="Foundry Form Sans"/>
          <w:sz w:val="24"/>
          <w:szCs w:val="24"/>
        </w:rPr>
        <w:t>Sites will be disposed of in a manner that creates the minimum amount of post development involvement for the GLA</w:t>
      </w:r>
      <w:r w:rsidR="00DB581D" w:rsidRPr="00821CD8">
        <w:rPr>
          <w:rFonts w:ascii="Foundry Form Sans" w:hAnsi="Foundry Form Sans"/>
          <w:sz w:val="24"/>
          <w:szCs w:val="24"/>
        </w:rPr>
        <w:t>. Every effort will be made to ensure the minimum exposure to “trailing wires”</w:t>
      </w:r>
      <w:r w:rsidR="006879C5" w:rsidRPr="00821CD8">
        <w:rPr>
          <w:rFonts w:ascii="Foundry Form Sans" w:hAnsi="Foundry Form Sans"/>
          <w:sz w:val="24"/>
          <w:szCs w:val="24"/>
        </w:rPr>
        <w:t xml:space="preserve"> and</w:t>
      </w:r>
      <w:r w:rsidR="00857B35" w:rsidRPr="00821CD8">
        <w:rPr>
          <w:rFonts w:ascii="Foundry Form Sans" w:hAnsi="Foundry Form Sans"/>
          <w:sz w:val="24"/>
          <w:szCs w:val="24"/>
        </w:rPr>
        <w:t>;</w:t>
      </w:r>
      <w:r w:rsidRPr="00821CD8">
        <w:rPr>
          <w:rFonts w:ascii="Foundry Form Sans" w:hAnsi="Foundry Form Sans"/>
          <w:sz w:val="24"/>
          <w:szCs w:val="24"/>
        </w:rPr>
        <w:t xml:space="preserve"> </w:t>
      </w:r>
    </w:p>
    <w:p w:rsidR="00B544DC" w:rsidRDefault="00453AB0" w:rsidP="00B340D3">
      <w:pPr>
        <w:pStyle w:val="ListParagraph"/>
        <w:numPr>
          <w:ilvl w:val="0"/>
          <w:numId w:val="2"/>
        </w:numPr>
        <w:rPr>
          <w:rFonts w:ascii="Foundry Form Sans" w:hAnsi="Foundry Form Sans"/>
          <w:sz w:val="24"/>
          <w:szCs w:val="24"/>
        </w:rPr>
      </w:pPr>
      <w:r w:rsidRPr="00821CD8">
        <w:rPr>
          <w:rFonts w:ascii="Foundry Form Sans" w:hAnsi="Foundry Form Sans"/>
          <w:sz w:val="24"/>
          <w:szCs w:val="24"/>
        </w:rPr>
        <w:lastRenderedPageBreak/>
        <w:t>Where appropriate, the use of overage agreements, restrictive covenants</w:t>
      </w:r>
      <w:r w:rsidR="00857B35" w:rsidRPr="00821CD8">
        <w:rPr>
          <w:rFonts w:ascii="Foundry Form Sans" w:hAnsi="Foundry Form Sans"/>
          <w:sz w:val="24"/>
          <w:szCs w:val="24"/>
        </w:rPr>
        <w:t>,</w:t>
      </w:r>
      <w:r w:rsidRPr="00821CD8">
        <w:rPr>
          <w:rFonts w:ascii="Foundry Form Sans" w:hAnsi="Foundry Form Sans"/>
          <w:sz w:val="24"/>
          <w:szCs w:val="24"/>
        </w:rPr>
        <w:t xml:space="preserve"> etc</w:t>
      </w:r>
      <w:r w:rsidR="00857B35" w:rsidRPr="00821CD8">
        <w:rPr>
          <w:rFonts w:ascii="Foundry Form Sans" w:hAnsi="Foundry Form Sans"/>
          <w:sz w:val="24"/>
          <w:szCs w:val="24"/>
        </w:rPr>
        <w:t>.</w:t>
      </w:r>
      <w:r w:rsidRPr="00821CD8">
        <w:rPr>
          <w:rFonts w:ascii="Foundry Form Sans" w:hAnsi="Foundry Form Sans"/>
          <w:sz w:val="24"/>
          <w:szCs w:val="24"/>
        </w:rPr>
        <w:t xml:space="preserve"> will occur but the GLA will be transparent in its reason for their use</w:t>
      </w:r>
    </w:p>
    <w:p w:rsidR="00B3065D" w:rsidRDefault="00B3065D" w:rsidP="00B3065D">
      <w:pPr>
        <w:rPr>
          <w:rFonts w:ascii="Foundry Form Sans" w:hAnsi="Foundry Form Sans"/>
          <w:sz w:val="24"/>
          <w:szCs w:val="24"/>
        </w:rPr>
      </w:pPr>
    </w:p>
    <w:p w:rsidR="00463BFA" w:rsidRPr="00821CD8" w:rsidRDefault="00463BFA" w:rsidP="008B4152">
      <w:pPr>
        <w:pStyle w:val="ListParagraph"/>
        <w:numPr>
          <w:ilvl w:val="0"/>
          <w:numId w:val="5"/>
        </w:numPr>
        <w:rPr>
          <w:rFonts w:ascii="Foundry Form Sans" w:hAnsi="Foundry Form Sans"/>
          <w:b/>
          <w:sz w:val="24"/>
          <w:szCs w:val="24"/>
          <w:u w:val="single"/>
        </w:rPr>
      </w:pPr>
      <w:r w:rsidRPr="00821CD8">
        <w:rPr>
          <w:rFonts w:ascii="Foundry Form Sans" w:hAnsi="Foundry Form Sans"/>
          <w:b/>
          <w:sz w:val="24"/>
          <w:szCs w:val="24"/>
          <w:u w:val="single"/>
        </w:rPr>
        <w:t>Inves</w:t>
      </w:r>
      <w:r w:rsidR="008B4152" w:rsidRPr="00821CD8">
        <w:rPr>
          <w:rFonts w:ascii="Foundry Form Sans" w:hAnsi="Foundry Form Sans"/>
          <w:b/>
          <w:sz w:val="24"/>
          <w:szCs w:val="24"/>
          <w:u w:val="single"/>
        </w:rPr>
        <w:t>ting</w:t>
      </w:r>
      <w:r w:rsidRPr="00821CD8">
        <w:rPr>
          <w:rFonts w:ascii="Foundry Form Sans" w:hAnsi="Foundry Form Sans"/>
          <w:b/>
          <w:sz w:val="24"/>
          <w:szCs w:val="24"/>
          <w:u w:val="single"/>
        </w:rPr>
        <w:t xml:space="preserve"> in Property</w:t>
      </w:r>
    </w:p>
    <w:p w:rsidR="003B51E7" w:rsidRPr="00821CD8" w:rsidRDefault="003B51E7">
      <w:pPr>
        <w:rPr>
          <w:rFonts w:ascii="Foundry Form Sans" w:hAnsi="Foundry Form Sans"/>
          <w:sz w:val="24"/>
          <w:szCs w:val="24"/>
        </w:rPr>
      </w:pPr>
      <w:r w:rsidRPr="00821CD8">
        <w:rPr>
          <w:rFonts w:ascii="Foundry Form Sans" w:hAnsi="Foundry Form Sans"/>
          <w:sz w:val="24"/>
          <w:szCs w:val="24"/>
        </w:rPr>
        <w:t xml:space="preserve">The GLA </w:t>
      </w:r>
      <w:r w:rsidR="00E218FE" w:rsidRPr="00821CD8">
        <w:rPr>
          <w:rFonts w:ascii="Foundry Form Sans" w:hAnsi="Foundry Form Sans"/>
          <w:sz w:val="24"/>
          <w:szCs w:val="24"/>
        </w:rPr>
        <w:t>may invest</w:t>
      </w:r>
      <w:r w:rsidRPr="00821CD8">
        <w:rPr>
          <w:rFonts w:ascii="Foundry Form Sans" w:hAnsi="Foundry Form Sans"/>
          <w:sz w:val="24"/>
          <w:szCs w:val="24"/>
        </w:rPr>
        <w:t xml:space="preserve"> in property. Instances where this may occur include:</w:t>
      </w:r>
    </w:p>
    <w:p w:rsidR="003B51E7" w:rsidRPr="00821CD8" w:rsidRDefault="00240401">
      <w:pPr>
        <w:rPr>
          <w:rFonts w:ascii="Foundry Form Sans" w:hAnsi="Foundry Form Sans"/>
          <w:sz w:val="24"/>
          <w:szCs w:val="24"/>
        </w:rPr>
      </w:pPr>
      <w:r w:rsidRPr="00821CD8">
        <w:rPr>
          <w:rFonts w:ascii="Foundry Form Sans" w:hAnsi="Foundry Form Sans"/>
          <w:b/>
          <w:sz w:val="24"/>
          <w:szCs w:val="24"/>
        </w:rPr>
        <w:t>Investment prior to disposal</w:t>
      </w:r>
      <w:r w:rsidRPr="00821CD8">
        <w:rPr>
          <w:rFonts w:ascii="Foundry Form Sans" w:hAnsi="Foundry Form Sans"/>
          <w:sz w:val="24"/>
          <w:szCs w:val="24"/>
        </w:rPr>
        <w:t xml:space="preserve">. </w:t>
      </w:r>
      <w:r w:rsidR="006C1A74" w:rsidRPr="00821CD8">
        <w:rPr>
          <w:rFonts w:ascii="Foundry Form Sans" w:hAnsi="Foundry Form Sans"/>
          <w:sz w:val="24"/>
          <w:szCs w:val="24"/>
        </w:rPr>
        <w:t>In order to de-risk a site prior to disposal it may be necessary for the GLA to undertake a level of pre-disposal work around planning, legal title, environmental/site conditions</w:t>
      </w:r>
      <w:r w:rsidR="00857B35" w:rsidRPr="00821CD8">
        <w:rPr>
          <w:rFonts w:ascii="Foundry Form Sans" w:hAnsi="Foundry Form Sans"/>
          <w:sz w:val="24"/>
          <w:szCs w:val="24"/>
        </w:rPr>
        <w:t>,</w:t>
      </w:r>
      <w:r w:rsidR="006C1A74" w:rsidRPr="00821CD8">
        <w:rPr>
          <w:rFonts w:ascii="Foundry Form Sans" w:hAnsi="Foundry Form Sans"/>
          <w:sz w:val="24"/>
          <w:szCs w:val="24"/>
        </w:rPr>
        <w:t xml:space="preserve"> etc</w:t>
      </w:r>
      <w:r w:rsidRPr="00821CD8">
        <w:rPr>
          <w:rFonts w:ascii="Foundry Form Sans" w:hAnsi="Foundry Form Sans"/>
          <w:sz w:val="24"/>
          <w:szCs w:val="24"/>
        </w:rPr>
        <w:t>.</w:t>
      </w:r>
      <w:r w:rsidR="00857B35" w:rsidRPr="00821CD8">
        <w:rPr>
          <w:rFonts w:ascii="Foundry Form Sans" w:hAnsi="Foundry Form Sans"/>
          <w:sz w:val="24"/>
          <w:szCs w:val="24"/>
        </w:rPr>
        <w:t>;</w:t>
      </w:r>
    </w:p>
    <w:p w:rsidR="006C1A74" w:rsidRPr="00821CD8" w:rsidRDefault="006C1A74">
      <w:pPr>
        <w:rPr>
          <w:rFonts w:ascii="Foundry Form Sans" w:hAnsi="Foundry Form Sans"/>
          <w:sz w:val="24"/>
          <w:szCs w:val="24"/>
        </w:rPr>
      </w:pPr>
      <w:r w:rsidRPr="00821CD8">
        <w:rPr>
          <w:rFonts w:ascii="Foundry Form Sans" w:hAnsi="Foundry Form Sans"/>
          <w:b/>
          <w:sz w:val="24"/>
          <w:szCs w:val="24"/>
        </w:rPr>
        <w:t>Provision of infrastructure</w:t>
      </w:r>
      <w:r w:rsidRPr="00821CD8">
        <w:rPr>
          <w:rFonts w:ascii="Foundry Form Sans" w:hAnsi="Foundry Form Sans"/>
          <w:sz w:val="24"/>
          <w:szCs w:val="24"/>
        </w:rPr>
        <w:t>. In order to promote development and reflect market conditions, some large sites may need to be divided into manageable</w:t>
      </w:r>
      <w:r w:rsidR="00857B35" w:rsidRPr="00821CD8">
        <w:rPr>
          <w:rFonts w:ascii="Foundry Form Sans" w:hAnsi="Foundry Form Sans"/>
          <w:sz w:val="24"/>
          <w:szCs w:val="24"/>
        </w:rPr>
        <w:t>-</w:t>
      </w:r>
      <w:r w:rsidRPr="00821CD8">
        <w:rPr>
          <w:rFonts w:ascii="Foundry Form Sans" w:hAnsi="Foundry Form Sans"/>
          <w:sz w:val="24"/>
          <w:szCs w:val="24"/>
        </w:rPr>
        <w:t>sized development plots and some primary infrastructure may need to be provided</w:t>
      </w:r>
      <w:r w:rsidR="00857B35" w:rsidRPr="00821CD8">
        <w:rPr>
          <w:rFonts w:ascii="Foundry Form Sans" w:hAnsi="Foundry Form Sans"/>
          <w:sz w:val="24"/>
          <w:szCs w:val="24"/>
        </w:rPr>
        <w:t>; and</w:t>
      </w:r>
    </w:p>
    <w:p w:rsidR="00DB2D4F" w:rsidRPr="00821CD8" w:rsidRDefault="00D505D6">
      <w:pPr>
        <w:rPr>
          <w:rFonts w:ascii="Foundry Form Sans" w:hAnsi="Foundry Form Sans"/>
          <w:sz w:val="24"/>
          <w:szCs w:val="24"/>
        </w:rPr>
      </w:pPr>
      <w:r w:rsidRPr="00821CD8">
        <w:rPr>
          <w:rFonts w:ascii="Foundry Form Sans" w:hAnsi="Foundry Form Sans"/>
          <w:b/>
          <w:sz w:val="24"/>
          <w:szCs w:val="24"/>
        </w:rPr>
        <w:t>Purchase of land and buildings</w:t>
      </w:r>
      <w:r w:rsidRPr="00821CD8">
        <w:rPr>
          <w:rFonts w:ascii="Foundry Form Sans" w:hAnsi="Foundry Form Sans"/>
          <w:sz w:val="24"/>
          <w:szCs w:val="24"/>
        </w:rPr>
        <w:t>. There may be situations where the GLA will seek to acquire land in order to stimulate large</w:t>
      </w:r>
      <w:r w:rsidR="00857B35" w:rsidRPr="00821CD8">
        <w:rPr>
          <w:rFonts w:ascii="Foundry Form Sans" w:hAnsi="Foundry Form Sans"/>
          <w:sz w:val="24"/>
          <w:szCs w:val="24"/>
        </w:rPr>
        <w:t>-</w:t>
      </w:r>
      <w:r w:rsidRPr="00821CD8">
        <w:rPr>
          <w:rFonts w:ascii="Foundry Form Sans" w:hAnsi="Foundry Form Sans"/>
          <w:sz w:val="24"/>
          <w:szCs w:val="24"/>
        </w:rPr>
        <w:t>scale development projects. These are likely to be residential</w:t>
      </w:r>
      <w:r w:rsidR="00857B35" w:rsidRPr="00821CD8">
        <w:rPr>
          <w:rFonts w:ascii="Foundry Form Sans" w:hAnsi="Foundry Form Sans"/>
          <w:sz w:val="24"/>
          <w:szCs w:val="24"/>
        </w:rPr>
        <w:t>-</w:t>
      </w:r>
      <w:r w:rsidRPr="00821CD8">
        <w:rPr>
          <w:rFonts w:ascii="Foundry Form Sans" w:hAnsi="Foundry Form Sans"/>
          <w:sz w:val="24"/>
          <w:szCs w:val="24"/>
        </w:rPr>
        <w:t>led regeneration schemes within OAPF’s. In addition, property interests may be acquired where it makes sense from a financial and/or operational perspective</w:t>
      </w:r>
      <w:r w:rsidR="00DB581D" w:rsidRPr="00821CD8">
        <w:rPr>
          <w:rFonts w:ascii="Foundry Form Sans" w:hAnsi="Foundry Form Sans"/>
          <w:sz w:val="24"/>
          <w:szCs w:val="24"/>
        </w:rPr>
        <w:t>. The GLA may use its CPO powers to acquire land to facilitate development of key, strategic sites</w:t>
      </w:r>
    </w:p>
    <w:p w:rsidR="00DB2D4F" w:rsidRPr="00821CD8" w:rsidRDefault="00DB2D4F" w:rsidP="008B4152">
      <w:pPr>
        <w:pStyle w:val="ListParagraph"/>
        <w:numPr>
          <w:ilvl w:val="0"/>
          <w:numId w:val="5"/>
        </w:numPr>
        <w:rPr>
          <w:rFonts w:ascii="Foundry Form Sans" w:hAnsi="Foundry Form Sans"/>
          <w:b/>
          <w:sz w:val="24"/>
          <w:szCs w:val="24"/>
          <w:u w:val="single"/>
        </w:rPr>
      </w:pPr>
      <w:r w:rsidRPr="00821CD8">
        <w:rPr>
          <w:rFonts w:ascii="Foundry Form Sans" w:hAnsi="Foundry Form Sans"/>
          <w:b/>
          <w:sz w:val="24"/>
          <w:szCs w:val="24"/>
          <w:u w:val="single"/>
        </w:rPr>
        <w:t>Collaborative Working</w:t>
      </w:r>
    </w:p>
    <w:p w:rsidR="00813F10" w:rsidRPr="00821CD8" w:rsidRDefault="00632437" w:rsidP="00DB2D4F">
      <w:pPr>
        <w:rPr>
          <w:rFonts w:ascii="Foundry Form Sans" w:hAnsi="Foundry Form Sans"/>
          <w:sz w:val="24"/>
          <w:szCs w:val="24"/>
        </w:rPr>
      </w:pPr>
      <w:r w:rsidRPr="00821CD8">
        <w:rPr>
          <w:rFonts w:ascii="Foundry Form Sans" w:hAnsi="Foundry Form Sans"/>
          <w:sz w:val="24"/>
          <w:szCs w:val="24"/>
        </w:rPr>
        <w:t>T</w:t>
      </w:r>
      <w:r w:rsidR="00DB2D4F" w:rsidRPr="00821CD8">
        <w:rPr>
          <w:rFonts w:ascii="Foundry Form Sans" w:hAnsi="Foundry Form Sans"/>
          <w:sz w:val="24"/>
          <w:szCs w:val="24"/>
        </w:rPr>
        <w:t>he GLA will</w:t>
      </w:r>
      <w:r w:rsidRPr="00821CD8">
        <w:rPr>
          <w:rFonts w:ascii="Foundry Form Sans" w:hAnsi="Foundry Form Sans"/>
          <w:sz w:val="24"/>
          <w:szCs w:val="24"/>
        </w:rPr>
        <w:t xml:space="preserve"> continue to</w:t>
      </w:r>
      <w:r w:rsidR="00DB2D4F" w:rsidRPr="00821CD8">
        <w:rPr>
          <w:rFonts w:ascii="Foundry Form Sans" w:hAnsi="Foundry Form Sans"/>
          <w:sz w:val="24"/>
          <w:szCs w:val="24"/>
        </w:rPr>
        <w:t xml:space="preserve"> work closely with external parties to create and/or deliver, major development opportunities througho</w:t>
      </w:r>
      <w:r w:rsidR="00B21285" w:rsidRPr="00821CD8">
        <w:rPr>
          <w:rFonts w:ascii="Foundry Form Sans" w:hAnsi="Foundry Form Sans"/>
          <w:sz w:val="24"/>
          <w:szCs w:val="24"/>
        </w:rPr>
        <w:t xml:space="preserve">ut London. These include London Boroughs, other public sector land owners, commercial developers and </w:t>
      </w:r>
      <w:r w:rsidR="002E7B50" w:rsidRPr="00821CD8">
        <w:rPr>
          <w:rFonts w:ascii="Foundry Form Sans" w:hAnsi="Foundry Form Sans"/>
          <w:sz w:val="24"/>
          <w:szCs w:val="24"/>
        </w:rPr>
        <w:t>the GLA’s</w:t>
      </w:r>
      <w:r w:rsidR="00B21285" w:rsidRPr="00821CD8">
        <w:rPr>
          <w:rFonts w:ascii="Foundry Form Sans" w:hAnsi="Foundry Form Sans"/>
          <w:sz w:val="24"/>
          <w:szCs w:val="24"/>
        </w:rPr>
        <w:t xml:space="preserve"> own Functional Bodies.</w:t>
      </w:r>
      <w:r w:rsidR="00065D76" w:rsidRPr="00821CD8">
        <w:rPr>
          <w:rFonts w:ascii="Foundry Form Sans" w:hAnsi="Foundry Form Sans"/>
          <w:sz w:val="24"/>
          <w:szCs w:val="24"/>
        </w:rPr>
        <w:t xml:space="preserve"> </w:t>
      </w:r>
    </w:p>
    <w:p w:rsidR="00B41F3E" w:rsidRPr="00821CD8" w:rsidRDefault="00065D76" w:rsidP="00DB2D4F">
      <w:pPr>
        <w:rPr>
          <w:rFonts w:ascii="Foundry Form Sans" w:hAnsi="Foundry Form Sans"/>
          <w:sz w:val="24"/>
          <w:szCs w:val="24"/>
        </w:rPr>
      </w:pPr>
      <w:r w:rsidRPr="00821CD8">
        <w:rPr>
          <w:rFonts w:ascii="Foundry Form Sans" w:hAnsi="Foundry Form Sans"/>
          <w:sz w:val="24"/>
          <w:szCs w:val="24"/>
        </w:rPr>
        <w:t>The Mayor has established the Single Property Unit</w:t>
      </w:r>
      <w:r w:rsidR="00813F10" w:rsidRPr="00821CD8">
        <w:rPr>
          <w:rFonts w:ascii="Foundry Form Sans" w:hAnsi="Foundry Form Sans"/>
          <w:sz w:val="24"/>
          <w:szCs w:val="24"/>
        </w:rPr>
        <w:t>,</w:t>
      </w:r>
      <w:r w:rsidRPr="00821CD8">
        <w:rPr>
          <w:rFonts w:ascii="Foundry Form Sans" w:hAnsi="Foundry Form Sans"/>
          <w:sz w:val="24"/>
          <w:szCs w:val="24"/>
        </w:rPr>
        <w:t xml:space="preserve"> which </w:t>
      </w:r>
      <w:r w:rsidR="00813F10" w:rsidRPr="00821CD8">
        <w:rPr>
          <w:rFonts w:ascii="Foundry Form Sans" w:hAnsi="Foundry Form Sans"/>
          <w:sz w:val="24"/>
          <w:szCs w:val="24"/>
        </w:rPr>
        <w:t>ensures a closer working relationship between the Functional Bodies and this has already delivered results in terms of procurement, development strategies, streamlining disposal processes (the London Development Panel), setting of cost saving targets and transparency of information.</w:t>
      </w:r>
    </w:p>
    <w:p w:rsidR="00B21285" w:rsidRPr="00821CD8" w:rsidRDefault="00813F10" w:rsidP="00DB2D4F">
      <w:pPr>
        <w:rPr>
          <w:rFonts w:ascii="Foundry Form Sans" w:hAnsi="Foundry Form Sans"/>
          <w:sz w:val="24"/>
          <w:szCs w:val="24"/>
        </w:rPr>
      </w:pPr>
      <w:r w:rsidRPr="00821CD8">
        <w:rPr>
          <w:rFonts w:ascii="Foundry Form Sans" w:hAnsi="Foundry Form Sans"/>
          <w:sz w:val="24"/>
          <w:szCs w:val="24"/>
        </w:rPr>
        <w:t>In relation to major development activity, e</w:t>
      </w:r>
      <w:r w:rsidR="00B21285" w:rsidRPr="00821CD8">
        <w:rPr>
          <w:rFonts w:ascii="Foundry Form Sans" w:hAnsi="Foundry Form Sans"/>
          <w:sz w:val="24"/>
          <w:szCs w:val="24"/>
        </w:rPr>
        <w:t>xamples of collaborative working incl</w:t>
      </w:r>
      <w:r w:rsidRPr="00821CD8">
        <w:rPr>
          <w:rFonts w:ascii="Foundry Form Sans" w:hAnsi="Foundry Form Sans"/>
          <w:sz w:val="24"/>
          <w:szCs w:val="24"/>
        </w:rPr>
        <w:t>ude</w:t>
      </w:r>
      <w:r w:rsidR="00B21285" w:rsidRPr="00821CD8">
        <w:rPr>
          <w:rFonts w:ascii="Foundry Form Sans" w:hAnsi="Foundry Form Sans"/>
          <w:sz w:val="24"/>
          <w:szCs w:val="24"/>
        </w:rPr>
        <w:t>:</w:t>
      </w:r>
    </w:p>
    <w:p w:rsidR="00B21285" w:rsidRPr="00821CD8" w:rsidRDefault="00B21285" w:rsidP="00DB2D4F">
      <w:pPr>
        <w:rPr>
          <w:rFonts w:ascii="Foundry Form Sans" w:hAnsi="Foundry Form Sans"/>
          <w:sz w:val="24"/>
          <w:szCs w:val="24"/>
        </w:rPr>
      </w:pPr>
      <w:r w:rsidRPr="00821CD8">
        <w:rPr>
          <w:rFonts w:ascii="Foundry Form Sans" w:hAnsi="Foundry Form Sans"/>
          <w:sz w:val="24"/>
          <w:szCs w:val="24"/>
        </w:rPr>
        <w:t xml:space="preserve">Greenwich </w:t>
      </w:r>
      <w:r w:rsidR="00E218FE" w:rsidRPr="00821CD8">
        <w:rPr>
          <w:rFonts w:ascii="Foundry Form Sans" w:hAnsi="Foundry Form Sans"/>
          <w:sz w:val="24"/>
          <w:szCs w:val="24"/>
        </w:rPr>
        <w:t>Peninsular</w:t>
      </w:r>
      <w:r w:rsidR="00813F10" w:rsidRPr="00821CD8">
        <w:rPr>
          <w:rFonts w:ascii="Foundry Form Sans" w:hAnsi="Foundry Form Sans"/>
          <w:sz w:val="24"/>
          <w:szCs w:val="24"/>
        </w:rPr>
        <w:t xml:space="preserve"> – </w:t>
      </w:r>
      <w:r w:rsidR="00A109C5">
        <w:rPr>
          <w:rFonts w:ascii="Foundry Form Sans" w:hAnsi="Foundry Form Sans"/>
          <w:i/>
          <w:sz w:val="24"/>
          <w:szCs w:val="24"/>
        </w:rPr>
        <w:t>hyper</w:t>
      </w:r>
      <w:r w:rsidR="00813F10" w:rsidRPr="00A109C5">
        <w:rPr>
          <w:rFonts w:ascii="Foundry Form Sans" w:hAnsi="Foundry Form Sans"/>
          <w:i/>
          <w:sz w:val="24"/>
          <w:szCs w:val="24"/>
        </w:rPr>
        <w:t>link</w:t>
      </w:r>
      <w:r w:rsidR="007F7FCD" w:rsidRPr="00A109C5">
        <w:rPr>
          <w:rFonts w:ascii="Foundry Form Sans" w:hAnsi="Foundry Form Sans"/>
          <w:i/>
          <w:sz w:val="24"/>
          <w:szCs w:val="24"/>
        </w:rPr>
        <w:t xml:space="preserve"> to template</w:t>
      </w:r>
    </w:p>
    <w:p w:rsidR="00B21285" w:rsidRPr="00821CD8" w:rsidRDefault="00B21285" w:rsidP="00DB2D4F">
      <w:pPr>
        <w:rPr>
          <w:rFonts w:ascii="Foundry Form Sans" w:hAnsi="Foundry Form Sans"/>
          <w:sz w:val="24"/>
          <w:szCs w:val="24"/>
        </w:rPr>
      </w:pPr>
      <w:r w:rsidRPr="00821CD8">
        <w:rPr>
          <w:rFonts w:ascii="Foundry Form Sans" w:hAnsi="Foundry Form Sans"/>
          <w:sz w:val="24"/>
          <w:szCs w:val="24"/>
        </w:rPr>
        <w:t>Haringey Heartlands</w:t>
      </w:r>
      <w:r w:rsidR="00813F10" w:rsidRPr="00821CD8">
        <w:rPr>
          <w:rFonts w:ascii="Foundry Form Sans" w:hAnsi="Foundry Form Sans"/>
          <w:sz w:val="24"/>
          <w:szCs w:val="24"/>
        </w:rPr>
        <w:t xml:space="preserve"> – </w:t>
      </w:r>
      <w:r w:rsidR="00A109C5">
        <w:rPr>
          <w:rFonts w:ascii="Foundry Form Sans" w:hAnsi="Foundry Form Sans"/>
          <w:i/>
          <w:sz w:val="24"/>
          <w:szCs w:val="24"/>
        </w:rPr>
        <w:t>hyper</w:t>
      </w:r>
      <w:r w:rsidR="00813F10" w:rsidRPr="00A109C5">
        <w:rPr>
          <w:rFonts w:ascii="Foundry Form Sans" w:hAnsi="Foundry Form Sans"/>
          <w:i/>
          <w:sz w:val="24"/>
          <w:szCs w:val="24"/>
        </w:rPr>
        <w:t>link</w:t>
      </w:r>
      <w:r w:rsidR="007F7FCD" w:rsidRPr="00A109C5">
        <w:rPr>
          <w:rFonts w:ascii="Foundry Form Sans" w:hAnsi="Foundry Form Sans"/>
          <w:i/>
          <w:sz w:val="24"/>
          <w:szCs w:val="24"/>
        </w:rPr>
        <w:t xml:space="preserve"> to template</w:t>
      </w:r>
    </w:p>
    <w:p w:rsidR="00B21285" w:rsidRPr="00821CD8" w:rsidRDefault="00B21285" w:rsidP="00DB2D4F">
      <w:pPr>
        <w:rPr>
          <w:rFonts w:ascii="Foundry Form Sans" w:hAnsi="Foundry Form Sans"/>
          <w:sz w:val="24"/>
          <w:szCs w:val="24"/>
        </w:rPr>
      </w:pPr>
      <w:r w:rsidRPr="00821CD8">
        <w:rPr>
          <w:rFonts w:ascii="Foundry Form Sans" w:hAnsi="Foundry Form Sans"/>
          <w:sz w:val="24"/>
          <w:szCs w:val="24"/>
        </w:rPr>
        <w:t>White Heart Triangle</w:t>
      </w:r>
      <w:r w:rsidR="00813F10" w:rsidRPr="00821CD8">
        <w:rPr>
          <w:rFonts w:ascii="Foundry Form Sans" w:hAnsi="Foundry Form Sans"/>
          <w:sz w:val="24"/>
          <w:szCs w:val="24"/>
        </w:rPr>
        <w:t xml:space="preserve"> – </w:t>
      </w:r>
      <w:r w:rsidR="00A109C5">
        <w:rPr>
          <w:rFonts w:ascii="Foundry Form Sans" w:hAnsi="Foundry Form Sans"/>
          <w:i/>
          <w:sz w:val="24"/>
          <w:szCs w:val="24"/>
        </w:rPr>
        <w:t>hyper</w:t>
      </w:r>
      <w:r w:rsidR="00813F10" w:rsidRPr="00A109C5">
        <w:rPr>
          <w:rFonts w:ascii="Foundry Form Sans" w:hAnsi="Foundry Form Sans"/>
          <w:i/>
          <w:sz w:val="24"/>
          <w:szCs w:val="24"/>
        </w:rPr>
        <w:t>link</w:t>
      </w:r>
      <w:r w:rsidR="007F7FCD" w:rsidRPr="00A109C5">
        <w:rPr>
          <w:rFonts w:ascii="Foundry Form Sans" w:hAnsi="Foundry Form Sans"/>
          <w:i/>
          <w:sz w:val="24"/>
          <w:szCs w:val="24"/>
        </w:rPr>
        <w:t xml:space="preserve"> to template</w:t>
      </w:r>
    </w:p>
    <w:p w:rsidR="00B21285" w:rsidRPr="00821CD8" w:rsidRDefault="005C2138" w:rsidP="00DB2D4F">
      <w:pPr>
        <w:rPr>
          <w:rFonts w:ascii="Foundry Form Sans" w:hAnsi="Foundry Form Sans"/>
          <w:sz w:val="24"/>
          <w:szCs w:val="24"/>
        </w:rPr>
      </w:pPr>
      <w:r w:rsidRPr="00821CD8">
        <w:rPr>
          <w:rFonts w:ascii="Foundry Form Sans" w:hAnsi="Foundry Form Sans"/>
          <w:sz w:val="24"/>
          <w:szCs w:val="24"/>
        </w:rPr>
        <w:t>Heart of East Greenwich</w:t>
      </w:r>
      <w:r w:rsidR="00813F10" w:rsidRPr="00821CD8">
        <w:rPr>
          <w:rFonts w:ascii="Foundry Form Sans" w:hAnsi="Foundry Form Sans"/>
          <w:sz w:val="24"/>
          <w:szCs w:val="24"/>
        </w:rPr>
        <w:t xml:space="preserve"> – </w:t>
      </w:r>
      <w:r w:rsidR="00A109C5">
        <w:rPr>
          <w:rFonts w:ascii="Foundry Form Sans" w:hAnsi="Foundry Form Sans"/>
          <w:i/>
          <w:sz w:val="24"/>
          <w:szCs w:val="24"/>
        </w:rPr>
        <w:t>hyper</w:t>
      </w:r>
      <w:r w:rsidR="00813F10" w:rsidRPr="00A109C5">
        <w:rPr>
          <w:rFonts w:ascii="Foundry Form Sans" w:hAnsi="Foundry Form Sans"/>
          <w:i/>
          <w:sz w:val="24"/>
          <w:szCs w:val="24"/>
        </w:rPr>
        <w:t>link</w:t>
      </w:r>
      <w:r w:rsidR="007F7FCD" w:rsidRPr="00A109C5">
        <w:rPr>
          <w:rFonts w:ascii="Foundry Form Sans" w:hAnsi="Foundry Form Sans"/>
          <w:i/>
          <w:sz w:val="24"/>
          <w:szCs w:val="24"/>
        </w:rPr>
        <w:t xml:space="preserve"> to template</w:t>
      </w:r>
    </w:p>
    <w:p w:rsidR="00E218FE" w:rsidRPr="00821CD8" w:rsidRDefault="00E218FE" w:rsidP="00E218FE">
      <w:pPr>
        <w:pStyle w:val="ListParagraph"/>
        <w:numPr>
          <w:ilvl w:val="0"/>
          <w:numId w:val="5"/>
        </w:numPr>
        <w:rPr>
          <w:rFonts w:ascii="Foundry Form Sans" w:hAnsi="Foundry Form Sans"/>
          <w:b/>
          <w:sz w:val="24"/>
          <w:szCs w:val="24"/>
          <w:u w:val="single"/>
        </w:rPr>
      </w:pPr>
      <w:r w:rsidRPr="00821CD8">
        <w:rPr>
          <w:rFonts w:ascii="Foundry Form Sans" w:hAnsi="Foundry Form Sans"/>
          <w:b/>
          <w:sz w:val="24"/>
          <w:szCs w:val="24"/>
          <w:u w:val="single"/>
        </w:rPr>
        <w:t>Positive Asset Management</w:t>
      </w:r>
    </w:p>
    <w:p w:rsidR="00E218FE" w:rsidRPr="00821CD8" w:rsidRDefault="00E218FE" w:rsidP="00E218FE">
      <w:pPr>
        <w:rPr>
          <w:rFonts w:ascii="Foundry Form Sans" w:hAnsi="Foundry Form Sans"/>
          <w:sz w:val="24"/>
          <w:szCs w:val="24"/>
        </w:rPr>
      </w:pPr>
      <w:r w:rsidRPr="00821CD8">
        <w:rPr>
          <w:rFonts w:ascii="Foundry Form Sans" w:hAnsi="Foundry Form Sans"/>
          <w:sz w:val="24"/>
          <w:szCs w:val="24"/>
        </w:rPr>
        <w:t>The GLA has a varied portfolio and while</w:t>
      </w:r>
      <w:r w:rsidR="002E7B50" w:rsidRPr="00821CD8">
        <w:rPr>
          <w:rFonts w:ascii="Foundry Form Sans" w:hAnsi="Foundry Form Sans"/>
          <w:sz w:val="24"/>
          <w:szCs w:val="24"/>
        </w:rPr>
        <w:t xml:space="preserve"> the</w:t>
      </w:r>
      <w:r w:rsidRPr="00821CD8">
        <w:rPr>
          <w:rFonts w:ascii="Foundry Form Sans" w:hAnsi="Foundry Form Sans"/>
          <w:sz w:val="24"/>
          <w:szCs w:val="24"/>
        </w:rPr>
        <w:t xml:space="preserve"> majority of the land is held for development, there are a number of residual interests in previously developed land holdings, assets held for investment as well as various legal interests in properties owned by previous regeneration bodies. In addition, the GLA is responsible for the National Sports Centre at Crystal Palace</w:t>
      </w:r>
      <w:r w:rsidR="0093689D" w:rsidRPr="00821CD8">
        <w:rPr>
          <w:rFonts w:ascii="Foundry Form Sans" w:hAnsi="Foundry Form Sans"/>
          <w:sz w:val="24"/>
          <w:szCs w:val="24"/>
        </w:rPr>
        <w:t xml:space="preserve"> and Thames Barrier Park</w:t>
      </w:r>
      <w:r w:rsidRPr="00821CD8">
        <w:rPr>
          <w:rFonts w:ascii="Foundry Form Sans" w:hAnsi="Foundry Form Sans"/>
          <w:sz w:val="24"/>
          <w:szCs w:val="24"/>
        </w:rPr>
        <w:t>.</w:t>
      </w:r>
    </w:p>
    <w:p w:rsidR="00E218FE" w:rsidRPr="00821CD8" w:rsidRDefault="00E218FE" w:rsidP="00E218FE">
      <w:pPr>
        <w:rPr>
          <w:rFonts w:ascii="Foundry Form Sans" w:hAnsi="Foundry Form Sans"/>
          <w:sz w:val="24"/>
          <w:szCs w:val="24"/>
        </w:rPr>
      </w:pPr>
      <w:r w:rsidRPr="00821CD8">
        <w:rPr>
          <w:rFonts w:ascii="Foundry Form Sans" w:hAnsi="Foundry Form Sans"/>
          <w:sz w:val="24"/>
          <w:szCs w:val="24"/>
        </w:rPr>
        <w:lastRenderedPageBreak/>
        <w:t xml:space="preserve">This portfolio is managed in such a way as to meet the </w:t>
      </w:r>
      <w:r w:rsidR="007F7FCD" w:rsidRPr="00821CD8">
        <w:rPr>
          <w:rFonts w:ascii="Foundry Form Sans" w:hAnsi="Foundry Form Sans"/>
          <w:sz w:val="24"/>
          <w:szCs w:val="24"/>
        </w:rPr>
        <w:t>key</w:t>
      </w:r>
      <w:r w:rsidRPr="00821CD8">
        <w:rPr>
          <w:rFonts w:ascii="Foundry Form Sans" w:hAnsi="Foundry Form Sans"/>
          <w:sz w:val="24"/>
          <w:szCs w:val="24"/>
        </w:rPr>
        <w:t xml:space="preserve"> objectives</w:t>
      </w:r>
      <w:r w:rsidR="007F7FCD" w:rsidRPr="00821CD8">
        <w:rPr>
          <w:rFonts w:ascii="Foundry Form Sans" w:hAnsi="Foundry Form Sans"/>
          <w:sz w:val="24"/>
          <w:szCs w:val="24"/>
        </w:rPr>
        <w:t xml:space="preserve"> set out below</w:t>
      </w:r>
      <w:r w:rsidRPr="00821CD8">
        <w:rPr>
          <w:rFonts w:ascii="Foundry Form Sans" w:hAnsi="Foundry Form Sans"/>
          <w:sz w:val="24"/>
          <w:szCs w:val="24"/>
        </w:rPr>
        <w:t>:</w:t>
      </w:r>
    </w:p>
    <w:p w:rsidR="00E218FE" w:rsidRPr="00821CD8" w:rsidRDefault="00E218FE" w:rsidP="00E218FE">
      <w:pPr>
        <w:pStyle w:val="ListParagraph"/>
        <w:numPr>
          <w:ilvl w:val="0"/>
          <w:numId w:val="6"/>
        </w:numPr>
        <w:rPr>
          <w:rFonts w:ascii="Foundry Form Sans" w:hAnsi="Foundry Form Sans"/>
          <w:sz w:val="24"/>
          <w:szCs w:val="24"/>
        </w:rPr>
      </w:pPr>
      <w:r w:rsidRPr="00821CD8">
        <w:rPr>
          <w:rFonts w:ascii="Foundry Form Sans" w:hAnsi="Foundry Form Sans"/>
          <w:sz w:val="24"/>
          <w:szCs w:val="24"/>
        </w:rPr>
        <w:t>To ensure that all statutory obligations are met</w:t>
      </w:r>
      <w:r w:rsidR="007F7FCD" w:rsidRPr="00821CD8">
        <w:rPr>
          <w:rFonts w:ascii="Foundry Form Sans" w:hAnsi="Foundry Form Sans"/>
          <w:sz w:val="24"/>
          <w:szCs w:val="24"/>
        </w:rPr>
        <w:t>,</w:t>
      </w:r>
      <w:r w:rsidR="00B16BDB" w:rsidRPr="00821CD8">
        <w:rPr>
          <w:rFonts w:ascii="Foundry Form Sans" w:hAnsi="Foundry Form Sans"/>
          <w:sz w:val="24"/>
          <w:szCs w:val="24"/>
        </w:rPr>
        <w:t xml:space="preserve"> </w:t>
      </w:r>
      <w:r w:rsidR="007F7FCD" w:rsidRPr="00821CD8">
        <w:rPr>
          <w:rFonts w:ascii="Foundry Form Sans" w:hAnsi="Foundry Form Sans" w:cs="Arial"/>
          <w:sz w:val="24"/>
          <w:szCs w:val="24"/>
        </w:rPr>
        <w:t xml:space="preserve">the GLA and </w:t>
      </w:r>
      <w:r w:rsidR="009C2CE4" w:rsidRPr="00821CD8">
        <w:rPr>
          <w:rFonts w:ascii="Foundry Form Sans" w:hAnsi="Foundry Form Sans" w:cs="Arial"/>
          <w:sz w:val="24"/>
          <w:szCs w:val="24"/>
        </w:rPr>
        <w:t>its</w:t>
      </w:r>
      <w:r w:rsidR="007F7FCD" w:rsidRPr="00821CD8">
        <w:rPr>
          <w:rFonts w:ascii="Foundry Form Sans" w:hAnsi="Foundry Form Sans" w:cs="Arial"/>
          <w:sz w:val="24"/>
          <w:szCs w:val="24"/>
        </w:rPr>
        <w:t xml:space="preserve"> managing agents,</w:t>
      </w:r>
      <w:r w:rsidR="00B16BDB" w:rsidRPr="00821CD8">
        <w:rPr>
          <w:rFonts w:ascii="Foundry Form Sans" w:hAnsi="Foundry Form Sans" w:cs="Arial"/>
          <w:sz w:val="24"/>
          <w:szCs w:val="24"/>
        </w:rPr>
        <w:t xml:space="preserve"> proactively manages health and safety on all its land and property assets by</w:t>
      </w:r>
      <w:r w:rsidR="00B16BDB" w:rsidRPr="00821CD8">
        <w:rPr>
          <w:rFonts w:ascii="Foundry Form Sans" w:hAnsi="Foundry Form Sans" w:cs="Arial"/>
          <w:sz w:val="24"/>
          <w:szCs w:val="24"/>
          <w:lang w:eastAsia="en-GB"/>
        </w:rPr>
        <w:t xml:space="preserve"> providing suitable control of health and safety risks</w:t>
      </w:r>
      <w:r w:rsidR="007F7FCD" w:rsidRPr="00821CD8">
        <w:rPr>
          <w:rFonts w:ascii="Foundry Form Sans" w:hAnsi="Foundry Form Sans" w:cs="Arial"/>
          <w:sz w:val="24"/>
          <w:szCs w:val="24"/>
          <w:lang w:eastAsia="en-GB"/>
        </w:rPr>
        <w:t>,</w:t>
      </w:r>
      <w:r w:rsidR="00B16BDB" w:rsidRPr="00821CD8">
        <w:rPr>
          <w:rFonts w:ascii="Foundry Form Sans" w:hAnsi="Foundry Form Sans" w:cs="Arial"/>
          <w:sz w:val="24"/>
          <w:szCs w:val="24"/>
          <w:lang w:eastAsia="en-GB"/>
        </w:rPr>
        <w:t xml:space="preserve"> ensuring safe and secure working conditions to reduce the risk of accidents</w:t>
      </w:r>
    </w:p>
    <w:p w:rsidR="0093689D" w:rsidRPr="00821CD8" w:rsidRDefault="0093689D" w:rsidP="0093689D">
      <w:pPr>
        <w:pStyle w:val="ListParagraph"/>
        <w:numPr>
          <w:ilvl w:val="0"/>
          <w:numId w:val="6"/>
        </w:numPr>
        <w:rPr>
          <w:rFonts w:ascii="Foundry Form Sans" w:hAnsi="Foundry Form Sans"/>
          <w:sz w:val="24"/>
          <w:szCs w:val="24"/>
        </w:rPr>
      </w:pPr>
      <w:r w:rsidRPr="00821CD8">
        <w:rPr>
          <w:rFonts w:ascii="Foundry Form Sans" w:hAnsi="Foundry Form Sans"/>
          <w:sz w:val="24"/>
          <w:szCs w:val="24"/>
        </w:rPr>
        <w:t>To maximise the financial performance of the portfolio</w:t>
      </w:r>
    </w:p>
    <w:p w:rsidR="00E218FE" w:rsidRPr="00821CD8" w:rsidRDefault="00E218FE" w:rsidP="00E218FE">
      <w:pPr>
        <w:pStyle w:val="ListParagraph"/>
        <w:numPr>
          <w:ilvl w:val="0"/>
          <w:numId w:val="6"/>
        </w:numPr>
        <w:rPr>
          <w:rFonts w:ascii="Foundry Form Sans" w:hAnsi="Foundry Form Sans"/>
          <w:sz w:val="24"/>
          <w:szCs w:val="24"/>
        </w:rPr>
      </w:pPr>
      <w:r w:rsidRPr="00821CD8">
        <w:rPr>
          <w:rFonts w:ascii="Foundry Form Sans" w:hAnsi="Foundry Form Sans"/>
          <w:sz w:val="24"/>
          <w:szCs w:val="24"/>
        </w:rPr>
        <w:t>To provide an appropriate working environment for  tenants</w:t>
      </w:r>
    </w:p>
    <w:p w:rsidR="00E218FE" w:rsidRPr="00821CD8" w:rsidRDefault="00E218FE" w:rsidP="00E218FE">
      <w:pPr>
        <w:pStyle w:val="ListParagraph"/>
        <w:numPr>
          <w:ilvl w:val="0"/>
          <w:numId w:val="6"/>
        </w:numPr>
        <w:rPr>
          <w:rFonts w:ascii="Foundry Form Sans" w:hAnsi="Foundry Form Sans"/>
          <w:sz w:val="24"/>
          <w:szCs w:val="24"/>
        </w:rPr>
      </w:pPr>
      <w:r w:rsidRPr="00821CD8">
        <w:rPr>
          <w:rFonts w:ascii="Foundry Form Sans" w:hAnsi="Foundry Form Sans"/>
          <w:sz w:val="24"/>
          <w:szCs w:val="24"/>
        </w:rPr>
        <w:t xml:space="preserve">To assist in </w:t>
      </w:r>
      <w:r w:rsidR="002E7B50" w:rsidRPr="00821CD8">
        <w:rPr>
          <w:rFonts w:ascii="Foundry Form Sans" w:hAnsi="Foundry Form Sans"/>
          <w:sz w:val="24"/>
          <w:szCs w:val="24"/>
        </w:rPr>
        <w:t>realising</w:t>
      </w:r>
      <w:r w:rsidRPr="00821CD8">
        <w:rPr>
          <w:rFonts w:ascii="Foundry Form Sans" w:hAnsi="Foundry Form Sans"/>
          <w:sz w:val="24"/>
          <w:szCs w:val="24"/>
        </w:rPr>
        <w:t xml:space="preserve"> development opportunities for the land assets</w:t>
      </w:r>
    </w:p>
    <w:p w:rsidR="0093689D" w:rsidRPr="00821CD8" w:rsidRDefault="0093689D" w:rsidP="00E218FE">
      <w:pPr>
        <w:pStyle w:val="ListParagraph"/>
        <w:numPr>
          <w:ilvl w:val="0"/>
          <w:numId w:val="6"/>
        </w:numPr>
        <w:rPr>
          <w:rFonts w:ascii="Foundry Form Sans" w:hAnsi="Foundry Form Sans"/>
          <w:sz w:val="24"/>
          <w:szCs w:val="24"/>
        </w:rPr>
      </w:pPr>
      <w:r w:rsidRPr="00821CD8">
        <w:rPr>
          <w:rFonts w:ascii="Foundry Form Sans" w:hAnsi="Foundry Form Sans"/>
          <w:sz w:val="24"/>
          <w:szCs w:val="24"/>
        </w:rPr>
        <w:t xml:space="preserve">To contribute to the vitality of an area by facilitating meanwhile use </w:t>
      </w:r>
      <w:r w:rsidR="007D1534" w:rsidRPr="00821CD8">
        <w:rPr>
          <w:rFonts w:ascii="Foundry Form Sans" w:hAnsi="Foundry Form Sans"/>
          <w:sz w:val="24"/>
          <w:szCs w:val="24"/>
        </w:rPr>
        <w:t>opportunities</w:t>
      </w:r>
      <w:r w:rsidRPr="00821CD8">
        <w:rPr>
          <w:rFonts w:ascii="Foundry Form Sans" w:hAnsi="Foundry Form Sans"/>
          <w:sz w:val="24"/>
          <w:szCs w:val="24"/>
        </w:rPr>
        <w:t xml:space="preserve"> on surplus land </w:t>
      </w:r>
    </w:p>
    <w:p w:rsidR="00B3065D" w:rsidRDefault="00E218FE" w:rsidP="00B3065D">
      <w:pPr>
        <w:pStyle w:val="ListParagraph"/>
        <w:numPr>
          <w:ilvl w:val="0"/>
          <w:numId w:val="6"/>
        </w:numPr>
        <w:rPr>
          <w:rFonts w:ascii="Foundry Form Sans" w:hAnsi="Foundry Form Sans"/>
          <w:sz w:val="24"/>
          <w:szCs w:val="24"/>
        </w:rPr>
      </w:pPr>
      <w:r w:rsidRPr="00821CD8">
        <w:rPr>
          <w:rFonts w:ascii="Foundry Form Sans" w:hAnsi="Foundry Form Sans"/>
          <w:sz w:val="24"/>
          <w:szCs w:val="24"/>
        </w:rPr>
        <w:t>To maintain property assets in an appropriate condition reflecting the nature of the asset</w:t>
      </w:r>
    </w:p>
    <w:p w:rsidR="00E218FE" w:rsidRPr="00B3065D" w:rsidRDefault="00E218FE" w:rsidP="00B3065D">
      <w:pPr>
        <w:pStyle w:val="ListParagraph"/>
        <w:numPr>
          <w:ilvl w:val="0"/>
          <w:numId w:val="6"/>
        </w:numPr>
        <w:rPr>
          <w:rFonts w:ascii="Foundry Form Sans" w:hAnsi="Foundry Form Sans"/>
          <w:sz w:val="24"/>
          <w:szCs w:val="24"/>
        </w:rPr>
      </w:pPr>
      <w:r w:rsidRPr="00B3065D">
        <w:rPr>
          <w:rFonts w:ascii="Foundry Form Sans" w:hAnsi="Foundry Form Sans"/>
          <w:sz w:val="24"/>
          <w:szCs w:val="24"/>
        </w:rPr>
        <w:t xml:space="preserve">To maintain robust information in relation to the GLA’s property assets </w:t>
      </w:r>
    </w:p>
    <w:p w:rsidR="000C3071" w:rsidRPr="00821CD8" w:rsidRDefault="000C3071" w:rsidP="00DB2D4F">
      <w:pPr>
        <w:rPr>
          <w:rFonts w:ascii="Foundry Form Sans" w:hAnsi="Foundry Form Sans"/>
          <w:b/>
          <w:sz w:val="24"/>
          <w:szCs w:val="24"/>
        </w:rPr>
      </w:pPr>
      <w:r w:rsidRPr="00821CD8">
        <w:rPr>
          <w:rFonts w:ascii="Foundry Form Sans" w:hAnsi="Foundry Form Sans"/>
          <w:b/>
          <w:sz w:val="24"/>
          <w:szCs w:val="24"/>
        </w:rPr>
        <w:t>Key elements of portfolio management are:</w:t>
      </w:r>
    </w:p>
    <w:p w:rsidR="000C3071" w:rsidRPr="00821CD8" w:rsidRDefault="000C3071" w:rsidP="00B41F3E">
      <w:pPr>
        <w:pStyle w:val="ListParagraph"/>
        <w:numPr>
          <w:ilvl w:val="0"/>
          <w:numId w:val="7"/>
        </w:numPr>
        <w:rPr>
          <w:rFonts w:ascii="Foundry Form Sans" w:hAnsi="Foundry Form Sans"/>
          <w:sz w:val="24"/>
          <w:szCs w:val="24"/>
        </w:rPr>
      </w:pPr>
      <w:r w:rsidRPr="00821CD8">
        <w:rPr>
          <w:rFonts w:ascii="Foundry Form Sans" w:hAnsi="Foundry Form Sans"/>
          <w:sz w:val="24"/>
          <w:szCs w:val="24"/>
        </w:rPr>
        <w:t>The GLA has an operating model based on a small internal team supported by retained service suppliers</w:t>
      </w:r>
    </w:p>
    <w:p w:rsidR="000C3071" w:rsidRPr="00821CD8" w:rsidRDefault="000C3071" w:rsidP="00B41F3E">
      <w:pPr>
        <w:pStyle w:val="ListParagraph"/>
        <w:numPr>
          <w:ilvl w:val="0"/>
          <w:numId w:val="7"/>
        </w:numPr>
        <w:rPr>
          <w:rFonts w:ascii="Foundry Form Sans" w:hAnsi="Foundry Form Sans"/>
          <w:sz w:val="24"/>
          <w:szCs w:val="24"/>
        </w:rPr>
      </w:pPr>
      <w:r w:rsidRPr="00821CD8">
        <w:rPr>
          <w:rFonts w:ascii="Foundry Form Sans" w:hAnsi="Foundry Form Sans"/>
          <w:sz w:val="24"/>
          <w:szCs w:val="24"/>
        </w:rPr>
        <w:t>Assets are valued annually</w:t>
      </w:r>
    </w:p>
    <w:p w:rsidR="000C3071" w:rsidRPr="00821CD8" w:rsidRDefault="000C3071" w:rsidP="00B41F3E">
      <w:pPr>
        <w:pStyle w:val="ListParagraph"/>
        <w:numPr>
          <w:ilvl w:val="0"/>
          <w:numId w:val="7"/>
        </w:numPr>
        <w:rPr>
          <w:rFonts w:ascii="Foundry Form Sans" w:hAnsi="Foundry Form Sans"/>
          <w:sz w:val="24"/>
          <w:szCs w:val="24"/>
        </w:rPr>
      </w:pPr>
      <w:r w:rsidRPr="00821CD8">
        <w:rPr>
          <w:rFonts w:ascii="Foundry Form Sans" w:hAnsi="Foundry Form Sans"/>
          <w:sz w:val="24"/>
          <w:szCs w:val="24"/>
        </w:rPr>
        <w:t>Comprehensive insurance cover is maintained. Risks covered are site specific and constantly reviewed</w:t>
      </w:r>
    </w:p>
    <w:p w:rsidR="00AB162A" w:rsidRPr="00821CD8" w:rsidRDefault="00AB162A" w:rsidP="00DB2D4F">
      <w:pPr>
        <w:rPr>
          <w:rFonts w:ascii="Foundry Form Sans" w:hAnsi="Foundry Form Sans"/>
          <w:b/>
          <w:sz w:val="24"/>
          <w:szCs w:val="24"/>
        </w:rPr>
      </w:pPr>
      <w:r w:rsidRPr="00821CD8">
        <w:rPr>
          <w:rFonts w:ascii="Foundry Form Sans" w:hAnsi="Foundry Form Sans"/>
          <w:b/>
          <w:sz w:val="24"/>
          <w:szCs w:val="24"/>
        </w:rPr>
        <w:t>Wh</w:t>
      </w:r>
      <w:r w:rsidR="003A6F85" w:rsidRPr="00821CD8">
        <w:rPr>
          <w:rFonts w:ascii="Foundry Form Sans" w:hAnsi="Foundry Form Sans"/>
          <w:b/>
          <w:sz w:val="24"/>
          <w:szCs w:val="24"/>
        </w:rPr>
        <w:t>at’s been achieved to date</w:t>
      </w:r>
      <w:r w:rsidRPr="00821CD8">
        <w:rPr>
          <w:rFonts w:ascii="Foundry Form Sans" w:hAnsi="Foundry Form Sans"/>
          <w:b/>
          <w:sz w:val="24"/>
          <w:szCs w:val="24"/>
        </w:rPr>
        <w:t>?</w:t>
      </w:r>
    </w:p>
    <w:p w:rsidR="006E4A84" w:rsidRDefault="00AB162A" w:rsidP="00DB2D4F">
      <w:pPr>
        <w:rPr>
          <w:rFonts w:ascii="Foundry Form Sans" w:hAnsi="Foundry Form Sans"/>
          <w:sz w:val="24"/>
          <w:szCs w:val="24"/>
        </w:rPr>
      </w:pPr>
      <w:r w:rsidRPr="00821CD8">
        <w:rPr>
          <w:rFonts w:ascii="Foundry Form Sans" w:hAnsi="Foundry Form Sans"/>
          <w:sz w:val="24"/>
          <w:szCs w:val="24"/>
        </w:rPr>
        <w:t>In the first year of operation, the GLA released over 100 hectares of land for development</w:t>
      </w:r>
      <w:r w:rsidR="006E4A84">
        <w:rPr>
          <w:rFonts w:ascii="Foundry Form Sans" w:hAnsi="Foundry Form Sans"/>
          <w:sz w:val="24"/>
          <w:szCs w:val="24"/>
        </w:rPr>
        <w:t>, with an estimated gross development value of one billion pounds</w:t>
      </w:r>
      <w:r w:rsidR="00821CD8">
        <w:rPr>
          <w:rFonts w:ascii="Foundry Form Sans" w:hAnsi="Foundry Form Sans"/>
          <w:sz w:val="24"/>
          <w:szCs w:val="24"/>
        </w:rPr>
        <w:t>.</w:t>
      </w:r>
      <w:r w:rsidR="002E7B50" w:rsidRPr="00821CD8">
        <w:rPr>
          <w:rFonts w:ascii="Foundry Form Sans" w:hAnsi="Foundry Form Sans"/>
          <w:sz w:val="24"/>
          <w:szCs w:val="24"/>
        </w:rPr>
        <w:t xml:space="preserve"> </w:t>
      </w:r>
    </w:p>
    <w:p w:rsidR="0056043A" w:rsidRPr="00821CD8" w:rsidRDefault="0056043A" w:rsidP="00DB2D4F">
      <w:pPr>
        <w:rPr>
          <w:rFonts w:ascii="Foundry Form Sans" w:hAnsi="Foundry Form Sans"/>
          <w:sz w:val="24"/>
          <w:szCs w:val="24"/>
        </w:rPr>
      </w:pPr>
      <w:r w:rsidRPr="00821CD8">
        <w:rPr>
          <w:rFonts w:ascii="Foundry Form Sans" w:hAnsi="Foundry Form Sans"/>
          <w:sz w:val="24"/>
          <w:szCs w:val="24"/>
        </w:rPr>
        <w:t>Since April 2013, further contractual commitments have been entered into, including two significant schemes in the Royal Docks covering 34 hectares with a combined development value of £2.5 billion. In total, commitments entered into since April</w:t>
      </w:r>
      <w:r w:rsidR="006E4A84">
        <w:rPr>
          <w:rFonts w:ascii="Foundry Form Sans" w:hAnsi="Foundry Form Sans"/>
          <w:sz w:val="24"/>
          <w:szCs w:val="24"/>
        </w:rPr>
        <w:t xml:space="preserve"> 2013</w:t>
      </w:r>
      <w:r w:rsidRPr="00821CD8">
        <w:rPr>
          <w:rFonts w:ascii="Foundry Form Sans" w:hAnsi="Foundry Form Sans"/>
          <w:sz w:val="24"/>
          <w:szCs w:val="24"/>
        </w:rPr>
        <w:t xml:space="preserve"> will deliver </w:t>
      </w:r>
      <w:r w:rsidR="001B6DC1">
        <w:rPr>
          <w:rFonts w:ascii="Foundry Form Sans" w:hAnsi="Foundry Form Sans"/>
          <w:sz w:val="24"/>
          <w:szCs w:val="24"/>
        </w:rPr>
        <w:t>2877</w:t>
      </w:r>
      <w:r w:rsidRPr="000C1EE9">
        <w:rPr>
          <w:rFonts w:ascii="Foundry Form Sans" w:hAnsi="Foundry Form Sans"/>
          <w:sz w:val="24"/>
          <w:szCs w:val="24"/>
        </w:rPr>
        <w:t xml:space="preserve"> </w:t>
      </w:r>
      <w:r w:rsidRPr="00821CD8">
        <w:rPr>
          <w:rFonts w:ascii="Foundry Form Sans" w:hAnsi="Foundry Form Sans"/>
          <w:sz w:val="24"/>
          <w:szCs w:val="24"/>
        </w:rPr>
        <w:t>new homes</w:t>
      </w:r>
      <w:r w:rsidR="001B6DC1">
        <w:rPr>
          <w:rFonts w:ascii="Foundry Form Sans" w:hAnsi="Foundry Form Sans"/>
          <w:sz w:val="24"/>
          <w:szCs w:val="24"/>
        </w:rPr>
        <w:t>, 5.6m</w:t>
      </w:r>
      <w:r w:rsidRPr="00821CD8">
        <w:rPr>
          <w:rFonts w:ascii="Foundry Form Sans" w:hAnsi="Foundry Form Sans"/>
          <w:sz w:val="24"/>
          <w:szCs w:val="24"/>
        </w:rPr>
        <w:t xml:space="preserve"> sq. ft. of commercial floorspace</w:t>
      </w:r>
      <w:r w:rsidR="001B6DC1">
        <w:rPr>
          <w:rFonts w:ascii="Foundry Form Sans" w:hAnsi="Foundry Form Sans"/>
          <w:sz w:val="24"/>
          <w:szCs w:val="24"/>
        </w:rPr>
        <w:t xml:space="preserve"> and 30,000 jobs</w:t>
      </w:r>
      <w:r w:rsidRPr="00821CD8">
        <w:rPr>
          <w:rFonts w:ascii="Foundry Form Sans" w:hAnsi="Foundry Form Sans"/>
          <w:sz w:val="24"/>
          <w:szCs w:val="24"/>
        </w:rPr>
        <w:t xml:space="preserve">. There are a number of other projects which </w:t>
      </w:r>
      <w:r w:rsidR="005C2138" w:rsidRPr="00821CD8">
        <w:rPr>
          <w:rFonts w:ascii="Foundry Form Sans" w:hAnsi="Foundry Form Sans"/>
          <w:sz w:val="24"/>
          <w:szCs w:val="24"/>
        </w:rPr>
        <w:t>it is</w:t>
      </w:r>
      <w:r w:rsidRPr="00821CD8">
        <w:rPr>
          <w:rFonts w:ascii="Foundry Form Sans" w:hAnsi="Foundry Form Sans"/>
          <w:sz w:val="24"/>
          <w:szCs w:val="24"/>
        </w:rPr>
        <w:t xml:space="preserve"> anticipated will be contractually committed before the end of the financial year and these will deliver a further </w:t>
      </w:r>
      <w:r w:rsidRPr="000C1EE9">
        <w:rPr>
          <w:rFonts w:ascii="Foundry Form Sans" w:hAnsi="Foundry Form Sans"/>
          <w:sz w:val="24"/>
          <w:szCs w:val="24"/>
          <w:highlight w:val="yellow"/>
        </w:rPr>
        <w:t>xxx</w:t>
      </w:r>
      <w:r w:rsidRPr="00821CD8">
        <w:rPr>
          <w:rFonts w:ascii="Foundry Form Sans" w:hAnsi="Foundry Form Sans"/>
          <w:sz w:val="24"/>
          <w:szCs w:val="24"/>
        </w:rPr>
        <w:t xml:space="preserve"> new homes</w:t>
      </w:r>
      <w:r w:rsidR="005C2138" w:rsidRPr="00821CD8">
        <w:rPr>
          <w:rFonts w:ascii="Foundry Form Sans" w:hAnsi="Foundry Form Sans"/>
          <w:sz w:val="24"/>
          <w:szCs w:val="24"/>
        </w:rPr>
        <w:t xml:space="preserve">, </w:t>
      </w:r>
      <w:r w:rsidR="005C2138" w:rsidRPr="000C1EE9">
        <w:rPr>
          <w:rFonts w:ascii="Foundry Form Sans" w:hAnsi="Foundry Form Sans"/>
          <w:sz w:val="24"/>
          <w:szCs w:val="24"/>
          <w:highlight w:val="yellow"/>
        </w:rPr>
        <w:t>xxx</w:t>
      </w:r>
      <w:r w:rsidR="005C2138" w:rsidRPr="00821CD8">
        <w:rPr>
          <w:rFonts w:ascii="Foundry Form Sans" w:hAnsi="Foundry Form Sans"/>
          <w:sz w:val="24"/>
          <w:szCs w:val="24"/>
        </w:rPr>
        <w:t xml:space="preserve"> jobs</w:t>
      </w:r>
      <w:r w:rsidRPr="00821CD8">
        <w:rPr>
          <w:rFonts w:ascii="Foundry Form Sans" w:hAnsi="Foundry Form Sans"/>
          <w:sz w:val="24"/>
          <w:szCs w:val="24"/>
        </w:rPr>
        <w:t xml:space="preserve"> and </w:t>
      </w:r>
      <w:r w:rsidRPr="000C1EE9">
        <w:rPr>
          <w:rFonts w:ascii="Foundry Form Sans" w:hAnsi="Foundry Form Sans"/>
          <w:sz w:val="24"/>
          <w:szCs w:val="24"/>
          <w:highlight w:val="yellow"/>
        </w:rPr>
        <w:t>xxx</w:t>
      </w:r>
      <w:r w:rsidRPr="00821CD8">
        <w:rPr>
          <w:rFonts w:ascii="Foundry Form Sans" w:hAnsi="Foundry Form Sans"/>
          <w:sz w:val="24"/>
          <w:szCs w:val="24"/>
        </w:rPr>
        <w:t xml:space="preserve"> sq. ft. of commercial floorspace. Marketing continues in relation to a number of other key development opportunities.</w:t>
      </w:r>
    </w:p>
    <w:p w:rsidR="00F94A76" w:rsidRPr="00821CD8" w:rsidRDefault="00F94A76" w:rsidP="00DB2D4F">
      <w:pPr>
        <w:rPr>
          <w:rFonts w:ascii="Foundry Form Sans" w:hAnsi="Foundry Form Sans"/>
          <w:sz w:val="24"/>
          <w:szCs w:val="24"/>
        </w:rPr>
      </w:pPr>
      <w:r w:rsidRPr="00821CD8">
        <w:rPr>
          <w:rFonts w:ascii="Foundry Form Sans" w:hAnsi="Foundry Form Sans"/>
          <w:sz w:val="24"/>
          <w:szCs w:val="24"/>
        </w:rPr>
        <w:t xml:space="preserve">Examples of </w:t>
      </w:r>
      <w:r w:rsidR="00B340D3" w:rsidRPr="00821CD8">
        <w:rPr>
          <w:rFonts w:ascii="Foundry Form Sans" w:hAnsi="Foundry Form Sans"/>
          <w:sz w:val="24"/>
          <w:szCs w:val="24"/>
        </w:rPr>
        <w:t>contracts</w:t>
      </w:r>
      <w:r w:rsidRPr="00821CD8">
        <w:rPr>
          <w:rFonts w:ascii="Foundry Form Sans" w:hAnsi="Foundry Form Sans"/>
          <w:sz w:val="24"/>
          <w:szCs w:val="24"/>
        </w:rPr>
        <w:t xml:space="preserve"> entered into in 2013/14 include:</w:t>
      </w:r>
    </w:p>
    <w:p w:rsidR="00F94A76" w:rsidRDefault="00F94A76" w:rsidP="00DB2D4F">
      <w:pPr>
        <w:rPr>
          <w:rFonts w:ascii="Foundry Form Sans" w:hAnsi="Foundry Form Sans"/>
          <w:sz w:val="24"/>
          <w:szCs w:val="24"/>
        </w:rPr>
      </w:pPr>
      <w:r w:rsidRPr="00821CD8">
        <w:rPr>
          <w:rFonts w:ascii="Foundry Form Sans" w:hAnsi="Foundry Form Sans"/>
          <w:sz w:val="24"/>
          <w:szCs w:val="24"/>
        </w:rPr>
        <w:t>Royal Albert Dock</w:t>
      </w:r>
      <w:r w:rsidR="000B29EE">
        <w:rPr>
          <w:rFonts w:ascii="Foundry Form Sans" w:hAnsi="Foundry Form Sans"/>
          <w:sz w:val="24"/>
          <w:szCs w:val="24"/>
        </w:rPr>
        <w:t xml:space="preserve"> – </w:t>
      </w:r>
      <w:hyperlink r:id="rId16" w:history="1">
        <w:r w:rsidR="000B29EE" w:rsidRPr="00B548D1">
          <w:rPr>
            <w:rStyle w:val="Hyperlink"/>
            <w:rFonts w:ascii="Foundry Form Sans" w:hAnsi="Foundry Form Sans"/>
            <w:sz w:val="24"/>
            <w:szCs w:val="24"/>
          </w:rPr>
          <w:t>http://www.london.gov.uk/priorities/housing-land/land-assets/royal-albert-dock</w:t>
        </w:r>
      </w:hyperlink>
    </w:p>
    <w:p w:rsidR="004C2677" w:rsidRDefault="004C2677" w:rsidP="00DB2D4F">
      <w:pPr>
        <w:rPr>
          <w:rFonts w:ascii="Foundry Form Sans" w:hAnsi="Foundry Form Sans"/>
          <w:sz w:val="24"/>
          <w:szCs w:val="24"/>
        </w:rPr>
      </w:pPr>
      <w:r w:rsidRPr="00821CD8">
        <w:rPr>
          <w:rFonts w:ascii="Foundry Form Sans" w:hAnsi="Foundry Form Sans"/>
          <w:sz w:val="24"/>
          <w:szCs w:val="24"/>
        </w:rPr>
        <w:t>Catford</w:t>
      </w:r>
      <w:r w:rsidR="000B29EE">
        <w:rPr>
          <w:rFonts w:ascii="Foundry Form Sans" w:hAnsi="Foundry Form Sans"/>
          <w:sz w:val="24"/>
          <w:szCs w:val="24"/>
        </w:rPr>
        <w:t xml:space="preserve"> – </w:t>
      </w:r>
      <w:hyperlink r:id="rId17" w:history="1">
        <w:r w:rsidR="000B29EE" w:rsidRPr="00B548D1">
          <w:rPr>
            <w:rStyle w:val="Hyperlink"/>
            <w:rFonts w:ascii="Foundry Form Sans" w:hAnsi="Foundry Form Sans"/>
            <w:sz w:val="24"/>
            <w:szCs w:val="24"/>
          </w:rPr>
          <w:t>http://www.london.gov.uk/priorities/housing-land/land-assets/catford-stadium</w:t>
        </w:r>
      </w:hyperlink>
    </w:p>
    <w:p w:rsidR="00F476B3" w:rsidRDefault="00F476B3" w:rsidP="009B0C86">
      <w:pPr>
        <w:rPr>
          <w:rFonts w:ascii="Foundry Form Sans" w:hAnsi="Foundry Form Sans"/>
          <w:sz w:val="24"/>
          <w:szCs w:val="24"/>
        </w:rPr>
      </w:pPr>
    </w:p>
    <w:p w:rsidR="00C12693" w:rsidRPr="00821CD8" w:rsidRDefault="00C12693" w:rsidP="009B0C86">
      <w:pPr>
        <w:rPr>
          <w:rFonts w:ascii="Foundry Form Sans" w:hAnsi="Foundry Form Sans"/>
          <w:sz w:val="24"/>
          <w:szCs w:val="24"/>
        </w:rPr>
      </w:pPr>
      <w:r w:rsidRPr="00821CD8">
        <w:rPr>
          <w:rFonts w:ascii="Foundry Form Sans" w:hAnsi="Foundry Form Sans"/>
          <w:sz w:val="24"/>
          <w:szCs w:val="24"/>
        </w:rPr>
        <w:t>Th</w:t>
      </w:r>
      <w:r w:rsidR="00B340D3" w:rsidRPr="00821CD8">
        <w:rPr>
          <w:rFonts w:ascii="Foundry Form Sans" w:hAnsi="Foundry Form Sans"/>
          <w:sz w:val="24"/>
          <w:szCs w:val="24"/>
        </w:rPr>
        <w:t>e</w:t>
      </w:r>
      <w:r w:rsidRPr="00821CD8">
        <w:rPr>
          <w:rFonts w:ascii="Foundry Form Sans" w:hAnsi="Foundry Form Sans"/>
          <w:sz w:val="24"/>
          <w:szCs w:val="24"/>
        </w:rPr>
        <w:t xml:space="preserve"> </w:t>
      </w:r>
      <w:r w:rsidR="00B340D3" w:rsidRPr="00821CD8">
        <w:rPr>
          <w:rFonts w:ascii="Foundry Form Sans" w:hAnsi="Foundry Form Sans"/>
          <w:sz w:val="24"/>
          <w:szCs w:val="24"/>
        </w:rPr>
        <w:t xml:space="preserve">status </w:t>
      </w:r>
      <w:r w:rsidRPr="00821CD8">
        <w:rPr>
          <w:rFonts w:ascii="Foundry Form Sans" w:hAnsi="Foundry Form Sans"/>
          <w:sz w:val="24"/>
          <w:szCs w:val="24"/>
        </w:rPr>
        <w:t xml:space="preserve">of the GLA’s property portfolio as at the </w:t>
      </w:r>
      <w:r w:rsidRPr="00A10DE8">
        <w:rPr>
          <w:rFonts w:ascii="Foundry Form Sans" w:hAnsi="Foundry Form Sans"/>
          <w:sz w:val="24"/>
          <w:szCs w:val="24"/>
        </w:rPr>
        <w:t>1</w:t>
      </w:r>
      <w:r w:rsidRPr="00A10DE8">
        <w:rPr>
          <w:rFonts w:ascii="Foundry Form Sans" w:hAnsi="Foundry Form Sans"/>
          <w:sz w:val="24"/>
          <w:szCs w:val="24"/>
          <w:vertAlign w:val="superscript"/>
        </w:rPr>
        <w:t>st</w:t>
      </w:r>
      <w:r w:rsidR="000B29EE" w:rsidRPr="00A10DE8">
        <w:rPr>
          <w:rFonts w:ascii="Foundry Form Sans" w:hAnsi="Foundry Form Sans"/>
          <w:sz w:val="24"/>
          <w:szCs w:val="24"/>
        </w:rPr>
        <w:t xml:space="preserve"> </w:t>
      </w:r>
      <w:r w:rsidR="000B29EE">
        <w:rPr>
          <w:rFonts w:ascii="Foundry Form Sans" w:hAnsi="Foundry Form Sans"/>
          <w:sz w:val="24"/>
          <w:szCs w:val="24"/>
        </w:rPr>
        <w:t>November</w:t>
      </w:r>
      <w:r w:rsidR="002B2546">
        <w:rPr>
          <w:rFonts w:ascii="Foundry Form Sans" w:hAnsi="Foundry Form Sans"/>
          <w:sz w:val="24"/>
          <w:szCs w:val="24"/>
        </w:rPr>
        <w:t xml:space="preserve"> 2013</w:t>
      </w:r>
      <w:r w:rsidR="00B340D3" w:rsidRPr="00821CD8">
        <w:rPr>
          <w:rFonts w:ascii="Foundry Form Sans" w:hAnsi="Foundry Form Sans"/>
          <w:sz w:val="24"/>
          <w:szCs w:val="24"/>
        </w:rPr>
        <w:t xml:space="preserve"> is shown in the following chart:</w:t>
      </w:r>
    </w:p>
    <w:p w:rsidR="002A1C47" w:rsidRPr="00821CD8" w:rsidRDefault="002A1C47" w:rsidP="009B0C86">
      <w:pPr>
        <w:rPr>
          <w:rFonts w:ascii="Foundry Form Sans" w:hAnsi="Foundry Form Sans"/>
          <w:b/>
          <w:sz w:val="24"/>
          <w:szCs w:val="24"/>
        </w:rPr>
      </w:pPr>
      <w:r w:rsidRPr="00821CD8">
        <w:rPr>
          <w:rFonts w:ascii="Foundry Form Sans" w:hAnsi="Foundry Form Sans"/>
          <w:b/>
          <w:sz w:val="24"/>
          <w:szCs w:val="24"/>
        </w:rPr>
        <w:lastRenderedPageBreak/>
        <w:t xml:space="preserve">Next </w:t>
      </w:r>
      <w:r w:rsidR="00B41F3E" w:rsidRPr="00821CD8">
        <w:rPr>
          <w:rFonts w:ascii="Foundry Form Sans" w:hAnsi="Foundry Form Sans"/>
          <w:b/>
          <w:sz w:val="24"/>
          <w:szCs w:val="24"/>
        </w:rPr>
        <w:t>s</w:t>
      </w:r>
      <w:r w:rsidRPr="00821CD8">
        <w:rPr>
          <w:rFonts w:ascii="Foundry Form Sans" w:hAnsi="Foundry Form Sans"/>
          <w:b/>
          <w:sz w:val="24"/>
          <w:szCs w:val="24"/>
        </w:rPr>
        <w:t xml:space="preserve">teps </w:t>
      </w:r>
    </w:p>
    <w:p w:rsidR="009B0C86" w:rsidRPr="00821CD8" w:rsidRDefault="009B0C86" w:rsidP="009B0C86">
      <w:pPr>
        <w:rPr>
          <w:rFonts w:ascii="Foundry Form Sans" w:hAnsi="Foundry Form Sans"/>
          <w:sz w:val="24"/>
          <w:szCs w:val="24"/>
        </w:rPr>
      </w:pPr>
      <w:r w:rsidRPr="00821CD8">
        <w:rPr>
          <w:rFonts w:ascii="Foundry Form Sans" w:hAnsi="Foundry Form Sans"/>
          <w:sz w:val="24"/>
          <w:szCs w:val="24"/>
        </w:rPr>
        <w:t>The Mayor is committed to having an exit strategy in place for all of the GLA's current landholdings by 2016. This does not mean that all property will have been disposed of by 2016 as a number of the key strategic developments have a lifespan extending beyond 2016.</w:t>
      </w:r>
    </w:p>
    <w:p w:rsidR="002A1C47" w:rsidRPr="00821CD8" w:rsidRDefault="002A1C47" w:rsidP="009B0C86">
      <w:pPr>
        <w:rPr>
          <w:rFonts w:ascii="Foundry Form Sans" w:hAnsi="Foundry Form Sans"/>
          <w:sz w:val="24"/>
          <w:szCs w:val="24"/>
        </w:rPr>
      </w:pPr>
      <w:r w:rsidRPr="00821CD8">
        <w:rPr>
          <w:rFonts w:ascii="Foundry Form Sans" w:hAnsi="Foundry Form Sans"/>
          <w:sz w:val="24"/>
          <w:szCs w:val="24"/>
        </w:rPr>
        <w:t>A number of sites will be brought to the mar</w:t>
      </w:r>
      <w:r w:rsidR="00FB11CE" w:rsidRPr="00821CD8">
        <w:rPr>
          <w:rFonts w:ascii="Foundry Form Sans" w:hAnsi="Foundry Form Sans"/>
          <w:sz w:val="24"/>
          <w:szCs w:val="24"/>
        </w:rPr>
        <w:t>ket before the end of the current financial year</w:t>
      </w:r>
      <w:r w:rsidRPr="00821CD8">
        <w:rPr>
          <w:rFonts w:ascii="Foundry Form Sans" w:hAnsi="Foundry Form Sans"/>
          <w:sz w:val="24"/>
          <w:szCs w:val="24"/>
        </w:rPr>
        <w:t>. These include:</w:t>
      </w:r>
    </w:p>
    <w:p w:rsidR="007935C3" w:rsidRPr="00821CD8" w:rsidRDefault="007935C3" w:rsidP="009B0C86">
      <w:pPr>
        <w:rPr>
          <w:rFonts w:ascii="Foundry Form Sans" w:hAnsi="Foundry Form Sans"/>
          <w:sz w:val="24"/>
          <w:szCs w:val="24"/>
        </w:rPr>
      </w:pPr>
      <w:r w:rsidRPr="00821CD8">
        <w:rPr>
          <w:rFonts w:ascii="Foundry Form Sans" w:hAnsi="Foundry Form Sans"/>
          <w:sz w:val="24"/>
          <w:szCs w:val="24"/>
        </w:rPr>
        <w:t>Royal Victoria Dock</w:t>
      </w:r>
      <w:r w:rsidR="00B3065D">
        <w:rPr>
          <w:rFonts w:ascii="Foundry Form Sans" w:hAnsi="Foundry Form Sans"/>
          <w:sz w:val="24"/>
          <w:szCs w:val="24"/>
        </w:rPr>
        <w:t xml:space="preserve"> (Floating Village)</w:t>
      </w:r>
      <w:r w:rsidRPr="00821CD8">
        <w:rPr>
          <w:rFonts w:ascii="Foundry Form Sans" w:hAnsi="Foundry Form Sans"/>
          <w:sz w:val="24"/>
          <w:szCs w:val="24"/>
        </w:rPr>
        <w:t xml:space="preserve"> – </w:t>
      </w:r>
      <w:r w:rsidRPr="00A109C5">
        <w:rPr>
          <w:rFonts w:ascii="Foundry Form Sans" w:hAnsi="Foundry Form Sans"/>
          <w:i/>
          <w:sz w:val="24"/>
          <w:szCs w:val="24"/>
        </w:rPr>
        <w:t>brief details</w:t>
      </w:r>
    </w:p>
    <w:p w:rsidR="002A1C47" w:rsidRPr="00821CD8" w:rsidRDefault="002A1C47" w:rsidP="009B0C86">
      <w:pPr>
        <w:rPr>
          <w:rFonts w:ascii="Foundry Form Sans" w:hAnsi="Foundry Form Sans"/>
          <w:sz w:val="24"/>
          <w:szCs w:val="24"/>
        </w:rPr>
      </w:pPr>
      <w:r w:rsidRPr="00821CD8">
        <w:rPr>
          <w:rFonts w:ascii="Foundry Form Sans" w:hAnsi="Foundry Form Sans"/>
          <w:sz w:val="24"/>
          <w:szCs w:val="24"/>
        </w:rPr>
        <w:t xml:space="preserve">Stephenson St – </w:t>
      </w:r>
      <w:r w:rsidRPr="00A109C5">
        <w:rPr>
          <w:rFonts w:ascii="Foundry Form Sans" w:hAnsi="Foundry Form Sans"/>
          <w:i/>
          <w:sz w:val="24"/>
          <w:szCs w:val="24"/>
        </w:rPr>
        <w:t>brief details</w:t>
      </w:r>
    </w:p>
    <w:p w:rsidR="002A1C47" w:rsidRPr="00821CD8" w:rsidRDefault="002A1C47" w:rsidP="009B0C86">
      <w:pPr>
        <w:rPr>
          <w:rFonts w:ascii="Foundry Form Sans" w:hAnsi="Foundry Form Sans"/>
          <w:sz w:val="24"/>
          <w:szCs w:val="24"/>
        </w:rPr>
      </w:pPr>
      <w:r w:rsidRPr="00821CD8">
        <w:rPr>
          <w:rFonts w:ascii="Foundry Form Sans" w:hAnsi="Foundry Form Sans"/>
          <w:sz w:val="24"/>
          <w:szCs w:val="24"/>
        </w:rPr>
        <w:t xml:space="preserve">Silvertown Way – </w:t>
      </w:r>
      <w:r w:rsidRPr="00A109C5">
        <w:rPr>
          <w:rFonts w:ascii="Foundry Form Sans" w:hAnsi="Foundry Form Sans"/>
          <w:i/>
          <w:sz w:val="24"/>
          <w:szCs w:val="24"/>
        </w:rPr>
        <w:t>brief details</w:t>
      </w:r>
    </w:p>
    <w:p w:rsidR="002A1C47" w:rsidRPr="00821CD8" w:rsidRDefault="002A1C47" w:rsidP="009B0C86">
      <w:pPr>
        <w:rPr>
          <w:rFonts w:ascii="Foundry Form Sans" w:hAnsi="Foundry Form Sans"/>
          <w:sz w:val="24"/>
          <w:szCs w:val="24"/>
        </w:rPr>
      </w:pPr>
      <w:r w:rsidRPr="00821CD8">
        <w:rPr>
          <w:rFonts w:ascii="Foundry Form Sans" w:hAnsi="Foundry Form Sans"/>
          <w:sz w:val="24"/>
          <w:szCs w:val="24"/>
        </w:rPr>
        <w:t xml:space="preserve">Pontoon Dock – </w:t>
      </w:r>
      <w:r w:rsidRPr="00A109C5">
        <w:rPr>
          <w:rFonts w:ascii="Foundry Form Sans" w:hAnsi="Foundry Form Sans"/>
          <w:i/>
          <w:sz w:val="24"/>
          <w:szCs w:val="24"/>
        </w:rPr>
        <w:t>brief details</w:t>
      </w:r>
    </w:p>
    <w:p w:rsidR="00EB1B78" w:rsidRPr="00821CD8" w:rsidRDefault="00EB1B78" w:rsidP="009B0C86">
      <w:pPr>
        <w:rPr>
          <w:rFonts w:ascii="Foundry Form Sans" w:hAnsi="Foundry Form Sans"/>
          <w:sz w:val="24"/>
          <w:szCs w:val="24"/>
        </w:rPr>
      </w:pPr>
      <w:r w:rsidRPr="00821CD8">
        <w:rPr>
          <w:rFonts w:ascii="Foundry Form Sans" w:hAnsi="Foundry Form Sans"/>
          <w:sz w:val="24"/>
          <w:szCs w:val="24"/>
        </w:rPr>
        <w:t xml:space="preserve">Wick Lane – a </w:t>
      </w:r>
      <w:r w:rsidR="009C2CE4" w:rsidRPr="00821CD8">
        <w:rPr>
          <w:rFonts w:ascii="Foundry Form Sans" w:hAnsi="Foundry Form Sans"/>
          <w:sz w:val="24"/>
          <w:szCs w:val="24"/>
        </w:rPr>
        <w:t>semi-detached</w:t>
      </w:r>
      <w:r w:rsidRPr="00821CD8">
        <w:rPr>
          <w:rFonts w:ascii="Foundry Form Sans" w:hAnsi="Foundry Form Sans"/>
          <w:sz w:val="24"/>
          <w:szCs w:val="24"/>
        </w:rPr>
        <w:t xml:space="preserve"> house, currently held as an investment</w:t>
      </w:r>
    </w:p>
    <w:p w:rsidR="00FA523E" w:rsidRDefault="00FA523E" w:rsidP="009B0C86">
      <w:pPr>
        <w:rPr>
          <w:rFonts w:ascii="Foundry Form Sans" w:hAnsi="Foundry Form Sans"/>
          <w:sz w:val="24"/>
          <w:szCs w:val="24"/>
        </w:rPr>
      </w:pPr>
      <w:r w:rsidRPr="00821CD8">
        <w:rPr>
          <w:rFonts w:ascii="Foundry Form Sans" w:hAnsi="Foundry Form Sans"/>
          <w:sz w:val="24"/>
          <w:szCs w:val="24"/>
        </w:rPr>
        <w:t>Lond</w:t>
      </w:r>
      <w:r w:rsidR="00B3065D">
        <w:rPr>
          <w:rFonts w:ascii="Foundry Form Sans" w:hAnsi="Foundry Form Sans"/>
          <w:sz w:val="24"/>
          <w:szCs w:val="24"/>
        </w:rPr>
        <w:t>on Sustainable Industries Park</w:t>
      </w:r>
      <w:r w:rsidR="000B29EE">
        <w:rPr>
          <w:rFonts w:ascii="Foundry Form Sans" w:hAnsi="Foundry Form Sans"/>
          <w:sz w:val="24"/>
          <w:szCs w:val="24"/>
        </w:rPr>
        <w:t xml:space="preserve"> (Further phases) – </w:t>
      </w:r>
      <w:hyperlink r:id="rId18" w:history="1">
        <w:r w:rsidR="000B29EE" w:rsidRPr="00B548D1">
          <w:rPr>
            <w:rStyle w:val="Hyperlink"/>
            <w:rFonts w:ascii="Foundry Form Sans" w:hAnsi="Foundry Form Sans"/>
            <w:sz w:val="24"/>
            <w:szCs w:val="24"/>
          </w:rPr>
          <w:t>http://www.londonsip.com/</w:t>
        </w:r>
      </w:hyperlink>
    </w:p>
    <w:p w:rsidR="00EB1B78" w:rsidRPr="00821CD8" w:rsidRDefault="007F7FCD" w:rsidP="009B0C86">
      <w:pPr>
        <w:rPr>
          <w:rFonts w:ascii="Foundry Form Sans" w:hAnsi="Foundry Form Sans"/>
          <w:sz w:val="24"/>
          <w:szCs w:val="24"/>
        </w:rPr>
      </w:pPr>
      <w:r w:rsidRPr="00821CD8">
        <w:rPr>
          <w:rFonts w:ascii="Foundry Form Sans" w:hAnsi="Foundry Form Sans"/>
          <w:sz w:val="24"/>
          <w:szCs w:val="24"/>
        </w:rPr>
        <w:t>While</w:t>
      </w:r>
      <w:r w:rsidR="00EB1B78" w:rsidRPr="00821CD8">
        <w:rPr>
          <w:rFonts w:ascii="Foundry Form Sans" w:hAnsi="Foundry Form Sans"/>
          <w:sz w:val="24"/>
          <w:szCs w:val="24"/>
        </w:rPr>
        <w:t xml:space="preserve"> planning for 2014/15 is currently underway, at this stage the intention is to bring forward a number of the remaining sites and these include</w:t>
      </w:r>
      <w:r w:rsidR="00FB11CE" w:rsidRPr="00821CD8">
        <w:rPr>
          <w:rFonts w:ascii="Foundry Form Sans" w:hAnsi="Foundry Form Sans"/>
          <w:sz w:val="24"/>
          <w:szCs w:val="24"/>
        </w:rPr>
        <w:t>:</w:t>
      </w:r>
    </w:p>
    <w:p w:rsidR="00FB11CE" w:rsidRPr="00821CD8" w:rsidRDefault="00DB0483" w:rsidP="009B0C86">
      <w:pPr>
        <w:rPr>
          <w:rFonts w:ascii="Foundry Form Sans" w:hAnsi="Foundry Form Sans"/>
          <w:sz w:val="24"/>
          <w:szCs w:val="24"/>
        </w:rPr>
      </w:pPr>
      <w:r>
        <w:rPr>
          <w:rFonts w:ascii="Foundry Form Sans" w:hAnsi="Foundry Form Sans"/>
          <w:sz w:val="24"/>
          <w:szCs w:val="24"/>
        </w:rPr>
        <w:t xml:space="preserve">Armada 2 – </w:t>
      </w:r>
      <w:r>
        <w:rPr>
          <w:rFonts w:ascii="Foundry Form Sans" w:eastAsia="Times New Roman" w:hAnsi="Foundry Form Sans" w:cs="Arial"/>
          <w:sz w:val="24"/>
          <w:szCs w:val="24"/>
          <w:lang w:eastAsia="en-GB"/>
        </w:rPr>
        <w:t xml:space="preserve">3.3 hectares of brownfield land, part safeguarded in respect of a proposed new Thames river crossing. </w:t>
      </w:r>
    </w:p>
    <w:p w:rsidR="00FB11CE" w:rsidRPr="00821CD8" w:rsidRDefault="00FB11CE" w:rsidP="009B0C86">
      <w:pPr>
        <w:rPr>
          <w:rFonts w:ascii="Foundry Form Sans" w:hAnsi="Foundry Form Sans"/>
          <w:sz w:val="24"/>
          <w:szCs w:val="24"/>
        </w:rPr>
      </w:pPr>
      <w:r w:rsidRPr="00821CD8">
        <w:rPr>
          <w:rFonts w:ascii="Foundry Form Sans" w:hAnsi="Foundry Form Sans"/>
          <w:sz w:val="24"/>
          <w:szCs w:val="24"/>
        </w:rPr>
        <w:t xml:space="preserve">Gallions 4 – </w:t>
      </w:r>
      <w:r w:rsidR="00A41E1E">
        <w:rPr>
          <w:rFonts w:ascii="Foundry Form Sans" w:hAnsi="Foundry Form Sans"/>
          <w:sz w:val="24"/>
          <w:szCs w:val="24"/>
        </w:rPr>
        <w:t>1.15 hectares of land adjacent to Gallions Reach DLR station</w:t>
      </w:r>
    </w:p>
    <w:p w:rsidR="00B41F3E" w:rsidRPr="00821CD8" w:rsidRDefault="00B41F3E" w:rsidP="009B0C86">
      <w:pPr>
        <w:rPr>
          <w:rFonts w:ascii="Foundry Form Sans" w:hAnsi="Foundry Form Sans"/>
          <w:sz w:val="24"/>
          <w:szCs w:val="24"/>
        </w:rPr>
      </w:pPr>
    </w:p>
    <w:p w:rsidR="00B41F3E" w:rsidRPr="00821CD8" w:rsidRDefault="00B41F3E" w:rsidP="009B0C86">
      <w:pPr>
        <w:rPr>
          <w:rFonts w:ascii="Foundry Form Sans" w:hAnsi="Foundry Form Sans"/>
          <w:b/>
          <w:sz w:val="24"/>
          <w:szCs w:val="24"/>
        </w:rPr>
      </w:pPr>
      <w:r w:rsidRPr="00821CD8">
        <w:rPr>
          <w:rFonts w:ascii="Foundry Form Sans" w:hAnsi="Foundry Form Sans"/>
          <w:b/>
          <w:sz w:val="24"/>
          <w:szCs w:val="24"/>
        </w:rPr>
        <w:t>Contact for further information</w:t>
      </w:r>
    </w:p>
    <w:p w:rsidR="002A1C47" w:rsidRPr="00821CD8" w:rsidRDefault="00F476B3" w:rsidP="009B0C86">
      <w:pPr>
        <w:rPr>
          <w:rFonts w:ascii="Foundry Form Sans" w:hAnsi="Foundry Form Sans"/>
          <w:sz w:val="24"/>
          <w:szCs w:val="24"/>
        </w:rPr>
      </w:pPr>
      <w:hyperlink r:id="rId19" w:history="1">
        <w:r w:rsidR="00B41F3E" w:rsidRPr="00821CD8">
          <w:rPr>
            <w:rStyle w:val="Hyperlink"/>
            <w:rFonts w:ascii="Foundry Form Sans" w:hAnsi="Foundry Form Sans"/>
            <w:sz w:val="24"/>
            <w:szCs w:val="24"/>
          </w:rPr>
          <w:t>landandproperty@london.gov.uk</w:t>
        </w:r>
      </w:hyperlink>
    </w:p>
    <w:p w:rsidR="00B41F3E" w:rsidRPr="00821CD8" w:rsidRDefault="00B41F3E" w:rsidP="009B0C86">
      <w:pPr>
        <w:rPr>
          <w:rFonts w:ascii="Foundry Form Sans" w:hAnsi="Foundry Form Sans"/>
          <w:sz w:val="24"/>
          <w:szCs w:val="24"/>
        </w:rPr>
      </w:pPr>
    </w:p>
    <w:p w:rsidR="005C2138" w:rsidRPr="00821CD8" w:rsidRDefault="005C2138" w:rsidP="00DB2D4F">
      <w:pPr>
        <w:rPr>
          <w:rFonts w:ascii="Foundry Form Sans" w:hAnsi="Foundry Form Sans"/>
          <w:b/>
          <w:sz w:val="24"/>
          <w:szCs w:val="24"/>
        </w:rPr>
      </w:pPr>
    </w:p>
    <w:p w:rsidR="005C2138" w:rsidRPr="00821CD8" w:rsidRDefault="005C2138" w:rsidP="00DB2D4F">
      <w:pPr>
        <w:rPr>
          <w:rFonts w:ascii="Foundry Form Sans" w:hAnsi="Foundry Form Sans"/>
          <w:b/>
          <w:sz w:val="24"/>
          <w:szCs w:val="24"/>
        </w:rPr>
      </w:pPr>
    </w:p>
    <w:p w:rsidR="005C2138" w:rsidRPr="00821CD8" w:rsidRDefault="005C2138" w:rsidP="00DB2D4F">
      <w:pPr>
        <w:rPr>
          <w:rFonts w:ascii="Foundry Form Sans" w:hAnsi="Foundry Form Sans"/>
          <w:b/>
          <w:sz w:val="24"/>
          <w:szCs w:val="24"/>
        </w:rPr>
      </w:pPr>
    </w:p>
    <w:p w:rsidR="005C2138" w:rsidRPr="00821CD8" w:rsidRDefault="005C2138" w:rsidP="00DB2D4F">
      <w:pPr>
        <w:rPr>
          <w:rFonts w:ascii="Foundry Form Sans" w:hAnsi="Foundry Form Sans"/>
          <w:b/>
          <w:sz w:val="24"/>
          <w:szCs w:val="24"/>
        </w:rPr>
      </w:pPr>
    </w:p>
    <w:sectPr w:rsidR="005C2138" w:rsidRPr="00821CD8" w:rsidSect="00545EEB">
      <w:headerReference w:type="default" r:id="rId20"/>
      <w:head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E7E" w:rsidRDefault="00871E7E" w:rsidP="00871E7E">
      <w:pPr>
        <w:spacing w:after="0" w:line="240" w:lineRule="auto"/>
      </w:pPr>
      <w:r>
        <w:separator/>
      </w:r>
    </w:p>
  </w:endnote>
  <w:endnote w:type="continuationSeparator" w:id="0">
    <w:p w:rsidR="00871E7E" w:rsidRDefault="00871E7E" w:rsidP="0087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oundry Form Sans">
    <w:panose1 w:val="02000503050000020004"/>
    <w:charset w:val="00"/>
    <w:family w:val="auto"/>
    <w:pitch w:val="variable"/>
    <w:sig w:usb0="800000A7" w:usb1="0000004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E7E" w:rsidRDefault="00871E7E" w:rsidP="00871E7E">
      <w:pPr>
        <w:spacing w:after="0" w:line="240" w:lineRule="auto"/>
      </w:pPr>
      <w:r>
        <w:separator/>
      </w:r>
    </w:p>
  </w:footnote>
  <w:footnote w:type="continuationSeparator" w:id="0">
    <w:p w:rsidR="00871E7E" w:rsidRDefault="00871E7E" w:rsidP="00871E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569379"/>
      <w:docPartObj>
        <w:docPartGallery w:val="Watermarks"/>
        <w:docPartUnique/>
      </w:docPartObj>
    </w:sdtPr>
    <w:sdtEndPr/>
    <w:sdtContent>
      <w:p w:rsidR="00871E7E" w:rsidRDefault="00F476B3">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EEB" w:rsidRPr="00C176D7" w:rsidRDefault="00545EEB" w:rsidP="00545EEB">
    <w:pPr>
      <w:pStyle w:val="Header"/>
      <w:jc w:val="right"/>
      <w:rPr>
        <w:rFonts w:ascii="Arial" w:hAnsi="Arial" w:cs="Arial"/>
        <w:b/>
        <w:sz w:val="28"/>
        <w:szCs w:val="28"/>
      </w:rPr>
    </w:pPr>
    <w:r w:rsidRPr="00C176D7">
      <w:rPr>
        <w:rFonts w:ascii="Arial" w:hAnsi="Arial" w:cs="Arial"/>
        <w:b/>
        <w:sz w:val="28"/>
        <w:szCs w:val="28"/>
      </w:rPr>
      <w:t>Appendix 1</w:t>
    </w:r>
  </w:p>
  <w:p w:rsidR="00545EEB" w:rsidRDefault="00545E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24FA4"/>
    <w:multiLevelType w:val="hybridMultilevel"/>
    <w:tmpl w:val="3B966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2E4A0E"/>
    <w:multiLevelType w:val="hybridMultilevel"/>
    <w:tmpl w:val="8DE89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27031B"/>
    <w:multiLevelType w:val="hybridMultilevel"/>
    <w:tmpl w:val="C4A2FF38"/>
    <w:lvl w:ilvl="0" w:tplc="0D2A3E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146BC8"/>
    <w:multiLevelType w:val="hybridMultilevel"/>
    <w:tmpl w:val="603A0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8E1BC7"/>
    <w:multiLevelType w:val="hybridMultilevel"/>
    <w:tmpl w:val="A7340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E502EB"/>
    <w:multiLevelType w:val="hybridMultilevel"/>
    <w:tmpl w:val="8006D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ACA5C9C"/>
    <w:multiLevelType w:val="hybridMultilevel"/>
    <w:tmpl w:val="3DD6A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0F7885E-C87A-40BA-8B6F-19D1AA71BD43}"/>
    <w:docVar w:name="dgnword-eventsink" w:val="72212808"/>
  </w:docVars>
  <w:rsids>
    <w:rsidRoot w:val="001728A2"/>
    <w:rsid w:val="000048BC"/>
    <w:rsid w:val="00004C78"/>
    <w:rsid w:val="00013360"/>
    <w:rsid w:val="00023648"/>
    <w:rsid w:val="00024201"/>
    <w:rsid w:val="000401BA"/>
    <w:rsid w:val="00065D76"/>
    <w:rsid w:val="00070A33"/>
    <w:rsid w:val="000B29EE"/>
    <w:rsid w:val="000C1EE9"/>
    <w:rsid w:val="000C3071"/>
    <w:rsid w:val="000C4CA7"/>
    <w:rsid w:val="000C7CB7"/>
    <w:rsid w:val="00156C2C"/>
    <w:rsid w:val="00167CA5"/>
    <w:rsid w:val="001728A2"/>
    <w:rsid w:val="00187EBB"/>
    <w:rsid w:val="001B6DC1"/>
    <w:rsid w:val="001E3CEC"/>
    <w:rsid w:val="00240401"/>
    <w:rsid w:val="00245EFE"/>
    <w:rsid w:val="00266DDA"/>
    <w:rsid w:val="002A1C47"/>
    <w:rsid w:val="002A5619"/>
    <w:rsid w:val="002A64A1"/>
    <w:rsid w:val="002B0EAC"/>
    <w:rsid w:val="002B2546"/>
    <w:rsid w:val="002E7B50"/>
    <w:rsid w:val="003143E7"/>
    <w:rsid w:val="00381222"/>
    <w:rsid w:val="003A6F85"/>
    <w:rsid w:val="003B51E7"/>
    <w:rsid w:val="004229E8"/>
    <w:rsid w:val="00453AB0"/>
    <w:rsid w:val="00463BFA"/>
    <w:rsid w:val="004676E4"/>
    <w:rsid w:val="00481AFD"/>
    <w:rsid w:val="00490CFF"/>
    <w:rsid w:val="004B40F2"/>
    <w:rsid w:val="004C17C7"/>
    <w:rsid w:val="004C2677"/>
    <w:rsid w:val="00545EEB"/>
    <w:rsid w:val="0056043A"/>
    <w:rsid w:val="005A53B0"/>
    <w:rsid w:val="005C2138"/>
    <w:rsid w:val="00602D1B"/>
    <w:rsid w:val="00602F89"/>
    <w:rsid w:val="00632437"/>
    <w:rsid w:val="00661ACF"/>
    <w:rsid w:val="0067517C"/>
    <w:rsid w:val="006879C5"/>
    <w:rsid w:val="00690334"/>
    <w:rsid w:val="006C1A74"/>
    <w:rsid w:val="006E4A84"/>
    <w:rsid w:val="006F1628"/>
    <w:rsid w:val="0075010B"/>
    <w:rsid w:val="0075621B"/>
    <w:rsid w:val="007935C3"/>
    <w:rsid w:val="007B7C3A"/>
    <w:rsid w:val="007D1534"/>
    <w:rsid w:val="007D3D4F"/>
    <w:rsid w:val="007F2818"/>
    <w:rsid w:val="007F7FCD"/>
    <w:rsid w:val="00813F10"/>
    <w:rsid w:val="00821CD8"/>
    <w:rsid w:val="00857B35"/>
    <w:rsid w:val="00871E7E"/>
    <w:rsid w:val="00895032"/>
    <w:rsid w:val="008B4152"/>
    <w:rsid w:val="008E3F8E"/>
    <w:rsid w:val="0093689D"/>
    <w:rsid w:val="0094021C"/>
    <w:rsid w:val="00972A11"/>
    <w:rsid w:val="009B0C86"/>
    <w:rsid w:val="009C2CE4"/>
    <w:rsid w:val="009D47B3"/>
    <w:rsid w:val="00A109C5"/>
    <w:rsid w:val="00A10DE8"/>
    <w:rsid w:val="00A41E1E"/>
    <w:rsid w:val="00A505EE"/>
    <w:rsid w:val="00A8577A"/>
    <w:rsid w:val="00A96873"/>
    <w:rsid w:val="00AA42C8"/>
    <w:rsid w:val="00AB162A"/>
    <w:rsid w:val="00AE15BD"/>
    <w:rsid w:val="00B16BDB"/>
    <w:rsid w:val="00B21285"/>
    <w:rsid w:val="00B3065D"/>
    <w:rsid w:val="00B340D3"/>
    <w:rsid w:val="00B41F3E"/>
    <w:rsid w:val="00B42924"/>
    <w:rsid w:val="00B544DC"/>
    <w:rsid w:val="00BC1C5F"/>
    <w:rsid w:val="00BD7C38"/>
    <w:rsid w:val="00BF765C"/>
    <w:rsid w:val="00C12693"/>
    <w:rsid w:val="00C176D7"/>
    <w:rsid w:val="00C5207B"/>
    <w:rsid w:val="00CC5428"/>
    <w:rsid w:val="00CD2C79"/>
    <w:rsid w:val="00CF416F"/>
    <w:rsid w:val="00CF75BB"/>
    <w:rsid w:val="00D06A46"/>
    <w:rsid w:val="00D505D6"/>
    <w:rsid w:val="00D658A7"/>
    <w:rsid w:val="00D72302"/>
    <w:rsid w:val="00DA557E"/>
    <w:rsid w:val="00DB0483"/>
    <w:rsid w:val="00DB2D4F"/>
    <w:rsid w:val="00DB581D"/>
    <w:rsid w:val="00DF0C96"/>
    <w:rsid w:val="00E0754A"/>
    <w:rsid w:val="00E218FE"/>
    <w:rsid w:val="00E55820"/>
    <w:rsid w:val="00E64AA9"/>
    <w:rsid w:val="00EB1B78"/>
    <w:rsid w:val="00EC31CA"/>
    <w:rsid w:val="00EC3340"/>
    <w:rsid w:val="00F01659"/>
    <w:rsid w:val="00F476B3"/>
    <w:rsid w:val="00F53365"/>
    <w:rsid w:val="00F9031F"/>
    <w:rsid w:val="00F94A76"/>
    <w:rsid w:val="00F95325"/>
    <w:rsid w:val="00FA523E"/>
    <w:rsid w:val="00FB11CE"/>
    <w:rsid w:val="00FF5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89"/>
    <w:pPr>
      <w:ind w:left="720"/>
      <w:contextualSpacing/>
    </w:pPr>
  </w:style>
  <w:style w:type="character" w:styleId="Hyperlink">
    <w:name w:val="Hyperlink"/>
    <w:basedOn w:val="DefaultParagraphFont"/>
    <w:uiPriority w:val="99"/>
    <w:unhideWhenUsed/>
    <w:rsid w:val="000C4CA7"/>
    <w:rPr>
      <w:color w:val="0000FF" w:themeColor="hyperlink"/>
      <w:u w:val="single"/>
    </w:rPr>
  </w:style>
  <w:style w:type="paragraph" w:styleId="BalloonText">
    <w:name w:val="Balloon Text"/>
    <w:basedOn w:val="Normal"/>
    <w:link w:val="BalloonTextChar"/>
    <w:uiPriority w:val="99"/>
    <w:semiHidden/>
    <w:unhideWhenUsed/>
    <w:rsid w:val="00DF0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C96"/>
    <w:rPr>
      <w:rFonts w:ascii="Tahoma" w:hAnsi="Tahoma" w:cs="Tahoma"/>
      <w:sz w:val="16"/>
      <w:szCs w:val="16"/>
    </w:rPr>
  </w:style>
  <w:style w:type="character" w:styleId="FollowedHyperlink">
    <w:name w:val="FollowedHyperlink"/>
    <w:basedOn w:val="DefaultParagraphFont"/>
    <w:uiPriority w:val="99"/>
    <w:semiHidden/>
    <w:unhideWhenUsed/>
    <w:rsid w:val="00857B35"/>
    <w:rPr>
      <w:color w:val="800080" w:themeColor="followedHyperlink"/>
      <w:u w:val="single"/>
    </w:rPr>
  </w:style>
  <w:style w:type="table" w:styleId="TableGrid">
    <w:name w:val="Table Grid"/>
    <w:basedOn w:val="TableNormal"/>
    <w:uiPriority w:val="59"/>
    <w:rsid w:val="00BC1C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1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E7E"/>
  </w:style>
  <w:style w:type="paragraph" w:styleId="Footer">
    <w:name w:val="footer"/>
    <w:basedOn w:val="Normal"/>
    <w:link w:val="FooterChar"/>
    <w:uiPriority w:val="99"/>
    <w:unhideWhenUsed/>
    <w:rsid w:val="00871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E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89"/>
    <w:pPr>
      <w:ind w:left="720"/>
      <w:contextualSpacing/>
    </w:pPr>
  </w:style>
  <w:style w:type="character" w:styleId="Hyperlink">
    <w:name w:val="Hyperlink"/>
    <w:basedOn w:val="DefaultParagraphFont"/>
    <w:uiPriority w:val="99"/>
    <w:unhideWhenUsed/>
    <w:rsid w:val="000C4CA7"/>
    <w:rPr>
      <w:color w:val="0000FF" w:themeColor="hyperlink"/>
      <w:u w:val="single"/>
    </w:rPr>
  </w:style>
  <w:style w:type="paragraph" w:styleId="BalloonText">
    <w:name w:val="Balloon Text"/>
    <w:basedOn w:val="Normal"/>
    <w:link w:val="BalloonTextChar"/>
    <w:uiPriority w:val="99"/>
    <w:semiHidden/>
    <w:unhideWhenUsed/>
    <w:rsid w:val="00DF0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C96"/>
    <w:rPr>
      <w:rFonts w:ascii="Tahoma" w:hAnsi="Tahoma" w:cs="Tahoma"/>
      <w:sz w:val="16"/>
      <w:szCs w:val="16"/>
    </w:rPr>
  </w:style>
  <w:style w:type="character" w:styleId="FollowedHyperlink">
    <w:name w:val="FollowedHyperlink"/>
    <w:basedOn w:val="DefaultParagraphFont"/>
    <w:uiPriority w:val="99"/>
    <w:semiHidden/>
    <w:unhideWhenUsed/>
    <w:rsid w:val="00857B35"/>
    <w:rPr>
      <w:color w:val="800080" w:themeColor="followedHyperlink"/>
      <w:u w:val="single"/>
    </w:rPr>
  </w:style>
  <w:style w:type="table" w:styleId="TableGrid">
    <w:name w:val="Table Grid"/>
    <w:basedOn w:val="TableNormal"/>
    <w:uiPriority w:val="59"/>
    <w:rsid w:val="00BC1C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1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E7E"/>
  </w:style>
  <w:style w:type="paragraph" w:styleId="Footer">
    <w:name w:val="footer"/>
    <w:basedOn w:val="Normal"/>
    <w:link w:val="FooterChar"/>
    <w:uiPriority w:val="99"/>
    <w:unhideWhenUsed/>
    <w:rsid w:val="00871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723478">
      <w:bodyDiv w:val="1"/>
      <w:marLeft w:val="0"/>
      <w:marRight w:val="0"/>
      <w:marTop w:val="0"/>
      <w:marBottom w:val="0"/>
      <w:divBdr>
        <w:top w:val="none" w:sz="0" w:space="0" w:color="auto"/>
        <w:left w:val="none" w:sz="0" w:space="0" w:color="auto"/>
        <w:bottom w:val="none" w:sz="0" w:space="0" w:color="auto"/>
        <w:right w:val="none" w:sz="0" w:space="0" w:color="auto"/>
      </w:divBdr>
      <w:divsChild>
        <w:div w:id="966858421">
          <w:marLeft w:val="0"/>
          <w:marRight w:val="0"/>
          <w:marTop w:val="0"/>
          <w:marBottom w:val="0"/>
          <w:divBdr>
            <w:top w:val="none" w:sz="0" w:space="0" w:color="auto"/>
            <w:left w:val="none" w:sz="0" w:space="0" w:color="auto"/>
            <w:bottom w:val="none" w:sz="0" w:space="0" w:color="auto"/>
            <w:right w:val="none" w:sz="0" w:space="0" w:color="auto"/>
          </w:divBdr>
          <w:divsChild>
            <w:div w:id="2019623751">
              <w:marLeft w:val="0"/>
              <w:marRight w:val="0"/>
              <w:marTop w:val="0"/>
              <w:marBottom w:val="0"/>
              <w:divBdr>
                <w:top w:val="single" w:sz="6" w:space="0" w:color="CCCCCC"/>
                <w:left w:val="single" w:sz="6" w:space="0" w:color="CCCCCC"/>
                <w:bottom w:val="single" w:sz="6" w:space="0" w:color="CCCCCC"/>
                <w:right w:val="single" w:sz="6" w:space="0" w:color="CCCCCC"/>
              </w:divBdr>
              <w:divsChild>
                <w:div w:id="5437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ridentcentre.co.uk/" TargetMode="External"/><Relationship Id="rId18" Type="http://schemas.openxmlformats.org/officeDocument/2006/relationships/hyperlink" Target="http://www.londonsip.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londonsroyaldocks.co.uk/" TargetMode="External"/><Relationship Id="rId17" Type="http://schemas.openxmlformats.org/officeDocument/2006/relationships/hyperlink" Target="http://www.london.gov.uk/priorities/housing-land/land-assets/catford-stadium" TargetMode="External"/><Relationship Id="rId2" Type="http://schemas.openxmlformats.org/officeDocument/2006/relationships/numbering" Target="numbering.xml"/><Relationship Id="rId16" Type="http://schemas.openxmlformats.org/officeDocument/2006/relationships/hyperlink" Target="http://www.london.gov.uk/priorities/housing-land/land-assets/royal-albert-doc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tter.org.uk/leisure/crystal-palace-national-sports-centr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london.gov.uk/priorities/housing-land/land-assets/london-development-panel" TargetMode="External"/><Relationship Id="rId23" Type="http://schemas.openxmlformats.org/officeDocument/2006/relationships/glossaryDocument" Target="glossary/document.xml"/><Relationship Id="rId10" Type="http://schemas.openxmlformats.org/officeDocument/2006/relationships/hyperlink" Target="http://www.london.gov.uk/priorities/housing-land/land-assets/silvertown-quays" TargetMode="External"/><Relationship Id="rId19" Type="http://schemas.openxmlformats.org/officeDocument/2006/relationships/hyperlink" Target="mailto:landandproperty@london.gov.uk" TargetMode="External"/><Relationship Id="rId4" Type="http://schemas.microsoft.com/office/2007/relationships/stylesWithEffects" Target="stylesWithEffects.xml"/><Relationship Id="rId9" Type="http://schemas.openxmlformats.org/officeDocument/2006/relationships/hyperlink" Target="http://whiteharttriangle.com/" TargetMode="External"/><Relationship Id="rId14" Type="http://schemas.openxmlformats.org/officeDocument/2006/relationships/hyperlink" Target="http://www.london.gov.uk/priorities/housing-land/land-assets/land-and-property-databas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oundry Form Sans">
    <w:panose1 w:val="02000503050000020004"/>
    <w:charset w:val="00"/>
    <w:family w:val="auto"/>
    <w:pitch w:val="variable"/>
    <w:sig w:usb0="800000A7" w:usb1="0000004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63"/>
    <w:rsid w:val="00D44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0B3A0A3EE4F4581717F7D2A41627B">
    <w:name w:val="00B0B3A0A3EE4F4581717F7D2A41627B"/>
    <w:rsid w:val="00D44A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0B3A0A3EE4F4581717F7D2A41627B">
    <w:name w:val="00B0B3A0A3EE4F4581717F7D2A41627B"/>
    <w:rsid w:val="00D44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695EE-4C1D-4B70-8826-CDFCF73CC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Greater London Authority</Company>
  <LinksUpToDate>false</LinksUpToDate>
  <CharactersWithSpaces>15932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dc:creator>
  <cp:lastModifiedBy>Eleanor Lloyd</cp:lastModifiedBy>
  <cp:revision>24</cp:revision>
  <cp:lastPrinted>2013-10-11T09:24:00Z</cp:lastPrinted>
  <dcterms:created xsi:type="dcterms:W3CDTF">2013-10-28T11:18:00Z</dcterms:created>
  <dcterms:modified xsi:type="dcterms:W3CDTF">2013-11-01T14:59:00Z</dcterms:modified>
</cp:coreProperties>
</file>

<file path=docProps/custom.xml><?xml version="1.0" encoding="utf-8"?>
<op:Properties xmlns:op="http://schemas.openxmlformats.org/officeDocument/2006/custom-properties"/>
</file>