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18B" w:rsidRPr="005975D7" w:rsidRDefault="003F66E8" w:rsidP="005975D7">
      <w:pPr>
        <w:pStyle w:val="TechnicalBlock"/>
        <w:ind w:left="-1134" w:right="-1134"/>
      </w:pPr>
      <w:bookmarkStart w:id="0" w:name="DW_BM_COVERPAGE"/>
      <w:bookmarkStart w:id="1" w:name="LW_BM_COVERPAGE"/>
      <w:bookmarkStart w:id="2" w:name="_GoBack"/>
      <w:bookmarkEnd w:id="2"/>
      <w:r>
        <w:rPr>
          <w:noProof/>
          <w:lang w:eastAsia="en-GB"/>
        </w:rPr>
        <w:drawing>
          <wp:inline distT="0" distB="0" distL="0" distR="0">
            <wp:extent cx="7223760" cy="6004560"/>
            <wp:effectExtent l="0" t="0" r="0" b="0"/>
            <wp:docPr id="84" name="Picture 1" descr="04a136cc-5a12-41c1-b96b-7857019a540b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a136cc-5a12-41c1-b96b-7857019a540b_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23760" cy="6004560"/>
                    </a:xfrm>
                    <a:prstGeom prst="rect">
                      <a:avLst/>
                    </a:prstGeom>
                    <a:noFill/>
                    <a:ln>
                      <a:noFill/>
                    </a:ln>
                  </pic:spPr>
                </pic:pic>
              </a:graphicData>
            </a:graphic>
          </wp:inline>
        </w:drawing>
      </w:r>
      <w:bookmarkEnd w:id="0"/>
    </w:p>
    <w:p w:rsidR="008B418B" w:rsidRDefault="008B418B" w:rsidP="00003B62">
      <w:pPr>
        <w:pStyle w:val="EntText"/>
        <w:spacing w:before="480"/>
      </w:pPr>
      <w:r w:rsidRPr="008B418B">
        <w:t xml:space="preserve">Delegations will find attached document </w:t>
      </w:r>
      <w:r>
        <w:fldChar w:fldCharType="begin"/>
      </w:r>
      <w:r>
        <w:instrText xml:space="preserve"> QUOTE "</w:instrText>
      </w:r>
      <w:r>
        <w:fldChar w:fldCharType="begin">
          <w:fldData xml:space="preserve">QwBvAG0AbQBEAG8AYwBzAHwAUwBMAA==
</w:fldData>
        </w:fldChar>
      </w:r>
      <w:r>
        <w:instrText xml:space="preserve"> ADDIN "DocuWrite metadata link" </w:instrText>
      </w:r>
      <w:r>
        <w:fldChar w:fldCharType="end"/>
      </w:r>
      <w:r w:rsidR="00003B62" w:rsidRPr="00003B62">
        <w:instrText>SWD(2015) 181 final</w:instrText>
      </w:r>
      <w:r>
        <w:instrText xml:space="preserve">" </w:instrText>
      </w:r>
      <w:r>
        <w:fldChar w:fldCharType="separate"/>
      </w:r>
      <w:r w:rsidR="00003B62" w:rsidRPr="00003B62">
        <w:t>SWD(2015) 181 final</w:t>
      </w:r>
      <w:r>
        <w:fldChar w:fldCharType="end"/>
      </w:r>
      <w:r w:rsidR="001A3D5F">
        <w:t xml:space="preserve"> PART 2/2</w:t>
      </w:r>
      <w:r w:rsidRPr="008B418B">
        <w:t>.</w:t>
      </w:r>
    </w:p>
    <w:p w:rsidR="008B418B" w:rsidRDefault="008B418B" w:rsidP="008B418B">
      <w:pPr>
        <w:pStyle w:val="Lignefinal"/>
      </w:pPr>
    </w:p>
    <w:p w:rsidR="001A3D5F" w:rsidRDefault="001A3D5F" w:rsidP="008B418B">
      <w:pPr>
        <w:pStyle w:val="pj"/>
        <w:spacing w:before="120"/>
      </w:pPr>
    </w:p>
    <w:p w:rsidR="008B418B" w:rsidRPr="008B418B" w:rsidRDefault="008B418B" w:rsidP="00003B62">
      <w:pPr>
        <w:pStyle w:val="pj"/>
        <w:spacing w:before="120"/>
      </w:pPr>
      <w:r w:rsidRPr="008B418B">
        <w:t xml:space="preserve">Encl.: </w:t>
      </w:r>
      <w:r>
        <w:fldChar w:fldCharType="begin"/>
      </w:r>
      <w:r>
        <w:instrText xml:space="preserve"> QUOTE "</w:instrText>
      </w:r>
      <w:r>
        <w:fldChar w:fldCharType="begin">
          <w:fldData xml:space="preserve">QwBvAG0AbQBEAG8AYwBzAHwAUwBMAA==
</w:fldData>
        </w:fldChar>
      </w:r>
      <w:r>
        <w:instrText xml:space="preserve"> ADDIN "DocuWrite metadata link" </w:instrText>
      </w:r>
      <w:r>
        <w:fldChar w:fldCharType="end"/>
      </w:r>
      <w:r w:rsidR="00003B62" w:rsidRPr="00003B62">
        <w:instrText>SWD(2015) 181 final</w:instrText>
      </w:r>
      <w:r>
        <w:instrText xml:space="preserve">" </w:instrText>
      </w:r>
      <w:r>
        <w:fldChar w:fldCharType="separate"/>
      </w:r>
      <w:r w:rsidR="00003B62" w:rsidRPr="00003B62">
        <w:t>SWD(2015) 181 final</w:t>
      </w:r>
      <w:r>
        <w:fldChar w:fldCharType="end"/>
      </w:r>
      <w:r w:rsidR="001A3D5F">
        <w:t xml:space="preserve"> PART 2/2</w:t>
      </w:r>
    </w:p>
    <w:p w:rsidR="008B418B" w:rsidRDefault="008B418B" w:rsidP="008B418B">
      <w:pPr>
        <w:sectPr w:rsidR="008B418B" w:rsidSect="00003B62">
          <w:headerReference w:type="even" r:id="rId9"/>
          <w:headerReference w:type="default" r:id="rId10"/>
          <w:footerReference w:type="even" r:id="rId11"/>
          <w:footerReference w:type="default" r:id="rId12"/>
          <w:headerReference w:type="first" r:id="rId13"/>
          <w:footerReference w:type="first" r:id="rId14"/>
          <w:pgSz w:w="11907" w:h="16839"/>
          <w:pgMar w:top="624" w:right="1134" w:bottom="1134" w:left="1134" w:header="567" w:footer="567" w:gutter="0"/>
          <w:pgNumType w:start="0"/>
          <w:cols w:space="720"/>
          <w:titlePg/>
          <w:docGrid w:linePitch="360"/>
        </w:sectPr>
      </w:pPr>
    </w:p>
    <w:p w:rsidR="00CC36AC" w:rsidRDefault="008B418B" w:rsidP="00DB4770">
      <w:pPr>
        <w:pStyle w:val="Pagedecouverture"/>
      </w:pPr>
      <w:r>
        <w:rPr>
          <w:noProof/>
          <w:lang w:eastAsia="en-GB"/>
        </w:rPr>
        <w:lastRenderedPageBreak/>
        <w:drawing>
          <wp:inline distT="0" distB="0" distL="0" distR="0" wp14:anchorId="5179F850" wp14:editId="4F38030E">
            <wp:extent cx="5724525" cy="4229100"/>
            <wp:effectExtent l="0" t="0" r="0" b="0"/>
            <wp:docPr id="1" name="Picture 1" descr="86E662D125EF4AFEAB52F79E444A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6E662D125EF4AFEAB52F79E444A97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bookmarkEnd w:id="1"/>
    <w:p w:rsidR="00CC36AC" w:rsidRDefault="00CC36AC" w:rsidP="00CC36AC">
      <w:pPr>
        <w:sectPr w:rsidR="00CC36AC" w:rsidSect="00DB4770">
          <w:headerReference w:type="even" r:id="rId16"/>
          <w:headerReference w:type="default" r:id="rId17"/>
          <w:footerReference w:type="even" r:id="rId18"/>
          <w:footerReference w:type="default" r:id="rId19"/>
          <w:headerReference w:type="first" r:id="rId20"/>
          <w:footerReference w:type="first" r:id="rId21"/>
          <w:pgSz w:w="11907" w:h="16839"/>
          <w:pgMar w:top="1134" w:right="1417" w:bottom="1134" w:left="1417" w:header="709" w:footer="709" w:gutter="0"/>
          <w:pgNumType w:start="1"/>
          <w:cols w:space="720"/>
          <w:docGrid w:linePitch="360"/>
        </w:sectPr>
      </w:pPr>
    </w:p>
    <w:p w:rsidR="00821430" w:rsidRDefault="00821430" w:rsidP="00003B62">
      <w:pPr>
        <w:pStyle w:val="Nagwekspisutreci"/>
        <w:spacing w:before="0" w:after="120"/>
        <w:rPr>
          <w:sz w:val="24"/>
        </w:rPr>
      </w:pPr>
      <w:r>
        <w:rPr>
          <w:sz w:val="24"/>
        </w:rPr>
        <w:t>COMMISSION STAFF WORKING DOCUMENT</w:t>
      </w:r>
    </w:p>
    <w:p w:rsidR="00861066" w:rsidRDefault="00821430" w:rsidP="00003B62">
      <w:pPr>
        <w:pStyle w:val="Nagwekspisutreci"/>
        <w:spacing w:before="0" w:after="120"/>
        <w:rPr>
          <w:sz w:val="24"/>
        </w:rPr>
      </w:pPr>
      <w:r>
        <w:rPr>
          <w:sz w:val="24"/>
        </w:rPr>
        <w:t>Consumer Conditions Scoreboard: Consumers at home in the Single Market</w:t>
      </w:r>
    </w:p>
    <w:p w:rsidR="00821430" w:rsidRDefault="00821430" w:rsidP="00003B62">
      <w:pPr>
        <w:pStyle w:val="Nagwekspisutreci"/>
        <w:spacing w:before="0" w:after="120" w:line="336" w:lineRule="auto"/>
        <w:rPr>
          <w:sz w:val="24"/>
        </w:rPr>
      </w:pPr>
      <w:r>
        <w:rPr>
          <w:sz w:val="24"/>
        </w:rPr>
        <w:t>2015</w:t>
      </w:r>
      <w:r w:rsidR="00665F7A">
        <w:rPr>
          <w:sz w:val="24"/>
        </w:rPr>
        <w:t xml:space="preserve"> edition</w:t>
      </w:r>
    </w:p>
    <w:p w:rsidR="00327793" w:rsidRPr="00327793" w:rsidRDefault="00327793" w:rsidP="00003B62">
      <w:pPr>
        <w:pStyle w:val="TOC1"/>
        <w:spacing w:before="0" w:after="0" w:line="336" w:lineRule="auto"/>
        <w:rPr>
          <w:rFonts w:ascii="Calibri" w:hAnsi="Calibri"/>
          <w:noProof/>
          <w:sz w:val="22"/>
          <w:szCs w:val="22"/>
          <w:lang w:val="en-US"/>
        </w:rPr>
      </w:pPr>
      <w:r w:rsidRPr="008B418B">
        <w:rPr>
          <w:rStyle w:val="Hyperlink"/>
          <w:noProof/>
        </w:rPr>
        <w:t>IV.</w:t>
      </w:r>
      <w:r w:rsidRPr="00327793">
        <w:rPr>
          <w:rFonts w:ascii="Calibri" w:hAnsi="Calibri"/>
          <w:noProof/>
          <w:sz w:val="22"/>
          <w:szCs w:val="22"/>
          <w:lang w:val="en-US"/>
        </w:rPr>
        <w:tab/>
      </w:r>
      <w:r w:rsidRPr="008B418B">
        <w:rPr>
          <w:rStyle w:val="Hyperlink"/>
          <w:noProof/>
        </w:rPr>
        <w:t>CONSUMERS IN THE DIGITAL SINGLE MARKET</w:t>
      </w:r>
      <w:r>
        <w:rPr>
          <w:noProof/>
          <w:webHidden/>
        </w:rPr>
        <w:tab/>
      </w:r>
      <w:r w:rsidR="005269EB">
        <w:rPr>
          <w:noProof/>
          <w:webHidden/>
        </w:rPr>
        <w:t>58</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1.</w:t>
      </w:r>
      <w:r w:rsidRPr="00327793">
        <w:rPr>
          <w:rFonts w:ascii="Calibri" w:hAnsi="Calibri"/>
          <w:noProof/>
          <w:sz w:val="22"/>
          <w:szCs w:val="22"/>
          <w:lang w:val="en-US"/>
        </w:rPr>
        <w:tab/>
      </w:r>
      <w:r w:rsidRPr="008B418B">
        <w:rPr>
          <w:rStyle w:val="Hyperlink"/>
          <w:noProof/>
        </w:rPr>
        <w:t>EU business-to-consumer e-commerce market</w:t>
      </w:r>
      <w:r>
        <w:rPr>
          <w:noProof/>
          <w:webHidden/>
        </w:rPr>
        <w:tab/>
      </w:r>
      <w:r w:rsidR="005269EB">
        <w:rPr>
          <w:noProof/>
          <w:webHidden/>
        </w:rPr>
        <w:t>59</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1.1 </w:t>
      </w:r>
      <w:r w:rsidRPr="00327793">
        <w:rPr>
          <w:rFonts w:ascii="Calibri" w:hAnsi="Calibri"/>
          <w:noProof/>
          <w:sz w:val="22"/>
          <w:szCs w:val="22"/>
          <w:lang w:val="en-US"/>
        </w:rPr>
        <w:tab/>
      </w:r>
      <w:r w:rsidRPr="008B418B">
        <w:rPr>
          <w:rStyle w:val="Hyperlink"/>
          <w:noProof/>
        </w:rPr>
        <w:t>Online purchases domestically and cross-border</w:t>
      </w:r>
      <w:r>
        <w:rPr>
          <w:noProof/>
          <w:webHidden/>
        </w:rPr>
        <w:tab/>
      </w:r>
      <w:r w:rsidR="005269EB">
        <w:rPr>
          <w:noProof/>
          <w:webHidden/>
        </w:rPr>
        <w:t>60</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1.2 </w:t>
      </w:r>
      <w:r w:rsidRPr="00327793">
        <w:rPr>
          <w:rFonts w:ascii="Calibri" w:hAnsi="Calibri"/>
          <w:noProof/>
          <w:sz w:val="22"/>
          <w:szCs w:val="22"/>
          <w:lang w:val="en-US"/>
        </w:rPr>
        <w:tab/>
      </w:r>
      <w:r w:rsidRPr="008B418B">
        <w:rPr>
          <w:rStyle w:val="Hyperlink"/>
          <w:noProof/>
        </w:rPr>
        <w:t>Online sales domestically and cross-border</w:t>
      </w:r>
      <w:r>
        <w:rPr>
          <w:noProof/>
          <w:webHidden/>
        </w:rPr>
        <w:tab/>
      </w:r>
      <w:r w:rsidR="005269EB">
        <w:rPr>
          <w:noProof/>
          <w:webHidden/>
        </w:rPr>
        <w:t>67</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1.3 </w:t>
      </w:r>
      <w:r w:rsidRPr="00327793">
        <w:rPr>
          <w:rFonts w:ascii="Calibri" w:hAnsi="Calibri"/>
          <w:noProof/>
          <w:sz w:val="22"/>
          <w:szCs w:val="22"/>
          <w:lang w:val="en-US"/>
        </w:rPr>
        <w:tab/>
      </w:r>
      <w:r w:rsidRPr="008B418B">
        <w:rPr>
          <w:rStyle w:val="Hyperlink"/>
          <w:noProof/>
        </w:rPr>
        <w:t>Products bought/used online</w:t>
      </w:r>
      <w:r>
        <w:rPr>
          <w:noProof/>
          <w:webHidden/>
        </w:rPr>
        <w:tab/>
      </w:r>
      <w:r w:rsidR="005269EB">
        <w:rPr>
          <w:noProof/>
          <w:webHidden/>
        </w:rPr>
        <w:t>71</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1.4 </w:t>
      </w:r>
      <w:r w:rsidRPr="00327793">
        <w:rPr>
          <w:rFonts w:ascii="Calibri" w:hAnsi="Calibri"/>
          <w:noProof/>
          <w:sz w:val="22"/>
          <w:szCs w:val="22"/>
          <w:lang w:val="en-US"/>
        </w:rPr>
        <w:tab/>
      </w:r>
      <w:r w:rsidRPr="008B418B">
        <w:rPr>
          <w:rStyle w:val="Hyperlink"/>
          <w:noProof/>
        </w:rPr>
        <w:t>Volume of business-to-consumer e-commerce</w:t>
      </w:r>
      <w:r>
        <w:rPr>
          <w:noProof/>
          <w:webHidden/>
        </w:rPr>
        <w:tab/>
      </w:r>
      <w:r w:rsidR="005269EB">
        <w:rPr>
          <w:noProof/>
          <w:webHidden/>
        </w:rPr>
        <w:t>74</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2.</w:t>
      </w:r>
      <w:r w:rsidRPr="00327793">
        <w:rPr>
          <w:rFonts w:ascii="Calibri" w:hAnsi="Calibri"/>
          <w:noProof/>
          <w:sz w:val="22"/>
          <w:szCs w:val="22"/>
          <w:lang w:val="en-US"/>
        </w:rPr>
        <w:tab/>
      </w:r>
      <w:r w:rsidRPr="008B418B">
        <w:rPr>
          <w:rStyle w:val="Hyperlink"/>
          <w:noProof/>
        </w:rPr>
        <w:t>Online purchase journey</w:t>
      </w:r>
      <w:r>
        <w:rPr>
          <w:noProof/>
          <w:webHidden/>
        </w:rPr>
        <w:tab/>
      </w:r>
      <w:r w:rsidR="005269EB">
        <w:rPr>
          <w:noProof/>
          <w:webHidden/>
        </w:rPr>
        <w:t>77</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2.1 </w:t>
      </w:r>
      <w:r w:rsidRPr="00327793">
        <w:rPr>
          <w:rFonts w:ascii="Calibri" w:hAnsi="Calibri"/>
          <w:noProof/>
          <w:sz w:val="22"/>
          <w:szCs w:val="22"/>
          <w:lang w:val="en-US"/>
        </w:rPr>
        <w:tab/>
      </w:r>
      <w:r w:rsidRPr="008B418B">
        <w:rPr>
          <w:rStyle w:val="Hyperlink"/>
          <w:noProof/>
        </w:rPr>
        <w:t>Methods used and time spent researching online purchases</w:t>
      </w:r>
      <w:r>
        <w:rPr>
          <w:noProof/>
          <w:webHidden/>
        </w:rPr>
        <w:tab/>
      </w:r>
      <w:r w:rsidR="005269EB">
        <w:rPr>
          <w:noProof/>
          <w:webHidden/>
        </w:rPr>
        <w:t>77</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2.2</w:t>
      </w:r>
      <w:r w:rsidRPr="00327793">
        <w:rPr>
          <w:rFonts w:ascii="Calibri" w:hAnsi="Calibri"/>
          <w:noProof/>
          <w:sz w:val="22"/>
          <w:szCs w:val="22"/>
          <w:lang w:val="en-US"/>
        </w:rPr>
        <w:tab/>
      </w:r>
      <w:r w:rsidRPr="008B418B">
        <w:rPr>
          <w:rStyle w:val="Hyperlink"/>
          <w:noProof/>
        </w:rPr>
        <w:t xml:space="preserve"> Reasons for choosing the website/appstore/app</w:t>
      </w:r>
      <w:r>
        <w:rPr>
          <w:noProof/>
          <w:webHidden/>
        </w:rPr>
        <w:tab/>
      </w:r>
      <w:r w:rsidR="005269EB">
        <w:rPr>
          <w:noProof/>
          <w:webHidden/>
        </w:rPr>
        <w:t>79</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2.3 </w:t>
      </w:r>
      <w:r w:rsidRPr="00327793">
        <w:rPr>
          <w:rFonts w:ascii="Calibri" w:hAnsi="Calibri"/>
          <w:noProof/>
          <w:sz w:val="22"/>
          <w:szCs w:val="22"/>
          <w:lang w:val="en-US"/>
        </w:rPr>
        <w:tab/>
      </w:r>
      <w:r w:rsidRPr="008B418B">
        <w:rPr>
          <w:rStyle w:val="Hyperlink"/>
          <w:noProof/>
        </w:rPr>
        <w:t>Devices and payment methods used for online shopping</w:t>
      </w:r>
      <w:r>
        <w:rPr>
          <w:noProof/>
          <w:webHidden/>
        </w:rPr>
        <w:tab/>
      </w:r>
      <w:r w:rsidR="005269EB">
        <w:rPr>
          <w:noProof/>
          <w:webHidden/>
        </w:rPr>
        <w:t>80</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2.4 </w:t>
      </w:r>
      <w:r w:rsidRPr="00327793">
        <w:rPr>
          <w:rFonts w:ascii="Calibri" w:hAnsi="Calibri"/>
          <w:noProof/>
          <w:sz w:val="22"/>
          <w:szCs w:val="22"/>
          <w:lang w:val="en-US"/>
        </w:rPr>
        <w:tab/>
      </w:r>
      <w:r w:rsidRPr="008B418B">
        <w:rPr>
          <w:rStyle w:val="Hyperlink"/>
          <w:noProof/>
        </w:rPr>
        <w:t>Delivery options</w:t>
      </w:r>
      <w:r>
        <w:rPr>
          <w:noProof/>
          <w:webHidden/>
        </w:rPr>
        <w:tab/>
      </w:r>
      <w:r w:rsidR="005269EB">
        <w:rPr>
          <w:noProof/>
          <w:webHidden/>
        </w:rPr>
        <w:t>83</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3.</w:t>
      </w:r>
      <w:r w:rsidRPr="00327793">
        <w:rPr>
          <w:rFonts w:ascii="Calibri" w:hAnsi="Calibri"/>
          <w:noProof/>
          <w:sz w:val="22"/>
          <w:szCs w:val="22"/>
          <w:lang w:val="en-US"/>
        </w:rPr>
        <w:tab/>
      </w:r>
      <w:r w:rsidRPr="008B418B">
        <w:rPr>
          <w:rStyle w:val="Hyperlink"/>
          <w:noProof/>
        </w:rPr>
        <w:t>Drivers of and barriers to e-commerce</w:t>
      </w:r>
      <w:r>
        <w:rPr>
          <w:noProof/>
          <w:webHidden/>
        </w:rPr>
        <w:tab/>
      </w:r>
      <w:r w:rsidR="005269EB">
        <w:rPr>
          <w:noProof/>
          <w:webHidden/>
        </w:rPr>
        <w:t>84</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3.1 </w:t>
      </w:r>
      <w:r w:rsidRPr="00327793">
        <w:rPr>
          <w:rFonts w:ascii="Calibri" w:hAnsi="Calibri"/>
          <w:noProof/>
          <w:sz w:val="22"/>
          <w:szCs w:val="22"/>
          <w:lang w:val="en-US"/>
        </w:rPr>
        <w:tab/>
      </w:r>
      <w:r w:rsidRPr="008B418B">
        <w:rPr>
          <w:rStyle w:val="Hyperlink"/>
          <w:noProof/>
        </w:rPr>
        <w:t>On the demand side</w:t>
      </w:r>
      <w:r>
        <w:rPr>
          <w:noProof/>
          <w:webHidden/>
        </w:rPr>
        <w:tab/>
      </w:r>
      <w:r w:rsidR="005269EB">
        <w:rPr>
          <w:noProof/>
          <w:webHidden/>
        </w:rPr>
        <w:t>84</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3.2. </w:t>
      </w:r>
      <w:r w:rsidRPr="00327793">
        <w:rPr>
          <w:rFonts w:ascii="Calibri" w:hAnsi="Calibri"/>
          <w:noProof/>
          <w:sz w:val="22"/>
          <w:szCs w:val="22"/>
          <w:lang w:val="en-US"/>
        </w:rPr>
        <w:tab/>
      </w:r>
      <w:r w:rsidRPr="008B418B">
        <w:rPr>
          <w:rStyle w:val="Hyperlink"/>
          <w:noProof/>
        </w:rPr>
        <w:t>On the supply side</w:t>
      </w:r>
      <w:r>
        <w:rPr>
          <w:noProof/>
          <w:webHidden/>
        </w:rPr>
        <w:tab/>
      </w:r>
      <w:r w:rsidR="005269EB">
        <w:rPr>
          <w:noProof/>
          <w:webHidden/>
        </w:rPr>
        <w:t>94</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4.</w:t>
      </w:r>
      <w:r w:rsidRPr="00327793">
        <w:rPr>
          <w:rFonts w:ascii="Calibri" w:hAnsi="Calibri"/>
          <w:noProof/>
          <w:sz w:val="22"/>
          <w:szCs w:val="22"/>
          <w:lang w:val="en-US"/>
        </w:rPr>
        <w:tab/>
      </w:r>
      <w:r w:rsidRPr="008B418B">
        <w:rPr>
          <w:rStyle w:val="Hyperlink"/>
          <w:noProof/>
        </w:rPr>
        <w:t>Problems and complaints</w:t>
      </w:r>
      <w:r>
        <w:rPr>
          <w:noProof/>
          <w:webHidden/>
        </w:rPr>
        <w:tab/>
      </w:r>
      <w:r w:rsidR="005269EB">
        <w:rPr>
          <w:noProof/>
          <w:webHidden/>
        </w:rPr>
        <w:t>97</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4.1 </w:t>
      </w:r>
      <w:r w:rsidRPr="00327793">
        <w:rPr>
          <w:rFonts w:ascii="Calibri" w:hAnsi="Calibri"/>
          <w:noProof/>
          <w:sz w:val="22"/>
          <w:szCs w:val="22"/>
          <w:lang w:val="en-US"/>
        </w:rPr>
        <w:tab/>
      </w:r>
      <w:r w:rsidRPr="008B418B">
        <w:rPr>
          <w:rStyle w:val="Hyperlink"/>
          <w:noProof/>
        </w:rPr>
        <w:t>Problems with online transactions</w:t>
      </w:r>
      <w:r>
        <w:rPr>
          <w:noProof/>
          <w:webHidden/>
        </w:rPr>
        <w:tab/>
      </w:r>
      <w:r w:rsidR="005269EB">
        <w:rPr>
          <w:noProof/>
          <w:webHidden/>
        </w:rPr>
        <w:t>97</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4.2.</w:t>
      </w:r>
      <w:r w:rsidRPr="00327793">
        <w:rPr>
          <w:rFonts w:ascii="Calibri" w:hAnsi="Calibri"/>
          <w:noProof/>
          <w:sz w:val="22"/>
          <w:szCs w:val="22"/>
          <w:lang w:val="en-US"/>
        </w:rPr>
        <w:tab/>
      </w:r>
      <w:r w:rsidRPr="008B418B">
        <w:rPr>
          <w:rStyle w:val="Hyperlink"/>
          <w:noProof/>
        </w:rPr>
        <w:t>Complaining about problems and satisfaction with complaint handling</w:t>
      </w:r>
      <w:r>
        <w:rPr>
          <w:noProof/>
          <w:webHidden/>
        </w:rPr>
        <w:tab/>
      </w:r>
      <w:r w:rsidR="005269EB">
        <w:rPr>
          <w:noProof/>
          <w:webHidden/>
        </w:rPr>
        <w:t>103</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4.3 </w:t>
      </w:r>
      <w:r w:rsidRPr="00327793">
        <w:rPr>
          <w:rFonts w:ascii="Calibri" w:hAnsi="Calibri"/>
          <w:noProof/>
          <w:sz w:val="22"/>
          <w:szCs w:val="22"/>
          <w:lang w:val="en-US"/>
        </w:rPr>
        <w:tab/>
      </w:r>
      <w:r w:rsidRPr="008B418B">
        <w:rPr>
          <w:rStyle w:val="Hyperlink"/>
          <w:noProof/>
        </w:rPr>
        <w:t>Complaints concerning cross-border online purchases received by European Consumer Centres</w:t>
      </w:r>
      <w:r>
        <w:rPr>
          <w:noProof/>
          <w:webHidden/>
        </w:rPr>
        <w:tab/>
      </w:r>
      <w:r w:rsidR="005269EB">
        <w:rPr>
          <w:noProof/>
          <w:webHidden/>
        </w:rPr>
        <w:t>104</w:t>
      </w:r>
    </w:p>
    <w:p w:rsidR="00327793" w:rsidRPr="00327793" w:rsidRDefault="00327793" w:rsidP="00003B62">
      <w:pPr>
        <w:pStyle w:val="TOC3"/>
        <w:spacing w:before="0" w:after="0" w:line="336" w:lineRule="auto"/>
        <w:rPr>
          <w:rFonts w:ascii="Calibri" w:hAnsi="Calibri"/>
          <w:noProof/>
          <w:sz w:val="22"/>
          <w:szCs w:val="22"/>
          <w:lang w:val="en-US"/>
        </w:rPr>
      </w:pPr>
      <w:r w:rsidRPr="008B418B">
        <w:rPr>
          <w:rStyle w:val="Hyperlink"/>
          <w:noProof/>
        </w:rPr>
        <w:t xml:space="preserve">4.4 </w:t>
      </w:r>
      <w:r w:rsidRPr="00327793">
        <w:rPr>
          <w:rFonts w:ascii="Calibri" w:hAnsi="Calibri"/>
          <w:noProof/>
          <w:sz w:val="22"/>
          <w:szCs w:val="22"/>
          <w:lang w:val="en-US"/>
        </w:rPr>
        <w:tab/>
      </w:r>
      <w:r w:rsidRPr="008B418B">
        <w:rPr>
          <w:rStyle w:val="Hyperlink"/>
          <w:noProof/>
        </w:rPr>
        <w:t>Results of online compliance checks in key consumer markets</w:t>
      </w:r>
      <w:r>
        <w:rPr>
          <w:noProof/>
          <w:webHidden/>
        </w:rPr>
        <w:tab/>
      </w:r>
      <w:r w:rsidR="005269EB">
        <w:rPr>
          <w:noProof/>
          <w:webHidden/>
        </w:rPr>
        <w:t>107</w:t>
      </w:r>
    </w:p>
    <w:p w:rsidR="00327793" w:rsidRPr="00327793" w:rsidRDefault="00327793" w:rsidP="00003B62">
      <w:pPr>
        <w:pStyle w:val="TOC1"/>
        <w:spacing w:before="0" w:after="0" w:line="336" w:lineRule="auto"/>
        <w:rPr>
          <w:rFonts w:ascii="Calibri" w:hAnsi="Calibri"/>
          <w:noProof/>
          <w:sz w:val="22"/>
          <w:szCs w:val="22"/>
          <w:lang w:val="en-US"/>
        </w:rPr>
      </w:pPr>
      <w:r w:rsidRPr="008B418B">
        <w:rPr>
          <w:rStyle w:val="Hyperlink"/>
          <w:noProof/>
        </w:rPr>
        <w:t>V.</w:t>
      </w:r>
      <w:r w:rsidRPr="00327793">
        <w:rPr>
          <w:rFonts w:ascii="Calibri" w:hAnsi="Calibri"/>
          <w:noProof/>
          <w:sz w:val="22"/>
          <w:szCs w:val="22"/>
          <w:lang w:val="en-US"/>
        </w:rPr>
        <w:tab/>
      </w:r>
      <w:r w:rsidRPr="008B418B">
        <w:rPr>
          <w:rStyle w:val="Hyperlink"/>
          <w:noProof/>
        </w:rPr>
        <w:t>DETERMINANTS AND CORRELATES OF CONSUMER CONDITIONS</w:t>
      </w:r>
      <w:r>
        <w:rPr>
          <w:noProof/>
          <w:webHidden/>
        </w:rPr>
        <w:tab/>
      </w:r>
      <w:r w:rsidR="005269EB">
        <w:rPr>
          <w:noProof/>
          <w:webHidden/>
        </w:rPr>
        <w:t>111</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1. Link between consumer conditions and economic, social and governance indicators</w:t>
      </w:r>
      <w:r>
        <w:rPr>
          <w:noProof/>
          <w:webHidden/>
        </w:rPr>
        <w:tab/>
      </w:r>
      <w:r w:rsidR="005269EB">
        <w:rPr>
          <w:noProof/>
          <w:webHidden/>
        </w:rPr>
        <w:t>111</w:t>
      </w:r>
    </w:p>
    <w:p w:rsidR="00327793" w:rsidRPr="00327793" w:rsidRDefault="00327793" w:rsidP="00003B62">
      <w:pPr>
        <w:pStyle w:val="TOC2"/>
        <w:spacing w:before="0" w:after="0" w:line="336" w:lineRule="auto"/>
        <w:rPr>
          <w:rFonts w:ascii="Calibri" w:hAnsi="Calibri"/>
          <w:noProof/>
          <w:sz w:val="22"/>
          <w:szCs w:val="22"/>
          <w:lang w:val="en-US"/>
        </w:rPr>
      </w:pPr>
      <w:r w:rsidRPr="008B418B">
        <w:rPr>
          <w:rStyle w:val="Hyperlink"/>
          <w:noProof/>
        </w:rPr>
        <w:t xml:space="preserve">2 </w:t>
      </w:r>
      <w:r w:rsidRPr="00327793">
        <w:rPr>
          <w:rFonts w:ascii="Calibri" w:hAnsi="Calibri"/>
          <w:noProof/>
          <w:sz w:val="22"/>
          <w:szCs w:val="22"/>
          <w:lang w:val="en-US"/>
        </w:rPr>
        <w:tab/>
      </w:r>
      <w:r w:rsidRPr="008B418B">
        <w:rPr>
          <w:rStyle w:val="Hyperlink"/>
          <w:noProof/>
        </w:rPr>
        <w:t>Impact of socio-demographic factors on consumer conditions</w:t>
      </w:r>
      <w:r>
        <w:rPr>
          <w:noProof/>
          <w:webHidden/>
        </w:rPr>
        <w:tab/>
      </w:r>
      <w:r w:rsidR="005269EB">
        <w:rPr>
          <w:noProof/>
          <w:webHidden/>
        </w:rPr>
        <w:t>116</w:t>
      </w:r>
    </w:p>
    <w:p w:rsidR="00327793" w:rsidRPr="00327793" w:rsidRDefault="00327793" w:rsidP="00003B62">
      <w:pPr>
        <w:pStyle w:val="TOC1"/>
        <w:spacing w:before="0" w:after="0" w:line="336" w:lineRule="auto"/>
        <w:rPr>
          <w:rFonts w:ascii="Calibri" w:hAnsi="Calibri"/>
          <w:noProof/>
          <w:sz w:val="22"/>
          <w:szCs w:val="22"/>
          <w:lang w:val="en-US"/>
        </w:rPr>
      </w:pPr>
      <w:r w:rsidRPr="008B418B">
        <w:rPr>
          <w:rStyle w:val="Hyperlink"/>
          <w:noProof/>
        </w:rPr>
        <w:t>ANNEX I</w:t>
      </w:r>
      <w:r>
        <w:rPr>
          <w:noProof/>
          <w:webHidden/>
        </w:rPr>
        <w:tab/>
      </w:r>
      <w:r w:rsidR="005269EB">
        <w:rPr>
          <w:noProof/>
          <w:webHidden/>
        </w:rPr>
        <w:t>119</w:t>
      </w:r>
    </w:p>
    <w:p w:rsidR="00327793" w:rsidRPr="00327793" w:rsidRDefault="00327793" w:rsidP="00003B62">
      <w:pPr>
        <w:pStyle w:val="TOC1"/>
        <w:spacing w:before="0" w:after="0" w:line="336" w:lineRule="auto"/>
        <w:rPr>
          <w:rFonts w:ascii="Calibri" w:hAnsi="Calibri"/>
          <w:noProof/>
          <w:sz w:val="22"/>
          <w:szCs w:val="22"/>
          <w:lang w:val="en-US"/>
        </w:rPr>
      </w:pPr>
      <w:r w:rsidRPr="008B418B">
        <w:rPr>
          <w:rStyle w:val="Hyperlink"/>
          <w:noProof/>
        </w:rPr>
        <w:t>Country Consumer Statistics</w:t>
      </w:r>
      <w:r>
        <w:rPr>
          <w:noProof/>
          <w:webHidden/>
        </w:rPr>
        <w:tab/>
      </w:r>
      <w:r w:rsidR="005269EB">
        <w:rPr>
          <w:noProof/>
          <w:webHidden/>
        </w:rPr>
        <w:t>119</w:t>
      </w:r>
    </w:p>
    <w:p w:rsidR="00327793" w:rsidRPr="008B418B" w:rsidRDefault="00327793" w:rsidP="00003B62">
      <w:pPr>
        <w:pStyle w:val="TOC1"/>
        <w:spacing w:before="0" w:after="0" w:line="336" w:lineRule="auto"/>
        <w:rPr>
          <w:rFonts w:ascii="Calibri" w:hAnsi="Calibri"/>
          <w:noProof/>
          <w:sz w:val="22"/>
          <w:szCs w:val="22"/>
          <w:lang w:val="fr-BE"/>
        </w:rPr>
      </w:pPr>
      <w:r w:rsidRPr="008B418B">
        <w:rPr>
          <w:rStyle w:val="Hyperlink"/>
          <w:noProof/>
          <w:lang w:val="fr-BE"/>
        </w:rPr>
        <w:t>ANNEX II</w:t>
      </w:r>
      <w:r w:rsidRPr="008B418B">
        <w:rPr>
          <w:noProof/>
          <w:webHidden/>
          <w:lang w:val="fr-BE"/>
        </w:rPr>
        <w:tab/>
      </w:r>
      <w:r w:rsidR="005269EB" w:rsidRPr="008B418B">
        <w:rPr>
          <w:noProof/>
          <w:webHidden/>
          <w:lang w:val="fr-BE"/>
        </w:rPr>
        <w:t>150</w:t>
      </w:r>
    </w:p>
    <w:p w:rsidR="00327793" w:rsidRPr="008B418B" w:rsidRDefault="00327793" w:rsidP="00003B62">
      <w:pPr>
        <w:pStyle w:val="TOC1"/>
        <w:spacing w:before="0" w:after="0" w:line="336" w:lineRule="auto"/>
        <w:rPr>
          <w:rFonts w:ascii="Calibri" w:hAnsi="Calibri"/>
          <w:noProof/>
          <w:sz w:val="22"/>
          <w:szCs w:val="22"/>
          <w:lang w:val="fr-BE"/>
        </w:rPr>
      </w:pPr>
      <w:r w:rsidRPr="008B418B">
        <w:rPr>
          <w:rStyle w:val="Hyperlink"/>
          <w:noProof/>
          <w:lang w:val="fr-BE"/>
        </w:rPr>
        <w:t>Consumer Conditions Index</w:t>
      </w:r>
      <w:r w:rsidRPr="008B418B">
        <w:rPr>
          <w:noProof/>
          <w:webHidden/>
          <w:lang w:val="fr-BE"/>
        </w:rPr>
        <w:tab/>
      </w:r>
      <w:r w:rsidR="005269EB" w:rsidRPr="008B418B">
        <w:rPr>
          <w:noProof/>
          <w:webHidden/>
          <w:lang w:val="fr-BE"/>
        </w:rPr>
        <w:t>150</w:t>
      </w:r>
    </w:p>
    <w:p w:rsidR="00821430" w:rsidRDefault="00821430" w:rsidP="00327793">
      <w:pPr>
        <w:pStyle w:val="Heading1"/>
        <w:numPr>
          <w:ilvl w:val="0"/>
          <w:numId w:val="0"/>
        </w:numPr>
        <w:ind w:left="786"/>
      </w:pPr>
      <w:r w:rsidRPr="00003B62">
        <w:br w:type="page"/>
      </w:r>
      <w:r w:rsidR="009738FA">
        <w:t>IV.</w:t>
      </w:r>
      <w:r w:rsidR="009738FA">
        <w:tab/>
      </w:r>
      <w:r>
        <w:t xml:space="preserve">CONSUMERS IN THE DIGITAL SINGLE MARKET </w:t>
      </w:r>
    </w:p>
    <w:p w:rsidR="00821430" w:rsidRDefault="00821430">
      <w:pPr>
        <w:spacing w:after="0"/>
      </w:pPr>
      <w:r>
        <w:t>Higher e-commerce uptake would offer European consumers lower prices and a wider choice of goods and services</w:t>
      </w:r>
      <w:r>
        <w:rPr>
          <w:rStyle w:val="FootnoteReference"/>
        </w:rPr>
        <w:footnoteReference w:id="2"/>
      </w:r>
      <w:r>
        <w:t xml:space="preserve">, while </w:t>
      </w:r>
      <w:r w:rsidR="00865412">
        <w:t>giving</w:t>
      </w:r>
      <w:r w:rsidR="00865412" w:rsidRPr="004456F1">
        <w:t xml:space="preserve"> </w:t>
      </w:r>
      <w:r>
        <w:t xml:space="preserve">businesses an opportunity to reach a broader group of consumers and increase sales. </w:t>
      </w:r>
      <w:r>
        <w:rPr>
          <w:lang w:eastAsia="en-GB"/>
        </w:rPr>
        <w:t xml:space="preserve">The 2015 Annual Growth Survey explicitly recognised low consumer confidence in online transactions as an obstacle to completing the Digital Single Market. </w:t>
      </w:r>
      <w:r>
        <w:t>The new harmonised requirements introduced by the Consumer Rights Directive</w:t>
      </w:r>
      <w:r>
        <w:rPr>
          <w:rStyle w:val="FootnoteReference"/>
        </w:rPr>
        <w:footnoteReference w:id="3"/>
      </w:r>
      <w:r>
        <w:t xml:space="preserve"> are applicable as of June 2014, strengthening the level of consumer protection in online transactions and reducing </w:t>
      </w:r>
      <w:r w:rsidR="00631A4B" w:rsidRPr="005E1B81">
        <w:t xml:space="preserve">the </w:t>
      </w:r>
      <w:r w:rsidR="00631A4B">
        <w:t xml:space="preserve">cost for </w:t>
      </w:r>
      <w:r w:rsidR="00631A4B" w:rsidRPr="005E1B81">
        <w:t>sellers</w:t>
      </w:r>
      <w:r w:rsidR="00631A4B">
        <w:t xml:space="preserve"> </w:t>
      </w:r>
      <w:r w:rsidR="005F43FF">
        <w:t>who want</w:t>
      </w:r>
      <w:r w:rsidR="00631A4B" w:rsidRPr="004456F1">
        <w:t xml:space="preserve"> </w:t>
      </w:r>
      <w:r w:rsidR="00631A4B">
        <w:t xml:space="preserve">to offer their products </w:t>
      </w:r>
      <w:r w:rsidR="00733A5D">
        <w:t>on a</w:t>
      </w:r>
      <w:r w:rsidR="00631A4B" w:rsidRPr="004456F1">
        <w:t xml:space="preserve"> </w:t>
      </w:r>
      <w:r w:rsidR="00631A4B">
        <w:t>cross-border</w:t>
      </w:r>
      <w:r w:rsidR="00733A5D">
        <w:t xml:space="preserve"> basis</w:t>
      </w:r>
      <w:r>
        <w:t xml:space="preserve">. The new rules on alternative and online dispute resolution and the ongoing revision of the small claims procedure will allow parties to effectively enforce their rights in an easy, quick and </w:t>
      </w:r>
      <w:r w:rsidR="005F43FF" w:rsidRPr="004456F1">
        <w:t>low</w:t>
      </w:r>
      <w:r w:rsidR="005F43FF">
        <w:t>-</w:t>
      </w:r>
      <w:r>
        <w:t>cost way without having to go to court, especially in the online environment. The Digital Single Market Strategy</w:t>
      </w:r>
      <w:r>
        <w:rPr>
          <w:rStyle w:val="FootnoteReference"/>
        </w:rPr>
        <w:footnoteReference w:id="4"/>
      </w:r>
      <w:r>
        <w:t xml:space="preserve">, adopted </w:t>
      </w:r>
      <w:r w:rsidR="00B95A1B">
        <w:t xml:space="preserve">in </w:t>
      </w:r>
      <w:r>
        <w:t>May</w:t>
      </w:r>
      <w:r w:rsidR="00B95A1B">
        <w:t xml:space="preserve"> 2015</w:t>
      </w:r>
      <w:r>
        <w:t xml:space="preserve">, sets out 16 further actions (see Box 1), </w:t>
      </w:r>
      <w:r w:rsidR="005F43FF">
        <w:t xml:space="preserve">on </w:t>
      </w:r>
      <w:r>
        <w:t xml:space="preserve">which the Commission will deliver by the end of 2016. The upcoming legislative proposal </w:t>
      </w:r>
      <w:r w:rsidR="003365B2">
        <w:t>on contract rules for online purchases of digital content and tangible goods</w:t>
      </w:r>
      <w:r>
        <w:t xml:space="preserve"> </w:t>
      </w:r>
      <w:r w:rsidR="00D93F62">
        <w:t>will</w:t>
      </w:r>
      <w:r w:rsidR="003A182F">
        <w:t xml:space="preserve"> aim at</w:t>
      </w:r>
      <w:r w:rsidR="00D93F62">
        <w:t xml:space="preserve"> </w:t>
      </w:r>
      <w:r w:rsidR="003A182F">
        <w:t xml:space="preserve">increasing </w:t>
      </w:r>
      <w:r w:rsidR="00D93F62" w:rsidRPr="005E1B81">
        <w:t>consumer</w:t>
      </w:r>
      <w:r w:rsidR="00D93F62">
        <w:t xml:space="preserve"> confidence in cross-border e-commerce and </w:t>
      </w:r>
      <w:r w:rsidR="003A182F">
        <w:t xml:space="preserve">encouraging </w:t>
      </w:r>
      <w:r w:rsidR="00D93F62">
        <w:t>more businesses to sell online across borders</w:t>
      </w:r>
      <w:r w:rsidR="00D93F62" w:rsidRPr="005E1B81">
        <w:t>.</w:t>
      </w:r>
      <w:r>
        <w:t xml:space="preserve"> The planned review of the Consumer Protection Cooperation Regulation will</w:t>
      </w:r>
      <w:r w:rsidR="003A182F">
        <w:t xml:space="preserve"> aim at</w:t>
      </w:r>
      <w:r>
        <w:t xml:space="preserve"> </w:t>
      </w:r>
      <w:r w:rsidR="003A182F">
        <w:t xml:space="preserve">making </w:t>
      </w:r>
      <w:r>
        <w:t xml:space="preserve">the enforcement of consumer rights by national public authorities more effective for the Digital Single Market. </w:t>
      </w:r>
      <w:r w:rsidR="0008767B" w:rsidRPr="005E1B81">
        <w:t xml:space="preserve">The Commission is also </w:t>
      </w:r>
      <w:r w:rsidR="0008767B">
        <w:t xml:space="preserve">developing </w:t>
      </w:r>
      <w:r w:rsidR="005F43FF">
        <w:t>guidelines for</w:t>
      </w:r>
      <w:r w:rsidR="0008767B" w:rsidRPr="005E1B81">
        <w:t xml:space="preserve"> comparison tool operators </w:t>
      </w:r>
      <w:r w:rsidR="0008767B">
        <w:t xml:space="preserve">on how to comply with the Unfair Commercial Practices Directive and </w:t>
      </w:r>
      <w:r w:rsidR="0008767B" w:rsidRPr="005E1B81">
        <w:t>provid</w:t>
      </w:r>
      <w:r w:rsidR="0008767B">
        <w:t>e</w:t>
      </w:r>
      <w:r w:rsidR="0008767B" w:rsidRPr="005E1B81">
        <w:t xml:space="preserve"> transparent and reliable information to consumers</w:t>
      </w:r>
      <w:r>
        <w:t>.</w:t>
      </w:r>
    </w:p>
    <w:p w:rsidR="00821430" w:rsidRDefault="00821430">
      <w:pPr>
        <w:rPr>
          <w:b/>
          <w:bCs/>
          <w:sz w:val="20"/>
          <w:szCs w:val="20"/>
          <w:lang w:eastAsia="en-GB"/>
        </w:rPr>
      </w:pP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21430">
        <w:trPr>
          <w:trHeight w:val="3276"/>
        </w:trPr>
        <w:tc>
          <w:tcPr>
            <w:tcW w:w="9180" w:type="dxa"/>
            <w:shd w:val="clear" w:color="auto" w:fill="auto"/>
          </w:tcPr>
          <w:p w:rsidR="00805BB2" w:rsidRPr="00E116DC" w:rsidRDefault="00805BB2" w:rsidP="00E116DC">
            <w:pPr>
              <w:spacing w:after="0"/>
              <w:jc w:val="center"/>
              <w:rPr>
                <w:b/>
                <w:i/>
              </w:rPr>
            </w:pPr>
            <w:r w:rsidRPr="00E116DC">
              <w:rPr>
                <w:b/>
                <w:bCs/>
                <w:lang w:eastAsia="en-GB"/>
              </w:rPr>
              <w:t>Roadmap for completing the Digital Single Market</w:t>
            </w:r>
          </w:p>
          <w:p w:rsidR="00821430" w:rsidRDefault="00821430">
            <w:pPr>
              <w:spacing w:after="0"/>
              <w:rPr>
                <w:b/>
              </w:rPr>
            </w:pPr>
            <w:r>
              <w:rPr>
                <w:b/>
                <w:i/>
              </w:rPr>
              <w:t xml:space="preserve">Better access for consumers and businesses to </w:t>
            </w:r>
            <w:r w:rsidR="00AD0261">
              <w:rPr>
                <w:b/>
                <w:i/>
              </w:rPr>
              <w:t xml:space="preserve">online </w:t>
            </w:r>
            <w:r>
              <w:rPr>
                <w:b/>
                <w:i/>
              </w:rPr>
              <w:t>goods and services across Europe</w:t>
            </w:r>
          </w:p>
          <w:p w:rsidR="00821430" w:rsidRDefault="00821430">
            <w:pPr>
              <w:numPr>
                <w:ilvl w:val="0"/>
                <w:numId w:val="29"/>
              </w:numPr>
              <w:spacing w:before="0" w:after="0"/>
            </w:pPr>
            <w:r>
              <w:t>Legislative proposals for simple and effective cross-border contract rules for consumers and businesses</w:t>
            </w:r>
          </w:p>
          <w:p w:rsidR="00821430" w:rsidRDefault="00821430">
            <w:pPr>
              <w:numPr>
                <w:ilvl w:val="0"/>
                <w:numId w:val="29"/>
              </w:numPr>
              <w:spacing w:before="0" w:after="0"/>
            </w:pPr>
            <w:r>
              <w:t>Review the Regulation on Consumer Protection Cooperation</w:t>
            </w:r>
            <w:r w:rsidR="002A303D">
              <w:t xml:space="preserve"> </w:t>
            </w:r>
            <w:r w:rsidR="00B9788B">
              <w:t>(</w:t>
            </w:r>
            <w:r w:rsidR="002A303D">
              <w:t>2006/2004/EC</w:t>
            </w:r>
            <w:r w:rsidR="00B9788B">
              <w:t>)</w:t>
            </w:r>
          </w:p>
          <w:p w:rsidR="00821430" w:rsidRDefault="00821430">
            <w:pPr>
              <w:numPr>
                <w:ilvl w:val="0"/>
                <w:numId w:val="29"/>
              </w:numPr>
              <w:spacing w:before="0" w:after="0"/>
            </w:pPr>
            <w:r>
              <w:t>Measures in the area of parcel delivery</w:t>
            </w:r>
          </w:p>
          <w:p w:rsidR="00821430" w:rsidRDefault="00821430">
            <w:pPr>
              <w:numPr>
                <w:ilvl w:val="0"/>
                <w:numId w:val="29"/>
              </w:numPr>
              <w:spacing w:before="0" w:after="0"/>
            </w:pPr>
            <w:r>
              <w:t xml:space="preserve">A </w:t>
            </w:r>
            <w:r w:rsidR="00B86C5D" w:rsidRPr="004456F1">
              <w:t>wide</w:t>
            </w:r>
            <w:r w:rsidR="00B86C5D">
              <w:t>-</w:t>
            </w:r>
            <w:r>
              <w:t>ranging review to prepare legislative proposals to tackle unjustified Geo-blocking</w:t>
            </w:r>
          </w:p>
          <w:p w:rsidR="00821430" w:rsidRDefault="00821430">
            <w:pPr>
              <w:numPr>
                <w:ilvl w:val="0"/>
                <w:numId w:val="29"/>
              </w:numPr>
              <w:spacing w:before="0" w:after="0"/>
            </w:pPr>
            <w:r>
              <w:t xml:space="preserve">Competition sector inquiry into e-commerce, relating to the online </w:t>
            </w:r>
            <w:r w:rsidR="00B86C5D" w:rsidRPr="004456F1">
              <w:t>trad</w:t>
            </w:r>
            <w:r w:rsidR="00B86C5D">
              <w:t>ing</w:t>
            </w:r>
            <w:r w:rsidR="00B86C5D" w:rsidRPr="004456F1">
              <w:t xml:space="preserve"> </w:t>
            </w:r>
            <w:r>
              <w:t>of goods and the online provision of services</w:t>
            </w:r>
          </w:p>
          <w:p w:rsidR="00821430" w:rsidRDefault="00821430">
            <w:pPr>
              <w:numPr>
                <w:ilvl w:val="0"/>
                <w:numId w:val="29"/>
              </w:numPr>
              <w:spacing w:before="0" w:after="0"/>
            </w:pPr>
            <w:r>
              <w:t>Legislative proposals for a reform of the copyright regime</w:t>
            </w:r>
          </w:p>
          <w:p w:rsidR="00821430" w:rsidRDefault="00821430">
            <w:pPr>
              <w:numPr>
                <w:ilvl w:val="0"/>
                <w:numId w:val="29"/>
              </w:numPr>
              <w:spacing w:before="0" w:after="0"/>
            </w:pPr>
            <w:r>
              <w:t>Review of the Satellite and Cable Directive</w:t>
            </w:r>
          </w:p>
          <w:p w:rsidR="00DF781A" w:rsidRPr="00EC10A1" w:rsidRDefault="00821430" w:rsidP="00EC10A1">
            <w:pPr>
              <w:numPr>
                <w:ilvl w:val="0"/>
                <w:numId w:val="29"/>
              </w:numPr>
              <w:spacing w:before="0" w:after="0"/>
              <w:rPr>
                <w:b/>
              </w:rPr>
            </w:pPr>
            <w:r>
              <w:t>Legislative proposals to reduce the administrative burden on businesses arising from different VAT regimes</w:t>
            </w:r>
          </w:p>
        </w:tc>
      </w:tr>
      <w:tr w:rsidR="00821430">
        <w:trPr>
          <w:trHeight w:val="1860"/>
        </w:trPr>
        <w:tc>
          <w:tcPr>
            <w:tcW w:w="9180" w:type="dxa"/>
            <w:shd w:val="clear" w:color="auto" w:fill="auto"/>
          </w:tcPr>
          <w:p w:rsidR="00821430" w:rsidRDefault="00821430">
            <w:pPr>
              <w:spacing w:after="0"/>
              <w:rPr>
                <w:b/>
                <w:i/>
              </w:rPr>
            </w:pPr>
            <w:r>
              <w:rPr>
                <w:b/>
                <w:i/>
              </w:rPr>
              <w:t>Creating the right conditions for digital networks and services to flourish</w:t>
            </w:r>
          </w:p>
          <w:p w:rsidR="00821430" w:rsidRDefault="00821430">
            <w:pPr>
              <w:numPr>
                <w:ilvl w:val="0"/>
                <w:numId w:val="29"/>
              </w:numPr>
              <w:spacing w:before="0" w:after="0"/>
            </w:pPr>
            <w:r>
              <w:t>Legislative proposals to reform the current telecoms rules</w:t>
            </w:r>
          </w:p>
          <w:p w:rsidR="00821430" w:rsidRDefault="00821430">
            <w:pPr>
              <w:numPr>
                <w:ilvl w:val="0"/>
                <w:numId w:val="29"/>
              </w:numPr>
              <w:spacing w:before="0" w:after="0"/>
            </w:pPr>
            <w:r>
              <w:t>Review the Audiovisual Media Services Directive</w:t>
            </w:r>
          </w:p>
          <w:p w:rsidR="00821430" w:rsidRDefault="00821430">
            <w:pPr>
              <w:numPr>
                <w:ilvl w:val="0"/>
                <w:numId w:val="29"/>
              </w:numPr>
              <w:spacing w:before="0" w:after="0"/>
            </w:pPr>
            <w:r>
              <w:t>Comprehensive analysis of the role of platforms in the market including illegal content on the Internet</w:t>
            </w:r>
          </w:p>
          <w:p w:rsidR="00821430" w:rsidRDefault="00821430">
            <w:pPr>
              <w:numPr>
                <w:ilvl w:val="0"/>
                <w:numId w:val="29"/>
              </w:numPr>
              <w:spacing w:before="0" w:after="0"/>
            </w:pPr>
            <w:r>
              <w:t>Review the e-Privacy Directive</w:t>
            </w:r>
          </w:p>
          <w:p w:rsidR="00821430" w:rsidRDefault="00821430">
            <w:pPr>
              <w:numPr>
                <w:ilvl w:val="0"/>
                <w:numId w:val="29"/>
              </w:numPr>
              <w:spacing w:before="0" w:after="0"/>
              <w:rPr>
                <w:b/>
              </w:rPr>
            </w:pPr>
            <w:r>
              <w:t>Establishment of a Cybersecurity contractual Public-Private Partnership</w:t>
            </w:r>
          </w:p>
        </w:tc>
      </w:tr>
      <w:tr w:rsidR="00821430" w:rsidTr="00567877">
        <w:trPr>
          <w:trHeight w:val="384"/>
        </w:trPr>
        <w:tc>
          <w:tcPr>
            <w:tcW w:w="9180" w:type="dxa"/>
            <w:shd w:val="clear" w:color="auto" w:fill="auto"/>
          </w:tcPr>
          <w:p w:rsidR="00821430" w:rsidRDefault="00821430">
            <w:pPr>
              <w:spacing w:after="0"/>
              <w:rPr>
                <w:b/>
                <w:i/>
              </w:rPr>
            </w:pPr>
            <w:r>
              <w:rPr>
                <w:b/>
                <w:i/>
              </w:rPr>
              <w:t>Maximising the growth potential of the Digital Economy</w:t>
            </w:r>
          </w:p>
          <w:p w:rsidR="00821430" w:rsidRDefault="00821430">
            <w:pPr>
              <w:numPr>
                <w:ilvl w:val="0"/>
                <w:numId w:val="29"/>
              </w:numPr>
              <w:spacing w:before="0" w:after="0"/>
            </w:pPr>
            <w:r>
              <w:t>Initiatives on data ownership, free flow of data (e.g. between cloud providers) and on a European Cloud</w:t>
            </w:r>
          </w:p>
          <w:p w:rsidR="00821430" w:rsidRDefault="00821430">
            <w:pPr>
              <w:numPr>
                <w:ilvl w:val="0"/>
                <w:numId w:val="29"/>
              </w:numPr>
              <w:spacing w:before="0" w:after="0"/>
            </w:pPr>
            <w:r>
              <w:t>Adoption of a Priority ICT Standards Plan and extending the European Interoperability Framework for public services</w:t>
            </w:r>
          </w:p>
          <w:p w:rsidR="00821430" w:rsidRDefault="00821430">
            <w:pPr>
              <w:numPr>
                <w:ilvl w:val="0"/>
                <w:numId w:val="29"/>
              </w:numPr>
              <w:spacing w:before="0" w:after="0"/>
              <w:rPr>
                <w:b/>
              </w:rPr>
            </w:pPr>
            <w:r>
              <w:t xml:space="preserve">New e-Government Action Plan including an initiative on the </w:t>
            </w:r>
            <w:r w:rsidR="004456F1">
              <w:t>‘</w:t>
            </w:r>
            <w:r w:rsidRPr="004456F1">
              <w:t>Once</w:t>
            </w:r>
            <w:r w:rsidR="00CC433B">
              <w:t xml:space="preserve"> o</w:t>
            </w:r>
            <w:r w:rsidRPr="004456F1">
              <w:t>nly</w:t>
            </w:r>
            <w:r w:rsidR="004456F1">
              <w:t>’</w:t>
            </w:r>
            <w:r>
              <w:t xml:space="preserve"> principle and an initiative on building up the interconnection of business registers</w:t>
            </w:r>
          </w:p>
        </w:tc>
      </w:tr>
    </w:tbl>
    <w:p w:rsidR="00821430" w:rsidRDefault="00821430">
      <w:pPr>
        <w:rPr>
          <w:i/>
          <w:sz w:val="20"/>
          <w:szCs w:val="20"/>
          <w:lang w:eastAsia="en-GB"/>
        </w:rPr>
      </w:pPr>
      <w:r>
        <w:rPr>
          <w:i/>
          <w:sz w:val="20"/>
          <w:szCs w:val="20"/>
          <w:lang w:eastAsia="en-GB"/>
        </w:rPr>
        <w:t xml:space="preserve">Source: </w:t>
      </w:r>
      <w:r>
        <w:rPr>
          <w:bCs/>
          <w:i/>
          <w:sz w:val="20"/>
          <w:szCs w:val="20"/>
          <w:lang w:eastAsia="en-GB"/>
        </w:rPr>
        <w:t>Digital Single Market Strategy</w:t>
      </w:r>
      <w:r>
        <w:rPr>
          <w:i/>
          <w:sz w:val="20"/>
          <w:szCs w:val="20"/>
          <w:lang w:eastAsia="en-GB"/>
        </w:rPr>
        <w:t>, adopted on 6 May 2015</w:t>
      </w:r>
    </w:p>
    <w:p w:rsidR="00821430" w:rsidRDefault="00821430">
      <w:pPr>
        <w:spacing w:after="0"/>
      </w:pPr>
      <w:r>
        <w:t xml:space="preserve">This part of the Scoreboard analyses the degree of Digital Single Market </w:t>
      </w:r>
      <w:r w:rsidR="00CC433B">
        <w:t>(DSM)</w:t>
      </w:r>
      <w:r w:rsidRPr="004456F1">
        <w:t xml:space="preserve"> </w:t>
      </w:r>
      <w:r>
        <w:t>integration, by looking at the development of (cross-border) business-to-consumer e-commerce, the attitudes and experiences of market participants with regard to online transactions as well as the obstacles that may prevent consumers and retailers from taking full advantage of a Digital Single Market. As in the past, the assessment is based on the regular EU-wide surveys with consumers</w:t>
      </w:r>
      <w:r>
        <w:rPr>
          <w:rStyle w:val="FootnoteReference"/>
        </w:rPr>
        <w:footnoteReference w:id="5"/>
      </w:r>
      <w:r>
        <w:t xml:space="preserve"> and retailers</w:t>
      </w:r>
      <w:r>
        <w:rPr>
          <w:rStyle w:val="FootnoteReference"/>
        </w:rPr>
        <w:footnoteReference w:id="6"/>
      </w:r>
      <w:r>
        <w:t>, the data on ICT use by households/individuals</w:t>
      </w:r>
      <w:r>
        <w:rPr>
          <w:rStyle w:val="FootnoteReference"/>
        </w:rPr>
        <w:footnoteReference w:id="7"/>
      </w:r>
      <w:r>
        <w:t xml:space="preserve"> and enterprises</w:t>
      </w:r>
      <w:r>
        <w:rPr>
          <w:rStyle w:val="FootnoteReference"/>
        </w:rPr>
        <w:footnoteReference w:id="8"/>
      </w:r>
      <w:r>
        <w:t xml:space="preserve"> collected by Eurostat</w:t>
      </w:r>
      <w:r w:rsidR="00CC433B">
        <w:t>,</w:t>
      </w:r>
      <w:r>
        <w:t xml:space="preserve"> and the analysis of consumer complaints received by the European Consumer Centres (ECC) Network. In addition, this Scoreboard edition presents the results of </w:t>
      </w:r>
      <w:r w:rsidR="009A5614">
        <w:t xml:space="preserve">a </w:t>
      </w:r>
      <w:r>
        <w:t>dedicated survey on cross-border obstacles to the DSM carried out among online consumers</w:t>
      </w:r>
      <w:r>
        <w:rPr>
          <w:rStyle w:val="FootnoteReference"/>
        </w:rPr>
        <w:footnoteReference w:id="9"/>
      </w:r>
      <w:r>
        <w:t xml:space="preserve"> and the findings of compliance check</w:t>
      </w:r>
      <w:r w:rsidR="00F3570B">
        <w:t>s</w:t>
      </w:r>
      <w:r>
        <w:t xml:space="preserve"> of online retailers</w:t>
      </w:r>
      <w:r w:rsidR="00F3570B">
        <w:rPr>
          <w:rStyle w:val="FootnoteReference"/>
        </w:rPr>
        <w:footnoteReference w:id="10"/>
      </w:r>
      <w:r w:rsidR="00D05FAB">
        <w:t>.</w:t>
      </w:r>
    </w:p>
    <w:p w:rsidR="00821430" w:rsidRDefault="00821430">
      <w:pPr>
        <w:pStyle w:val="Heading2"/>
        <w:numPr>
          <w:ilvl w:val="1"/>
          <w:numId w:val="34"/>
        </w:numPr>
      </w:pPr>
      <w:r>
        <w:t>EU business-to-consumer e-commerce market</w:t>
      </w:r>
    </w:p>
    <w:p w:rsidR="00821430" w:rsidRDefault="00821430">
      <w:pPr>
        <w:spacing w:before="0" w:after="0"/>
      </w:pPr>
      <w:r>
        <w:t>While both the incidence and the volume of e-commerce are growing rapidly in the EU, there is considerable untapped potential for further growth.</w:t>
      </w:r>
    </w:p>
    <w:p w:rsidR="00821430" w:rsidRDefault="00821430">
      <w:pPr>
        <w:spacing w:before="0" w:after="0"/>
      </w:pPr>
    </w:p>
    <w:p w:rsidR="00821430" w:rsidRDefault="00821430" w:rsidP="0055096C">
      <w:pPr>
        <w:pStyle w:val="Heading3"/>
      </w:pPr>
      <w:r>
        <w:t xml:space="preserve">1.1 </w:t>
      </w:r>
      <w:r>
        <w:tab/>
        <w:t>Online purchases domestically and cross-border</w:t>
      </w:r>
    </w:p>
    <w:p w:rsidR="00821430" w:rsidRDefault="00821430">
      <w:pPr>
        <w:spacing w:before="0" w:after="0"/>
        <w:rPr>
          <w:b/>
          <w:i/>
        </w:rPr>
      </w:pPr>
      <w:r>
        <w:rPr>
          <w:b/>
          <w:i/>
        </w:rPr>
        <w:t>Half of Europeans buy online</w:t>
      </w:r>
    </w:p>
    <w:p w:rsidR="00821430" w:rsidRDefault="00821430">
      <w:pPr>
        <w:spacing w:before="0" w:after="0"/>
        <w:rPr>
          <w:b/>
          <w:i/>
        </w:rPr>
      </w:pPr>
    </w:p>
    <w:p w:rsidR="00821430" w:rsidRDefault="00821430">
      <w:pPr>
        <w:spacing w:before="0" w:after="0"/>
      </w:pPr>
      <w:r w:rsidRPr="00A079D9">
        <w:t xml:space="preserve">The proportion of consumers </w:t>
      </w:r>
      <w:r w:rsidR="00867002">
        <w:t xml:space="preserve">in the EU </w:t>
      </w:r>
      <w:r w:rsidR="00CC433B">
        <w:t>buying</w:t>
      </w:r>
      <w:r w:rsidRPr="00A079D9">
        <w:t xml:space="preserve"> goods or services over the Internet has increased by almost 2.5 times in 10 years </w:t>
      </w:r>
      <w:r w:rsidR="004456F1">
        <w:t>—</w:t>
      </w:r>
      <w:r w:rsidRPr="00A079D9">
        <w:t xml:space="preserve"> from 21</w:t>
      </w:r>
      <w:r w:rsidR="004456F1" w:rsidRPr="004456F1">
        <w:rPr>
          <w:w w:val="50"/>
        </w:rPr>
        <w:t> </w:t>
      </w:r>
      <w:r w:rsidRPr="00A079D9">
        <w:t xml:space="preserve">% in </w:t>
      </w:r>
      <w:r w:rsidR="00B95A1B" w:rsidRPr="00A079D9">
        <w:t xml:space="preserve">2004 </w:t>
      </w:r>
      <w:r w:rsidRPr="00A079D9">
        <w:t>to 50</w:t>
      </w:r>
      <w:r w:rsidR="004456F1" w:rsidRPr="004456F1">
        <w:rPr>
          <w:w w:val="50"/>
        </w:rPr>
        <w:t> </w:t>
      </w:r>
      <w:r w:rsidRPr="00A079D9">
        <w:t xml:space="preserve">% in 2014. This means that the Digital Agenda target of half of Europeans buying online in 2015 has been achieved slightly ahead of </w:t>
      </w:r>
      <w:r w:rsidR="00CC433B">
        <w:t>schedule</w:t>
      </w:r>
      <w:r w:rsidRPr="00A079D9">
        <w:t xml:space="preserve">. Importantly, the share of individuals who made their last online purchase within the past </w:t>
      </w:r>
      <w:r w:rsidR="00BB53CA">
        <w:t>three</w:t>
      </w:r>
      <w:r w:rsidRPr="00A079D9">
        <w:t xml:space="preserve"> months has grown </w:t>
      </w:r>
      <w:r w:rsidR="00B95A1B" w:rsidRPr="00A079D9">
        <w:t xml:space="preserve">faster </w:t>
      </w:r>
      <w:r w:rsidRPr="00A079D9">
        <w:t>than the share of those who last bought online within the past 3 to 12 months (</w:t>
      </w:r>
      <w:r w:rsidR="00A079D9" w:rsidRPr="00A079D9">
        <w:t>Figure 41</w:t>
      </w:r>
      <w:r w:rsidRPr="00A079D9">
        <w:t xml:space="preserve">), which suggests </w:t>
      </w:r>
      <w:r w:rsidR="004456F1">
        <w:t>—</w:t>
      </w:r>
      <w:r w:rsidRPr="00A079D9">
        <w:t xml:space="preserve"> in line with the industry volume data </w:t>
      </w:r>
      <w:r w:rsidR="004456F1">
        <w:t>—</w:t>
      </w:r>
      <w:r w:rsidRPr="00A079D9">
        <w:t xml:space="preserve"> that also the frequency of e-commerce </w:t>
      </w:r>
      <w:r w:rsidR="00B95A1B" w:rsidRPr="00A079D9">
        <w:t xml:space="preserve">transactions </w:t>
      </w:r>
      <w:r w:rsidRPr="00A079D9">
        <w:t>has been increasing.</w:t>
      </w:r>
    </w:p>
    <w:p w:rsidR="00DF7164" w:rsidRDefault="00DF7164">
      <w:pPr>
        <w:spacing w:before="0" w:after="0"/>
      </w:pPr>
    </w:p>
    <w:p w:rsidR="008835F0" w:rsidRDefault="008835F0" w:rsidP="008835F0">
      <w:pPr>
        <w:pStyle w:val="Caption"/>
        <w:rPr>
          <w:rFonts w:eastAsia="Arial Unicode MS"/>
          <w:i/>
        </w:rPr>
      </w:pPr>
      <w:r>
        <w:t xml:space="preserve">Figure </w:t>
      </w:r>
      <w:r w:rsidR="005269EB">
        <w:rPr>
          <w:noProof/>
        </w:rPr>
        <w:t>1</w:t>
      </w:r>
      <w:r w:rsidRPr="009C149A">
        <w:t>: Online shopping, EU-28 (% of the population who ordered goods or services over the Internet for private use in the last 12 months)</w:t>
      </w:r>
    </w:p>
    <w:p w:rsidR="00821430" w:rsidRPr="00791E5B" w:rsidRDefault="008B418B" w:rsidP="00791E5B">
      <w:pPr>
        <w:pStyle w:val="Text1"/>
        <w:keepNext/>
        <w:spacing w:before="0" w:after="0"/>
        <w:ind w:left="0"/>
        <w:rPr>
          <w:noProof/>
          <w:lang w:eastAsia="en-GB"/>
        </w:rPr>
      </w:pPr>
      <w:r>
        <w:rPr>
          <w:noProof/>
          <w:lang w:eastAsia="en-GB"/>
        </w:rPr>
        <w:drawing>
          <wp:inline distT="0" distB="0" distL="0" distR="0" wp14:anchorId="64FF0B99" wp14:editId="276CE3F2">
            <wp:extent cx="575310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rsidR="00E921FA" w:rsidRPr="00EC10A1" w:rsidRDefault="00E921FA" w:rsidP="002311F1">
      <w:pPr>
        <w:pStyle w:val="Text1"/>
        <w:spacing w:before="0" w:after="0"/>
        <w:ind w:left="0"/>
        <w:rPr>
          <w:i/>
          <w:sz w:val="20"/>
          <w:szCs w:val="20"/>
        </w:rPr>
      </w:pPr>
      <w:r w:rsidRPr="00276831">
        <w:rPr>
          <w:i/>
          <w:sz w:val="20"/>
          <w:szCs w:val="20"/>
        </w:rPr>
        <w:t>Source: Eurostat Community Survey on ICT usage in households and by individuals</w:t>
      </w:r>
      <w:r w:rsidR="00EC7838">
        <w:rPr>
          <w:i/>
          <w:sz w:val="20"/>
          <w:szCs w:val="20"/>
        </w:rPr>
        <w:t>:</w:t>
      </w:r>
      <w:r w:rsidRPr="00276831">
        <w:rPr>
          <w:i/>
          <w:sz w:val="20"/>
          <w:szCs w:val="20"/>
        </w:rPr>
        <w:t xml:space="preserve"> </w:t>
      </w:r>
      <w:r w:rsidR="002311F1" w:rsidRPr="00276831">
        <w:rPr>
          <w:i/>
          <w:sz w:val="20"/>
          <w:szCs w:val="20"/>
        </w:rPr>
        <w:t xml:space="preserve">When did you last buy or order goods or services for private use over the Internet? </w:t>
      </w:r>
      <w:r w:rsidRPr="00EC10A1">
        <w:rPr>
          <w:i/>
          <w:sz w:val="20"/>
          <w:szCs w:val="20"/>
        </w:rPr>
        <w:t>(isoc_ec_ibuy) – data for 2004-2006 refer to EU27.</w:t>
      </w:r>
    </w:p>
    <w:p w:rsidR="00821430" w:rsidRDefault="00821430">
      <w:pPr>
        <w:spacing w:after="0"/>
        <w:rPr>
          <w:b/>
          <w:i/>
        </w:rPr>
      </w:pPr>
      <w:r>
        <w:rPr>
          <w:b/>
          <w:i/>
        </w:rPr>
        <w:t>…but the digital gap persists</w:t>
      </w:r>
    </w:p>
    <w:p w:rsidR="00821430" w:rsidRDefault="00821430">
      <w:pPr>
        <w:spacing w:after="0"/>
      </w:pPr>
      <w:r>
        <w:t xml:space="preserve">E-commerce uptake </w:t>
      </w:r>
      <w:r w:rsidR="00F3570B">
        <w:t>by consumers</w:t>
      </w:r>
      <w:r w:rsidR="00867002">
        <w:t xml:space="preserve"> </w:t>
      </w:r>
      <w:r>
        <w:t xml:space="preserve">remains below the EU average in all eastern and southern European countries, even though some of them have seen the fastest proportional growth in recent years (over 4-fold increase in Bulgaria, Estonia, </w:t>
      </w:r>
      <w:r w:rsidR="005731F6">
        <w:t xml:space="preserve">Lithuania </w:t>
      </w:r>
      <w:r>
        <w:t>and Croatia in the period 2008-2014).</w:t>
      </w:r>
    </w:p>
    <w:p w:rsidR="008835F0" w:rsidRDefault="008835F0" w:rsidP="008835F0">
      <w:pPr>
        <w:pStyle w:val="Caption"/>
      </w:pPr>
      <w:r>
        <w:t xml:space="preserve">Figure </w:t>
      </w:r>
      <w:r w:rsidR="005269EB">
        <w:rPr>
          <w:noProof/>
        </w:rPr>
        <w:t>2</w:t>
      </w:r>
      <w:r w:rsidRPr="00B03CE6">
        <w:t>: Online shopping (% of population who ordered goods or services over the Internet for private use in the last 12 months)</w:t>
      </w:r>
    </w:p>
    <w:p w:rsidR="007B3F18" w:rsidRDefault="008B418B" w:rsidP="00E921FA">
      <w:pPr>
        <w:pStyle w:val="Text1"/>
        <w:spacing w:before="0" w:after="0"/>
        <w:ind w:left="0"/>
      </w:pPr>
      <w:r>
        <w:rPr>
          <w:noProof/>
          <w:lang w:eastAsia="en-GB"/>
        </w:rPr>
        <w:drawing>
          <wp:inline distT="0" distB="0" distL="0" distR="0" wp14:anchorId="17717BF4" wp14:editId="77AD0C97">
            <wp:extent cx="5753100" cy="7305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7305675"/>
                    </a:xfrm>
                    <a:prstGeom prst="rect">
                      <a:avLst/>
                    </a:prstGeom>
                    <a:noFill/>
                    <a:ln>
                      <a:noFill/>
                    </a:ln>
                  </pic:spPr>
                </pic:pic>
              </a:graphicData>
            </a:graphic>
          </wp:inline>
        </w:drawing>
      </w:r>
    </w:p>
    <w:p w:rsidR="00DF7164" w:rsidRPr="002D4392" w:rsidRDefault="00E921FA" w:rsidP="002D4392">
      <w:pPr>
        <w:pStyle w:val="Text1"/>
        <w:spacing w:before="0" w:after="0"/>
        <w:ind w:left="0"/>
        <w:rPr>
          <w:i/>
          <w:sz w:val="20"/>
          <w:szCs w:val="20"/>
        </w:rPr>
      </w:pPr>
      <w:r w:rsidRPr="002D4392">
        <w:rPr>
          <w:i/>
          <w:sz w:val="20"/>
          <w:szCs w:val="20"/>
        </w:rPr>
        <w:t>Source: Eurostat Community Survey on ICT usage in households and by individuals</w:t>
      </w:r>
      <w:r w:rsidR="00635A1F">
        <w:rPr>
          <w:i/>
          <w:sz w:val="20"/>
          <w:szCs w:val="20"/>
        </w:rPr>
        <w:t xml:space="preserve"> </w:t>
      </w:r>
      <w:r w:rsidRPr="002D4392">
        <w:rPr>
          <w:i/>
          <w:sz w:val="20"/>
          <w:szCs w:val="20"/>
        </w:rPr>
        <w:t>2014</w:t>
      </w:r>
      <w:r w:rsidR="00EC7838">
        <w:rPr>
          <w:i/>
          <w:sz w:val="20"/>
          <w:szCs w:val="20"/>
        </w:rPr>
        <w:t>:</w:t>
      </w:r>
      <w:r w:rsidR="00635A1F">
        <w:rPr>
          <w:i/>
          <w:sz w:val="20"/>
          <w:szCs w:val="20"/>
        </w:rPr>
        <w:t xml:space="preserve"> </w:t>
      </w:r>
      <w:r w:rsidR="00DF7164" w:rsidRPr="002D4392">
        <w:rPr>
          <w:i/>
          <w:sz w:val="20"/>
          <w:szCs w:val="20"/>
        </w:rPr>
        <w:t>When did you last buy or order goods or services for private use over the Internet?</w:t>
      </w:r>
      <w:r w:rsidR="00635A1F" w:rsidRPr="00635A1F">
        <w:rPr>
          <w:i/>
          <w:sz w:val="20"/>
          <w:szCs w:val="20"/>
        </w:rPr>
        <w:t xml:space="preserve"> </w:t>
      </w:r>
      <w:r w:rsidR="00635A1F" w:rsidRPr="002D4392">
        <w:rPr>
          <w:i/>
          <w:sz w:val="20"/>
          <w:szCs w:val="20"/>
        </w:rPr>
        <w:t>(isoc_ec_ibuy)</w:t>
      </w:r>
    </w:p>
    <w:p w:rsidR="00821430" w:rsidRDefault="00821430">
      <w:pPr>
        <w:spacing w:after="0"/>
        <w:ind w:firstLine="720"/>
        <w:rPr>
          <w:rFonts w:eastAsia="Arial Unicode MS"/>
          <w:i/>
          <w:sz w:val="20"/>
          <w:szCs w:val="20"/>
        </w:rPr>
      </w:pPr>
    </w:p>
    <w:p w:rsidR="00821430" w:rsidRDefault="00821430">
      <w:pPr>
        <w:spacing w:after="0"/>
      </w:pPr>
      <w:r>
        <w:t xml:space="preserve">The ranking of countries largely coincides with the </w:t>
      </w:r>
      <w:r w:rsidRPr="004456F1">
        <w:t>Commission</w:t>
      </w:r>
      <w:r w:rsidR="004456F1">
        <w:t>’</w:t>
      </w:r>
      <w:r w:rsidRPr="004456F1">
        <w:t>s</w:t>
      </w:r>
      <w:r>
        <w:t xml:space="preserve"> overall Digital Economy and Society Index, which measures digital performance and competitiveness across five dimensions: connectivity, human capital, use of Internet (including e-commerce), integration of digital technology and digital public services</w:t>
      </w:r>
      <w:r>
        <w:rPr>
          <w:rStyle w:val="FootnoteReference"/>
        </w:rPr>
        <w:footnoteReference w:id="11"/>
      </w:r>
      <w:r>
        <w:t xml:space="preserve">. This confirms that factors such as broadband uptake and digital skills are key (if not sufficient) preconditions </w:t>
      </w:r>
      <w:r w:rsidR="00F02655">
        <w:t>for</w:t>
      </w:r>
      <w:r w:rsidR="00F02655" w:rsidRPr="004456F1">
        <w:t xml:space="preserve"> </w:t>
      </w:r>
      <w:r>
        <w:t>e-commerce uptake.</w:t>
      </w:r>
    </w:p>
    <w:p w:rsidR="002A35A0" w:rsidRDefault="002A35A0" w:rsidP="002A35A0">
      <w:pPr>
        <w:pStyle w:val="Caption"/>
      </w:pPr>
      <w:r>
        <w:t xml:space="preserve">Figure </w:t>
      </w:r>
      <w:r w:rsidR="005269EB">
        <w:rPr>
          <w:noProof/>
        </w:rPr>
        <w:t>3</w:t>
      </w:r>
      <w:r w:rsidR="000327C1">
        <w:t xml:space="preserve"> The Digital Economy and Society Index, 2015 (based on data collected mostly in 2014)</w:t>
      </w:r>
      <w:r w:rsidR="001610D6">
        <w:t xml:space="preserve">      </w:t>
      </w:r>
    </w:p>
    <w:p w:rsidR="002467AB" w:rsidRDefault="008B418B" w:rsidP="00635A1F">
      <w:pPr>
        <w:spacing w:before="0" w:after="0"/>
        <w:rPr>
          <w:noProof/>
          <w:lang w:eastAsia="en-GB"/>
        </w:rPr>
      </w:pPr>
      <w:r>
        <w:rPr>
          <w:noProof/>
          <w:lang w:eastAsia="en-GB"/>
        </w:rPr>
        <w:drawing>
          <wp:inline distT="0" distB="0" distL="0" distR="0" wp14:anchorId="44C8EB99" wp14:editId="6B033840">
            <wp:extent cx="57531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rsidR="00635A1F" w:rsidRPr="00802135" w:rsidRDefault="00215E1E" w:rsidP="00635A1F">
      <w:pPr>
        <w:spacing w:before="0" w:after="0"/>
        <w:rPr>
          <w:rFonts w:eastAsia="Arial Unicode MS"/>
          <w:i/>
          <w:sz w:val="20"/>
          <w:szCs w:val="20"/>
          <w:lang w:val="fr-BE"/>
        </w:rPr>
      </w:pPr>
      <w:r w:rsidRPr="00635A1F">
        <w:rPr>
          <w:i/>
          <w:sz w:val="20"/>
          <w:szCs w:val="20"/>
          <w:lang w:val="fr-BE"/>
        </w:rPr>
        <w:t xml:space="preserve">Source: </w:t>
      </w:r>
      <w:r w:rsidR="00635A1F" w:rsidRPr="00802135">
        <w:rPr>
          <w:rFonts w:eastAsia="Arial Unicode MS"/>
          <w:i/>
          <w:sz w:val="20"/>
          <w:szCs w:val="20"/>
          <w:lang w:val="fr-BE"/>
        </w:rPr>
        <w:t xml:space="preserve"> http://ec.europa.eu/digital-agenda/en/desi</w:t>
      </w:r>
    </w:p>
    <w:p w:rsidR="00215E1E" w:rsidRPr="00EC10A1" w:rsidRDefault="00215E1E" w:rsidP="00EC10A1">
      <w:pPr>
        <w:pStyle w:val="Text1"/>
        <w:keepNext/>
        <w:spacing w:before="0" w:after="0"/>
        <w:ind w:left="0"/>
        <w:rPr>
          <w:i/>
          <w:sz w:val="20"/>
          <w:szCs w:val="20"/>
          <w:lang w:val="fr-BE"/>
        </w:rPr>
      </w:pPr>
    </w:p>
    <w:p w:rsidR="00821430" w:rsidRDefault="00821430">
      <w:pPr>
        <w:spacing w:after="0"/>
      </w:pPr>
      <w:r>
        <w:t>In addition, e-commerce uptake differs considerably across different socio-demographic groups. It remains particularly low among older consumers (23</w:t>
      </w:r>
      <w:r w:rsidR="004456F1" w:rsidRPr="004456F1">
        <w:rPr>
          <w:w w:val="50"/>
        </w:rPr>
        <w:t> </w:t>
      </w:r>
      <w:r>
        <w:t>% and 35</w:t>
      </w:r>
      <w:r w:rsidR="004456F1" w:rsidRPr="004456F1">
        <w:rPr>
          <w:w w:val="50"/>
        </w:rPr>
        <w:t> </w:t>
      </w:r>
      <w:r>
        <w:t xml:space="preserve">% in the age groups 65-74 and 55-64, respectively), consumers with no or </w:t>
      </w:r>
      <w:r w:rsidR="001A66B0">
        <w:t>poor</w:t>
      </w:r>
      <w:r w:rsidR="001A66B0" w:rsidRPr="004456F1">
        <w:t xml:space="preserve"> </w:t>
      </w:r>
      <w:r>
        <w:t>education (25</w:t>
      </w:r>
      <w:r w:rsidR="004456F1" w:rsidRPr="004456F1">
        <w:rPr>
          <w:w w:val="50"/>
        </w:rPr>
        <w:t> </w:t>
      </w:r>
      <w:r>
        <w:t>%), those living in the lowest income quartile households (32</w:t>
      </w:r>
      <w:r w:rsidR="004456F1" w:rsidRPr="004456F1">
        <w:rPr>
          <w:w w:val="50"/>
        </w:rPr>
        <w:t> </w:t>
      </w:r>
      <w:r>
        <w:t>%) and those who are retired or otherwise inactive (27</w:t>
      </w:r>
      <w:r w:rsidR="004456F1" w:rsidRPr="004456F1">
        <w:rPr>
          <w:w w:val="50"/>
        </w:rPr>
        <w:t> </w:t>
      </w:r>
      <w:r>
        <w:t>%) and unemployed (35</w:t>
      </w:r>
      <w:r w:rsidR="004456F1" w:rsidRPr="004456F1">
        <w:rPr>
          <w:w w:val="50"/>
        </w:rPr>
        <w:t> </w:t>
      </w:r>
      <w:r>
        <w:t>%).</w:t>
      </w:r>
    </w:p>
    <w:p w:rsidR="008835F0" w:rsidRDefault="008835F0">
      <w:pPr>
        <w:spacing w:after="0"/>
        <w:rPr>
          <w:b/>
        </w:rPr>
      </w:pPr>
    </w:p>
    <w:p w:rsidR="008835F0" w:rsidRDefault="008835F0" w:rsidP="008835F0">
      <w:pPr>
        <w:pStyle w:val="Caption"/>
        <w:rPr>
          <w:b w:val="0"/>
        </w:rPr>
      </w:pPr>
      <w:r>
        <w:t xml:space="preserve">Figure </w:t>
      </w:r>
      <w:r w:rsidR="005269EB">
        <w:rPr>
          <w:noProof/>
        </w:rPr>
        <w:t>4</w:t>
      </w:r>
      <w:r w:rsidRPr="00F1797E">
        <w:t>: Socio-demographic differences in online shopping, EU28 (% of population who ordered goods or services over the Internet for private use in the last 12 months)</w:t>
      </w:r>
    </w:p>
    <w:p w:rsidR="00DF7164" w:rsidRPr="00215E1E" w:rsidRDefault="008B418B" w:rsidP="00215E1E">
      <w:pPr>
        <w:pStyle w:val="Text1"/>
        <w:keepNext/>
        <w:spacing w:before="0" w:after="0"/>
        <w:ind w:left="0"/>
        <w:rPr>
          <w:noProof/>
          <w:lang w:eastAsia="en-GB"/>
        </w:rPr>
      </w:pPr>
      <w:r>
        <w:rPr>
          <w:noProof/>
          <w:lang w:eastAsia="en-GB"/>
        </w:rPr>
        <w:drawing>
          <wp:inline distT="0" distB="0" distL="0" distR="0" wp14:anchorId="7591F020" wp14:editId="7AB5E5A5">
            <wp:extent cx="5753100" cy="540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400675"/>
                    </a:xfrm>
                    <a:prstGeom prst="rect">
                      <a:avLst/>
                    </a:prstGeom>
                    <a:noFill/>
                    <a:ln>
                      <a:noFill/>
                    </a:ln>
                  </pic:spPr>
                </pic:pic>
              </a:graphicData>
            </a:graphic>
          </wp:inline>
        </w:drawing>
      </w:r>
    </w:p>
    <w:p w:rsidR="001B240A" w:rsidRDefault="00635A1F">
      <w:pPr>
        <w:spacing w:before="0" w:after="0"/>
        <w:rPr>
          <w:rFonts w:eastAsia="Arial Unicode MS"/>
          <w:i/>
          <w:sz w:val="20"/>
          <w:szCs w:val="20"/>
        </w:rPr>
      </w:pPr>
      <w:r>
        <w:rPr>
          <w:rFonts w:eastAsia="Arial Unicode MS"/>
          <w:i/>
          <w:sz w:val="20"/>
          <w:szCs w:val="20"/>
        </w:rPr>
        <w:t>Source: Eurostat Community Survey on ICT usage in households and by individuals 2014</w:t>
      </w:r>
      <w:r w:rsidR="00EC7838">
        <w:rPr>
          <w:rFonts w:eastAsia="Arial Unicode MS"/>
          <w:i/>
          <w:sz w:val="20"/>
          <w:szCs w:val="20"/>
        </w:rPr>
        <w:t>:</w:t>
      </w:r>
      <w:r>
        <w:rPr>
          <w:rFonts w:eastAsia="Arial Unicode MS"/>
          <w:i/>
          <w:sz w:val="20"/>
          <w:szCs w:val="20"/>
        </w:rPr>
        <w:t xml:space="preserve"> When did you last buy or order goods or services for private use over the Internet? (isoc_ec_ibuy)</w:t>
      </w:r>
    </w:p>
    <w:p w:rsidR="001B240A" w:rsidRDefault="001B240A">
      <w:pPr>
        <w:spacing w:before="0" w:after="0"/>
        <w:rPr>
          <w:rFonts w:eastAsia="Arial Unicode MS"/>
          <w:i/>
          <w:sz w:val="20"/>
          <w:szCs w:val="20"/>
        </w:rPr>
      </w:pPr>
    </w:p>
    <w:p w:rsidR="00821430" w:rsidRDefault="00821430">
      <w:pPr>
        <w:spacing w:before="0" w:after="0"/>
        <w:rPr>
          <w:b/>
          <w:i/>
        </w:rPr>
      </w:pPr>
      <w:r>
        <w:rPr>
          <w:b/>
          <w:i/>
        </w:rPr>
        <w:t>Cross-border online purchases are more popular in some smaller EU countries</w:t>
      </w:r>
    </w:p>
    <w:p w:rsidR="009739C1" w:rsidRDefault="00821430" w:rsidP="002467AB">
      <w:pPr>
        <w:spacing w:after="0"/>
      </w:pPr>
      <w:r>
        <w:t>In 2014, only 15</w:t>
      </w:r>
      <w:r w:rsidR="004456F1" w:rsidRPr="004456F1">
        <w:rPr>
          <w:w w:val="50"/>
        </w:rPr>
        <w:t> </w:t>
      </w:r>
      <w:r>
        <w:t xml:space="preserve">% </w:t>
      </w:r>
      <w:r w:rsidRPr="002467AB">
        <w:t>of consumers</w:t>
      </w:r>
      <w:r>
        <w:t xml:space="preserve"> reported buying goods or services via the Internet from other EU countries while 44</w:t>
      </w:r>
      <w:r w:rsidR="004456F1" w:rsidRPr="004456F1">
        <w:rPr>
          <w:w w:val="50"/>
        </w:rPr>
        <w:t> </w:t>
      </w:r>
      <w:r>
        <w:t>% bought from national sellers/providers. Less than a tenth of consumers (8</w:t>
      </w:r>
      <w:r w:rsidR="004456F1" w:rsidRPr="004456F1">
        <w:rPr>
          <w:w w:val="50"/>
        </w:rPr>
        <w:t> </w:t>
      </w:r>
      <w:r>
        <w:t>%) reported buying online from sellers outside the EU</w:t>
      </w:r>
      <w:r>
        <w:rPr>
          <w:rStyle w:val="FootnoteReference"/>
        </w:rPr>
        <w:footnoteReference w:id="12"/>
      </w:r>
      <w:r>
        <w:t xml:space="preserve">. </w:t>
      </w:r>
      <w:r w:rsidR="00065802">
        <w:t>D</w:t>
      </w:r>
      <w:r>
        <w:t>omestic online purchases</w:t>
      </w:r>
      <w:r w:rsidR="00065802">
        <w:t xml:space="preserve"> are also made much more frequently than cross-border ones</w:t>
      </w:r>
      <w:r>
        <w:t xml:space="preserve">. In a recent survey </w:t>
      </w:r>
      <w:r w:rsidRPr="002467AB">
        <w:t>of online consumers</w:t>
      </w:r>
      <w:r>
        <w:rPr>
          <w:rStyle w:val="FootnoteReference"/>
        </w:rPr>
        <w:footnoteReference w:id="13"/>
      </w:r>
      <w:r>
        <w:t>, domestic purchases accounted for 70</w:t>
      </w:r>
      <w:r w:rsidR="004456F1" w:rsidRPr="004456F1">
        <w:rPr>
          <w:w w:val="50"/>
        </w:rPr>
        <w:t> </w:t>
      </w:r>
      <w:r>
        <w:t xml:space="preserve">% of the most recent online </w:t>
      </w:r>
      <w:r w:rsidR="00065802">
        <w:t>purchases</w:t>
      </w:r>
      <w:r>
        <w:t>, followed by purchases in other EU countries (12</w:t>
      </w:r>
      <w:r w:rsidR="004456F1" w:rsidRPr="004456F1">
        <w:rPr>
          <w:w w:val="50"/>
        </w:rPr>
        <w:t> </w:t>
      </w:r>
      <w:r>
        <w:t>%) and outside the EU (6</w:t>
      </w:r>
      <w:r w:rsidR="004456F1" w:rsidRPr="004456F1">
        <w:rPr>
          <w:w w:val="50"/>
        </w:rPr>
        <w:t> </w:t>
      </w:r>
      <w:r>
        <w:t>%).</w:t>
      </w:r>
    </w:p>
    <w:p w:rsidR="00276831" w:rsidRPr="00276831" w:rsidRDefault="008835F0" w:rsidP="00276831">
      <w:pPr>
        <w:pStyle w:val="Caption"/>
      </w:pPr>
      <w:r>
        <w:t xml:space="preserve">Figure </w:t>
      </w:r>
      <w:r w:rsidR="005269EB">
        <w:rPr>
          <w:noProof/>
        </w:rPr>
        <w:t>5</w:t>
      </w:r>
      <w:r w:rsidRPr="00D41F0A">
        <w:t xml:space="preserve">: </w:t>
      </w:r>
      <w:r>
        <w:t xml:space="preserve">Domestic and cross-border online shopping, EU28, 2008-2014 (% of </w:t>
      </w:r>
      <w:r w:rsidRPr="002467AB">
        <w:t>population</w:t>
      </w:r>
      <w:r>
        <w:t xml:space="preserve"> who ordered goods or services over the Internet from national sellers / from sellers from other EU countries / from sellers from the rest of the world (non-EU) in the last 12 months)</w:t>
      </w:r>
    </w:p>
    <w:p w:rsidR="00821430" w:rsidRDefault="008B418B" w:rsidP="00215E1E">
      <w:pPr>
        <w:pStyle w:val="Text1"/>
        <w:keepNext/>
        <w:spacing w:before="0" w:after="0"/>
        <w:ind w:left="0"/>
        <w:rPr>
          <w:noProof/>
          <w:lang w:eastAsia="en-GB"/>
        </w:rPr>
      </w:pPr>
      <w:r>
        <w:rPr>
          <w:noProof/>
          <w:lang w:eastAsia="en-GB"/>
        </w:rPr>
        <w:drawing>
          <wp:anchor distT="0" distB="0" distL="114300" distR="114300" simplePos="0" relativeHeight="251658240" behindDoc="0" locked="0" layoutInCell="1" allowOverlap="1" wp14:anchorId="2F37EC0B" wp14:editId="0F673AA4">
            <wp:simplePos x="0" y="0"/>
            <wp:positionH relativeFrom="character">
              <wp:posOffset>0</wp:posOffset>
            </wp:positionH>
            <wp:positionV relativeFrom="line">
              <wp:posOffset>0</wp:posOffset>
            </wp:positionV>
            <wp:extent cx="4990465" cy="2738120"/>
            <wp:effectExtent l="0" t="0" r="0" b="0"/>
            <wp:wrapNone/>
            <wp:docPr id="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0465" cy="27381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641547D" wp14:editId="1352E7A6">
            <wp:extent cx="575310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8835F0" w:rsidRPr="002D4392" w:rsidRDefault="00E921FA" w:rsidP="002D4392">
      <w:pPr>
        <w:pStyle w:val="Text1"/>
        <w:spacing w:before="0" w:after="0"/>
        <w:ind w:left="0"/>
        <w:rPr>
          <w:i/>
          <w:sz w:val="20"/>
          <w:szCs w:val="20"/>
        </w:rPr>
      </w:pPr>
      <w:r w:rsidRPr="002D4392">
        <w:rPr>
          <w:i/>
          <w:sz w:val="20"/>
          <w:szCs w:val="20"/>
        </w:rPr>
        <w:t>Source: Eurostat Community Survey on ICT usage i</w:t>
      </w:r>
      <w:r w:rsidR="00635A1F">
        <w:rPr>
          <w:i/>
          <w:sz w:val="20"/>
          <w:szCs w:val="20"/>
        </w:rPr>
        <w:t>n households and by individuals</w:t>
      </w:r>
      <w:r w:rsidRPr="002D4392">
        <w:rPr>
          <w:i/>
          <w:sz w:val="20"/>
          <w:szCs w:val="20"/>
        </w:rPr>
        <w:t xml:space="preserve"> 2014</w:t>
      </w:r>
      <w:r w:rsidR="00EC7838">
        <w:rPr>
          <w:i/>
          <w:sz w:val="20"/>
          <w:szCs w:val="20"/>
        </w:rPr>
        <w:t>:</w:t>
      </w:r>
      <w:r w:rsidR="00635A1F">
        <w:rPr>
          <w:i/>
          <w:sz w:val="20"/>
          <w:szCs w:val="20"/>
        </w:rPr>
        <w:t xml:space="preserve"> </w:t>
      </w:r>
      <w:r w:rsidR="008835F0" w:rsidRPr="002D4392">
        <w:rPr>
          <w:i/>
          <w:sz w:val="20"/>
          <w:szCs w:val="20"/>
        </w:rPr>
        <w:t>From whom did you buy or order goods or services for private purpose over the Internet in the last 12 months?</w:t>
      </w:r>
      <w:r w:rsidR="00635A1F" w:rsidRPr="00635A1F">
        <w:rPr>
          <w:i/>
          <w:sz w:val="20"/>
          <w:szCs w:val="20"/>
        </w:rPr>
        <w:t xml:space="preserve"> </w:t>
      </w:r>
      <w:r w:rsidR="00635A1F" w:rsidRPr="002D4392">
        <w:rPr>
          <w:i/>
          <w:sz w:val="20"/>
          <w:szCs w:val="20"/>
        </w:rPr>
        <w:t>(isoc_ec_ibuy)</w:t>
      </w:r>
    </w:p>
    <w:p w:rsidR="00821430" w:rsidRDefault="00821430">
      <w:pPr>
        <w:autoSpaceDE w:val="0"/>
        <w:autoSpaceDN w:val="0"/>
        <w:adjustRightInd w:val="0"/>
        <w:spacing w:after="0"/>
        <w:rPr>
          <w:lang w:eastAsia="en-GB"/>
        </w:rPr>
      </w:pPr>
      <w:r>
        <w:t>The picture is more nuanced at country level. Intra-EU cross-border purchases are more popular in some of the smaller countries with language and cultural links to larger markets (where the choice of products may be richer). The highest levels are found in Luxembourg, Austria, Malta, Finland</w:t>
      </w:r>
      <w:r w:rsidR="005731F6">
        <w:t>, Denmark</w:t>
      </w:r>
      <w:r>
        <w:t xml:space="preserve"> and Belgium, where over a third of </w:t>
      </w:r>
      <w:r w:rsidRPr="002467AB">
        <w:t>consumers</w:t>
      </w:r>
      <w:r>
        <w:t xml:space="preserve"> </w:t>
      </w:r>
      <w:r w:rsidR="00704645">
        <w:t>say they</w:t>
      </w:r>
      <w:r>
        <w:t xml:space="preserve"> have made online purchases in another EU country in the past year. </w:t>
      </w:r>
      <w:r>
        <w:rPr>
          <w:lang w:eastAsia="en-GB"/>
        </w:rPr>
        <w:t>Online shopping outside the EU is most popular in Malta (24</w:t>
      </w:r>
      <w:r w:rsidR="004456F1" w:rsidRPr="004456F1">
        <w:rPr>
          <w:w w:val="50"/>
          <w:lang w:eastAsia="en-GB"/>
        </w:rPr>
        <w:t> </w:t>
      </w:r>
      <w:r>
        <w:rPr>
          <w:lang w:eastAsia="en-GB"/>
        </w:rPr>
        <w:t>%), Finland, Luxembourg (both 18</w:t>
      </w:r>
      <w:r w:rsidR="004456F1" w:rsidRPr="004456F1">
        <w:rPr>
          <w:w w:val="50"/>
          <w:lang w:eastAsia="en-GB"/>
        </w:rPr>
        <w:t> </w:t>
      </w:r>
      <w:r>
        <w:rPr>
          <w:lang w:eastAsia="en-GB"/>
        </w:rPr>
        <w:t>%) and the UK (17</w:t>
      </w:r>
      <w:r w:rsidR="004456F1" w:rsidRPr="004456F1">
        <w:rPr>
          <w:w w:val="50"/>
          <w:lang w:eastAsia="en-GB"/>
        </w:rPr>
        <w:t> </w:t>
      </w:r>
      <w:r>
        <w:rPr>
          <w:lang w:eastAsia="en-GB"/>
        </w:rPr>
        <w:t>%).</w:t>
      </w:r>
      <w:r>
        <w:rPr>
          <w:rStyle w:val="FootnoteReference"/>
        </w:rPr>
        <w:footnoteReference w:id="14"/>
      </w:r>
    </w:p>
    <w:p w:rsidR="00821430" w:rsidRDefault="008835F0" w:rsidP="00B21A32">
      <w:pPr>
        <w:pStyle w:val="Caption"/>
      </w:pPr>
      <w:r>
        <w:t xml:space="preserve">Figure </w:t>
      </w:r>
      <w:r w:rsidR="005269EB">
        <w:rPr>
          <w:noProof/>
        </w:rPr>
        <w:t>6</w:t>
      </w:r>
      <w:r>
        <w:t xml:space="preserve">: </w:t>
      </w:r>
      <w:r w:rsidRPr="00424941">
        <w:t xml:space="preserve">Domestic and cross-border online shopping, 2014 (% of </w:t>
      </w:r>
      <w:r w:rsidRPr="00C128FC">
        <w:t>population</w:t>
      </w:r>
      <w:r w:rsidRPr="00424941">
        <w:t xml:space="preserve"> who ordered goods or services over the Internet from national sellers / from sellers from other EU countries in the last 12 months)</w:t>
      </w:r>
    </w:p>
    <w:p w:rsidR="00276831" w:rsidRPr="00B21A32" w:rsidRDefault="008B418B" w:rsidP="00B21A32">
      <w:pPr>
        <w:pStyle w:val="Text1"/>
        <w:keepNext/>
        <w:spacing w:before="0" w:after="0"/>
        <w:ind w:left="0"/>
        <w:rPr>
          <w:noProof/>
          <w:lang w:eastAsia="en-GB"/>
        </w:rPr>
      </w:pPr>
      <w:r>
        <w:rPr>
          <w:noProof/>
          <w:lang w:eastAsia="en-GB"/>
        </w:rPr>
        <w:drawing>
          <wp:inline distT="0" distB="0" distL="0" distR="0" wp14:anchorId="6E8D9388" wp14:editId="4861CC81">
            <wp:extent cx="520065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0650" cy="4267200"/>
                    </a:xfrm>
                    <a:prstGeom prst="rect">
                      <a:avLst/>
                    </a:prstGeom>
                    <a:noFill/>
                    <a:ln>
                      <a:noFill/>
                    </a:ln>
                  </pic:spPr>
                </pic:pic>
              </a:graphicData>
            </a:graphic>
          </wp:inline>
        </w:drawing>
      </w:r>
    </w:p>
    <w:p w:rsidR="00635A1F" w:rsidRPr="002D4392" w:rsidRDefault="00635A1F" w:rsidP="00635A1F">
      <w:pPr>
        <w:pStyle w:val="Text1"/>
        <w:spacing w:before="0" w:after="0"/>
        <w:ind w:left="0"/>
        <w:rPr>
          <w:i/>
          <w:sz w:val="20"/>
          <w:szCs w:val="20"/>
        </w:rPr>
      </w:pPr>
      <w:r w:rsidRPr="002D4392">
        <w:rPr>
          <w:i/>
          <w:sz w:val="20"/>
          <w:szCs w:val="20"/>
        </w:rPr>
        <w:t>Source: Eurostat Community Survey on ICT usage i</w:t>
      </w:r>
      <w:r>
        <w:rPr>
          <w:i/>
          <w:sz w:val="20"/>
          <w:szCs w:val="20"/>
        </w:rPr>
        <w:t>n households and by individuals</w:t>
      </w:r>
      <w:r w:rsidRPr="002D4392">
        <w:rPr>
          <w:i/>
          <w:sz w:val="20"/>
          <w:szCs w:val="20"/>
        </w:rPr>
        <w:t xml:space="preserve"> 2014</w:t>
      </w:r>
      <w:r w:rsidR="00EC7838">
        <w:rPr>
          <w:i/>
          <w:sz w:val="20"/>
          <w:szCs w:val="20"/>
        </w:rPr>
        <w:t>:</w:t>
      </w:r>
      <w:r>
        <w:rPr>
          <w:i/>
          <w:sz w:val="20"/>
          <w:szCs w:val="20"/>
        </w:rPr>
        <w:t xml:space="preserve"> </w:t>
      </w:r>
      <w:r w:rsidRPr="002D4392">
        <w:rPr>
          <w:i/>
          <w:sz w:val="20"/>
          <w:szCs w:val="20"/>
        </w:rPr>
        <w:t>From whom did you buy or order goods or services for private purpose over the Internet in the last 12 months?</w:t>
      </w:r>
      <w:r w:rsidRPr="00635A1F">
        <w:rPr>
          <w:i/>
          <w:sz w:val="20"/>
          <w:szCs w:val="20"/>
        </w:rPr>
        <w:t xml:space="preserve"> </w:t>
      </w:r>
      <w:r w:rsidRPr="002D4392">
        <w:rPr>
          <w:i/>
          <w:sz w:val="20"/>
          <w:szCs w:val="20"/>
        </w:rPr>
        <w:t>(isoc_ec_ibuy)</w:t>
      </w:r>
    </w:p>
    <w:p w:rsidR="00821430" w:rsidRDefault="00821430">
      <w:pPr>
        <w:spacing w:after="0"/>
      </w:pPr>
      <w:r>
        <w:t xml:space="preserve">As for the origin of cross-border online purchases, the recent survey of </w:t>
      </w:r>
      <w:r w:rsidRPr="002467AB">
        <w:t>online consumers</w:t>
      </w:r>
      <w:r>
        <w:t xml:space="preserve"> confirms that the preference for certain countries is linked primarily to the size of the market (with most intra-EU cross-border purchases originating from Germany and the UK) and/or language/cultural links. For instance, most of </w:t>
      </w:r>
      <w:r w:rsidR="002D46DD">
        <w:t>the</w:t>
      </w:r>
      <w:r w:rsidRPr="004456F1">
        <w:t xml:space="preserve"> </w:t>
      </w:r>
      <w:r>
        <w:t xml:space="preserve">cross-border online purchases in Belgium come from France and the Netherlands, in Luxembourg </w:t>
      </w:r>
      <w:r w:rsidR="004456F1">
        <w:t>—</w:t>
      </w:r>
      <w:r>
        <w:t xml:space="preserve"> from Germany and France, in Austria </w:t>
      </w:r>
      <w:r w:rsidR="004456F1">
        <w:t>—</w:t>
      </w:r>
      <w:r>
        <w:t xml:space="preserve"> from Germany</w:t>
      </w:r>
      <w:r w:rsidR="002D46DD">
        <w:t>,</w:t>
      </w:r>
      <w:r>
        <w:t xml:space="preserve"> and in Cyprus </w:t>
      </w:r>
      <w:r w:rsidR="004456F1">
        <w:t>—</w:t>
      </w:r>
      <w:r>
        <w:t xml:space="preserve"> from the UK and Greece.</w:t>
      </w:r>
      <w:r>
        <w:rPr>
          <w:rStyle w:val="FootnoteReference"/>
        </w:rPr>
        <w:footnoteReference w:id="15"/>
      </w:r>
    </w:p>
    <w:p w:rsidR="00821430" w:rsidRDefault="00821430">
      <w:pPr>
        <w:spacing w:after="0"/>
        <w:rPr>
          <w:highlight w:val="yellow"/>
        </w:rPr>
      </w:pPr>
    </w:p>
    <w:p w:rsidR="007730F0" w:rsidRDefault="00DB36F0" w:rsidP="00A079D9">
      <w:pPr>
        <w:pStyle w:val="Caption"/>
        <w:jc w:val="left"/>
      </w:pPr>
      <w:r>
        <w:t xml:space="preserve">Figure </w:t>
      </w:r>
      <w:r w:rsidR="005269EB">
        <w:rPr>
          <w:noProof/>
        </w:rPr>
        <w:t>7</w:t>
      </w:r>
      <w:r w:rsidRPr="00773EA2">
        <w:t xml:space="preserve">: The cross-border flow of tangible goods, offline services, and digital content within the </w:t>
      </w:r>
      <w:r w:rsidR="007730F0">
        <w:t>EU28</w:t>
      </w:r>
    </w:p>
    <w:p w:rsidR="009E39DA" w:rsidRPr="009E39DA" w:rsidRDefault="008B418B" w:rsidP="009E39DA">
      <w:r>
        <w:rPr>
          <w:noProof/>
          <w:lang w:eastAsia="en-GB"/>
        </w:rPr>
        <w:drawing>
          <wp:inline distT="0" distB="0" distL="0" distR="0" wp14:anchorId="6AEF53B1" wp14:editId="7A6A9D8A">
            <wp:extent cx="5753100" cy="564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5648325"/>
                    </a:xfrm>
                    <a:prstGeom prst="rect">
                      <a:avLst/>
                    </a:prstGeom>
                    <a:noFill/>
                    <a:ln>
                      <a:noFill/>
                    </a:ln>
                  </pic:spPr>
                </pic:pic>
              </a:graphicData>
            </a:graphic>
          </wp:inline>
        </w:drawing>
      </w:r>
    </w:p>
    <w:p w:rsidR="00821430" w:rsidRPr="002D4392" w:rsidRDefault="00821430" w:rsidP="00E116DC">
      <w:pPr>
        <w:pStyle w:val="Text1"/>
        <w:keepNext/>
        <w:spacing w:before="0" w:after="0"/>
        <w:ind w:left="0"/>
        <w:rPr>
          <w:i/>
          <w:sz w:val="20"/>
          <w:szCs w:val="20"/>
        </w:rPr>
      </w:pPr>
      <w:r w:rsidRPr="002D4392">
        <w:rPr>
          <w:i/>
          <w:sz w:val="20"/>
          <w:szCs w:val="20"/>
        </w:rPr>
        <w:t xml:space="preserve">Source: </w:t>
      </w:r>
      <w:r w:rsidR="00470C47" w:rsidRPr="002D4392">
        <w:rPr>
          <w:i/>
          <w:sz w:val="20"/>
          <w:szCs w:val="20"/>
        </w:rPr>
        <w:t>2015 DSM consumer survey</w:t>
      </w:r>
    </w:p>
    <w:p w:rsidR="00821430" w:rsidRDefault="00821430">
      <w:pPr>
        <w:spacing w:after="0"/>
        <w:rPr>
          <w:b/>
          <w:i/>
        </w:rPr>
      </w:pPr>
      <w:r>
        <w:rPr>
          <w:b/>
          <w:i/>
        </w:rPr>
        <w:t xml:space="preserve">Consumers </w:t>
      </w:r>
      <w:r w:rsidRPr="004456F1">
        <w:rPr>
          <w:b/>
          <w:i/>
        </w:rPr>
        <w:t>under</w:t>
      </w:r>
      <w:r w:rsidR="002D46DD">
        <w:rPr>
          <w:b/>
          <w:i/>
        </w:rPr>
        <w:t>-</w:t>
      </w:r>
      <w:r w:rsidRPr="004456F1">
        <w:rPr>
          <w:b/>
          <w:i/>
        </w:rPr>
        <w:t>report</w:t>
      </w:r>
      <w:r>
        <w:rPr>
          <w:b/>
          <w:i/>
        </w:rPr>
        <w:t xml:space="preserve"> cross-border purchases</w:t>
      </w:r>
    </w:p>
    <w:p w:rsidR="00821430" w:rsidRPr="007A6A84" w:rsidRDefault="00821430" w:rsidP="004B577A">
      <w:pPr>
        <w:spacing w:after="0"/>
        <w:rPr>
          <w:rFonts w:ascii="TimesNewRomanPSMT" w:hAnsi="TimesNewRomanPSMT" w:cs="TimesNewRomanPSMT"/>
        </w:rPr>
      </w:pPr>
      <w:r>
        <w:t xml:space="preserve">At the same time, it should be noted that the incidence of cross-border online purchases within the EU is likely </w:t>
      </w:r>
      <w:r w:rsidR="002D46DD">
        <w:t>to be</w:t>
      </w:r>
      <w:r w:rsidRPr="004456F1">
        <w:t xml:space="preserve"> </w:t>
      </w:r>
      <w:r>
        <w:t xml:space="preserve">under-reported, since consumers are not always aware that they are buying from another EU country. The experience is becoming increasingly seamless, with the language of the website often corresponding to the </w:t>
      </w:r>
      <w:r w:rsidRPr="004456F1">
        <w:t>consumer</w:t>
      </w:r>
      <w:r w:rsidR="004456F1">
        <w:t>’</w:t>
      </w:r>
      <w:r w:rsidRPr="004456F1">
        <w:t>s</w:t>
      </w:r>
      <w:r>
        <w:t xml:space="preserve"> country of residence rather than the actual shop location. A recent analysis of survey results confirms clear </w:t>
      </w:r>
      <w:r w:rsidRPr="004456F1">
        <w:t>under</w:t>
      </w:r>
      <w:r w:rsidR="002D46DD">
        <w:t>-</w:t>
      </w:r>
      <w:r w:rsidRPr="004456F1">
        <w:t>reporting</w:t>
      </w:r>
      <w:r>
        <w:t xml:space="preserve"> of consumers’ cross-border purchases</w:t>
      </w:r>
      <w:r>
        <w:rPr>
          <w:rStyle w:val="FootnoteReference"/>
        </w:rPr>
        <w:footnoteReference w:id="16"/>
      </w:r>
      <w:r>
        <w:t xml:space="preserve">. In approximately </w:t>
      </w:r>
      <w:r w:rsidR="00C451B3">
        <w:t xml:space="preserve">four out of ten </w:t>
      </w:r>
      <w:r>
        <w:t xml:space="preserve">of the cases where respondents </w:t>
      </w:r>
      <w:r w:rsidR="00C451B3">
        <w:t xml:space="preserve">bought cross-border from another EU country, </w:t>
      </w:r>
      <w:r>
        <w:t xml:space="preserve">they </w:t>
      </w:r>
      <w:r w:rsidR="00C451B3">
        <w:t xml:space="preserve">reported a domestic purchase. </w:t>
      </w:r>
      <w:r>
        <w:t xml:space="preserve">Conversely, where the consumers </w:t>
      </w:r>
      <w:r w:rsidR="00C451B3">
        <w:t>purchased domestically, in only 5% of the cases they mis</w:t>
      </w:r>
      <w:r>
        <w:t xml:space="preserve">reported </w:t>
      </w:r>
      <w:r w:rsidR="00C451B3">
        <w:t xml:space="preserve">these purchases as being made from another EU country. </w:t>
      </w:r>
      <w:r>
        <w:rPr>
          <w:rFonts w:ascii="TimesNewRomanPSMT" w:hAnsi="TimesNewRomanPSMT" w:cs="TimesNewRomanPSMT"/>
        </w:rPr>
        <w:t>This means that the actual rates of cross-border online sho</w:t>
      </w:r>
      <w:r w:rsidR="00C451B3">
        <w:rPr>
          <w:rFonts w:ascii="TimesNewRomanPSMT" w:hAnsi="TimesNewRomanPSMT" w:cs="TimesNewRomanPSMT"/>
        </w:rPr>
        <w:t xml:space="preserve">pping may in fact be closer to </w:t>
      </w:r>
      <w:r>
        <w:rPr>
          <w:rFonts w:ascii="TimesNewRomanPSMT" w:hAnsi="TimesNewRomanPSMT" w:cs="TimesNewRomanPSMT"/>
        </w:rPr>
        <w:t>the 20</w:t>
      </w:r>
      <w:r w:rsidR="004456F1" w:rsidRPr="004456F1">
        <w:rPr>
          <w:rFonts w:ascii="TimesNewRomanPSMT" w:hAnsi="TimesNewRomanPSMT" w:cs="TimesNewRomanPSMT"/>
          <w:w w:val="50"/>
        </w:rPr>
        <w:t> </w:t>
      </w:r>
      <w:r>
        <w:rPr>
          <w:rFonts w:ascii="TimesNewRomanPSMT" w:hAnsi="TimesNewRomanPSMT" w:cs="TimesNewRomanPSMT"/>
        </w:rPr>
        <w:t xml:space="preserve">% target set by the Digital Agenda for Europe for 2015, and that self-reporting by consumers in surveys is not a particularly reliable indicator for the prevalence of cross-border online buying. </w:t>
      </w:r>
      <w:r w:rsidR="00C24110">
        <w:rPr>
          <w:rFonts w:ascii="TimesNewRomanPSMT" w:hAnsi="TimesNewRomanPSMT" w:cs="TimesNewRomanPSMT"/>
        </w:rPr>
        <w:t>T</w:t>
      </w:r>
      <w:r w:rsidR="00C41AA1" w:rsidRPr="000E7914">
        <w:rPr>
          <w:rFonts w:ascii="TimesNewRomanPSMT" w:hAnsi="TimesNewRomanPSMT" w:cs="TimesNewRomanPSMT"/>
        </w:rPr>
        <w:t xml:space="preserve">he fact that consumers </w:t>
      </w:r>
      <w:r w:rsidR="00C24110">
        <w:rPr>
          <w:rFonts w:ascii="TimesNewRomanPSMT" w:hAnsi="TimesNewRomanPSMT" w:cs="TimesNewRomanPSMT"/>
        </w:rPr>
        <w:t xml:space="preserve">often </w:t>
      </w:r>
      <w:r w:rsidR="00C41AA1" w:rsidRPr="000E7914">
        <w:rPr>
          <w:rFonts w:ascii="TimesNewRomanPSMT" w:hAnsi="TimesNewRomanPSMT" w:cs="TimesNewRomanPSMT"/>
        </w:rPr>
        <w:t xml:space="preserve">make cross-border purchases </w:t>
      </w:r>
      <w:r w:rsidR="00F73BC8">
        <w:t>on the assumption</w:t>
      </w:r>
      <w:r w:rsidR="00F73BC8" w:rsidRPr="004456F1">
        <w:t xml:space="preserve"> </w:t>
      </w:r>
      <w:r w:rsidR="00C24110" w:rsidRPr="00C24110">
        <w:t xml:space="preserve">they </w:t>
      </w:r>
      <w:r w:rsidR="008F5970">
        <w:t>are</w:t>
      </w:r>
      <w:r w:rsidR="00C24110" w:rsidRPr="004456F1">
        <w:t xml:space="preserve"> buy</w:t>
      </w:r>
      <w:r w:rsidR="008F5970">
        <w:t>ing</w:t>
      </w:r>
      <w:r w:rsidR="00C24110" w:rsidRPr="00C24110">
        <w:t xml:space="preserve"> from their home country</w:t>
      </w:r>
      <w:r w:rsidR="00C24110" w:rsidRPr="00C24110">
        <w:rPr>
          <w:rFonts w:ascii="TimesNewRomanPSMT" w:hAnsi="TimesNewRomanPSMT" w:cs="TimesNewRomanPSMT"/>
        </w:rPr>
        <w:t xml:space="preserve"> means that they are not fully awar</w:t>
      </w:r>
      <w:r w:rsidR="00C41AA1" w:rsidRPr="00C24110">
        <w:rPr>
          <w:rFonts w:ascii="TimesNewRomanPSMT" w:hAnsi="TimesNewRomanPSMT" w:cs="TimesNewRomanPSMT"/>
        </w:rPr>
        <w:t xml:space="preserve">e of </w:t>
      </w:r>
      <w:r w:rsidR="00C24110" w:rsidRPr="00C24110">
        <w:rPr>
          <w:rFonts w:ascii="TimesNewRomanPSMT" w:hAnsi="TimesNewRomanPSMT" w:cs="TimesNewRomanPSMT"/>
        </w:rPr>
        <w:t xml:space="preserve">the applicable </w:t>
      </w:r>
      <w:r w:rsidR="00C41AA1" w:rsidRPr="00C24110">
        <w:rPr>
          <w:rFonts w:ascii="TimesNewRomanPSMT" w:hAnsi="TimesNewRomanPSMT" w:cs="TimesNewRomanPSMT"/>
        </w:rPr>
        <w:t xml:space="preserve">contractual terms, </w:t>
      </w:r>
      <w:r w:rsidR="00C24110" w:rsidRPr="00C24110">
        <w:rPr>
          <w:rFonts w:ascii="TimesNewRomanPSMT" w:hAnsi="TimesNewRomanPSMT" w:cs="TimesNewRomanPSMT"/>
        </w:rPr>
        <w:t xml:space="preserve">which could, for example, result in higher </w:t>
      </w:r>
      <w:r w:rsidR="00C41AA1" w:rsidRPr="00C24110">
        <w:rPr>
          <w:rFonts w:ascii="TimesNewRomanPSMT" w:hAnsi="TimesNewRomanPSMT" w:cs="TimesNewRomanPSMT"/>
        </w:rPr>
        <w:t>return costs</w:t>
      </w:r>
      <w:r w:rsidR="00437320">
        <w:rPr>
          <w:rFonts w:ascii="TimesNewRomanPSMT" w:hAnsi="TimesNewRomanPSMT" w:cs="TimesNewRomanPSMT"/>
        </w:rPr>
        <w:t>,</w:t>
      </w:r>
      <w:r w:rsidR="00C41AA1" w:rsidRPr="00C24110">
        <w:rPr>
          <w:rFonts w:ascii="TimesNewRomanPSMT" w:hAnsi="TimesNewRomanPSMT" w:cs="TimesNewRomanPSMT"/>
        </w:rPr>
        <w:t xml:space="preserve"> </w:t>
      </w:r>
      <w:r w:rsidR="00C24110" w:rsidRPr="00C24110">
        <w:t>should they decide to withdraw from the contract</w:t>
      </w:r>
      <w:r w:rsidR="00C41AA1" w:rsidRPr="00C24110">
        <w:rPr>
          <w:rFonts w:ascii="TimesNewRomanPSMT" w:hAnsi="TimesNewRomanPSMT" w:cs="TimesNewRomanPSMT"/>
        </w:rPr>
        <w:t>. In addition (as shown in section 4.3.1</w:t>
      </w:r>
      <w:r w:rsidR="00C41AA1" w:rsidRPr="004456F1">
        <w:rPr>
          <w:rFonts w:ascii="TimesNewRomanPSMT" w:hAnsi="TimesNewRomanPSMT" w:cs="TimesNewRomanPSMT"/>
        </w:rPr>
        <w:t>)</w:t>
      </w:r>
      <w:r w:rsidR="008F5970">
        <w:rPr>
          <w:rFonts w:ascii="TimesNewRomanPSMT" w:hAnsi="TimesNewRomanPSMT" w:cs="TimesNewRomanPSMT"/>
        </w:rPr>
        <w:t>,</w:t>
      </w:r>
      <w:r w:rsidR="00C41AA1" w:rsidRPr="00C24110">
        <w:rPr>
          <w:rFonts w:ascii="TimesNewRomanPSMT" w:hAnsi="TimesNewRomanPSMT" w:cs="TimesNewRomanPSMT"/>
        </w:rPr>
        <w:t xml:space="preserve"> consumers remain considerably more </w:t>
      </w:r>
      <w:r w:rsidR="0016505D">
        <w:rPr>
          <w:rFonts w:ascii="TimesNewRomanPSMT" w:hAnsi="TimesNewRomanPSMT" w:cs="TimesNewRomanPSMT"/>
        </w:rPr>
        <w:t>reticent</w:t>
      </w:r>
      <w:r w:rsidR="0016505D" w:rsidRPr="00C24110">
        <w:rPr>
          <w:rFonts w:ascii="TimesNewRomanPSMT" w:hAnsi="TimesNewRomanPSMT" w:cs="TimesNewRomanPSMT"/>
        </w:rPr>
        <w:t xml:space="preserve"> </w:t>
      </w:r>
      <w:r w:rsidR="00C41AA1" w:rsidRPr="00C24110">
        <w:rPr>
          <w:rFonts w:ascii="TimesNewRomanPSMT" w:hAnsi="TimesNewRomanPSMT" w:cs="TimesNewRomanPSMT"/>
        </w:rPr>
        <w:t>about buying online cross-border than domestically. This trust gap limits their capacity to create competitive pressure in the Digital Single Market</w:t>
      </w:r>
      <w:r w:rsidR="00C41AA1" w:rsidRPr="000E7914">
        <w:rPr>
          <w:rFonts w:ascii="TimesNewRomanPSMT" w:hAnsi="TimesNewRomanPSMT" w:cs="TimesNewRomanPSMT"/>
        </w:rPr>
        <w:t xml:space="preserve"> (by e.g. checking and comparing offers </w:t>
      </w:r>
      <w:r w:rsidR="008F5970">
        <w:rPr>
          <w:rFonts w:ascii="TimesNewRomanPSMT" w:hAnsi="TimesNewRomanPSMT" w:cs="TimesNewRomanPSMT"/>
        </w:rPr>
        <w:t>on a</w:t>
      </w:r>
      <w:r w:rsidR="00C41AA1" w:rsidRPr="004456F1">
        <w:rPr>
          <w:rFonts w:ascii="TimesNewRomanPSMT" w:hAnsi="TimesNewRomanPSMT" w:cs="TimesNewRomanPSMT"/>
        </w:rPr>
        <w:t xml:space="preserve"> </w:t>
      </w:r>
      <w:r w:rsidR="00C41AA1" w:rsidRPr="000E7914">
        <w:rPr>
          <w:rFonts w:ascii="TimesNewRomanPSMT" w:hAnsi="TimesNewRomanPSMT" w:cs="TimesNewRomanPSMT"/>
        </w:rPr>
        <w:t>cross-border</w:t>
      </w:r>
      <w:r w:rsidR="008F5970">
        <w:rPr>
          <w:rFonts w:ascii="TimesNewRomanPSMT" w:hAnsi="TimesNewRomanPSMT" w:cs="TimesNewRomanPSMT"/>
        </w:rPr>
        <w:t xml:space="preserve"> basis</w:t>
      </w:r>
      <w:r w:rsidR="00C41AA1" w:rsidRPr="000E7914">
        <w:rPr>
          <w:rFonts w:ascii="TimesNewRomanPSMT" w:hAnsi="TimesNewRomanPSMT" w:cs="TimesNewRomanPSMT"/>
        </w:rPr>
        <w:t>). Finally, (as demonstrated in section 4.4.1.2), cross-border purchases cause a disproportionately high amount of problems, and consumers continue to face discrimination linked to the country of residence in cross-border transactions.</w:t>
      </w:r>
    </w:p>
    <w:p w:rsidR="00821430" w:rsidRDefault="00821430">
      <w:pPr>
        <w:spacing w:after="0"/>
        <w:rPr>
          <w:b/>
          <w:i/>
        </w:rPr>
      </w:pPr>
      <w:r>
        <w:rPr>
          <w:b/>
          <w:i/>
        </w:rPr>
        <w:t xml:space="preserve">Propensity </w:t>
      </w:r>
      <w:r w:rsidR="00F73BC8">
        <w:rPr>
          <w:b/>
          <w:i/>
        </w:rPr>
        <w:t xml:space="preserve">for </w:t>
      </w:r>
      <w:r>
        <w:rPr>
          <w:b/>
          <w:i/>
        </w:rPr>
        <w:t>cross-border</w:t>
      </w:r>
      <w:r w:rsidR="00F73BC8">
        <w:rPr>
          <w:b/>
          <w:i/>
        </w:rPr>
        <w:t xml:space="preserve"> buying</w:t>
      </w:r>
      <w:r>
        <w:rPr>
          <w:b/>
          <w:i/>
        </w:rPr>
        <w:t xml:space="preserve"> increases with international exposure</w:t>
      </w:r>
    </w:p>
    <w:p w:rsidR="00821430" w:rsidRDefault="00821430">
      <w:pPr>
        <w:spacing w:after="0"/>
        <w:rPr>
          <w:highlight w:val="yellow"/>
        </w:rPr>
      </w:pPr>
      <w:r>
        <w:t xml:space="preserve">The uptake of cross-border e-commerce is linked to key socio-demographic factors. The likelihood </w:t>
      </w:r>
      <w:r w:rsidR="006E6572">
        <w:t>of</w:t>
      </w:r>
      <w:r w:rsidR="006E6572" w:rsidRPr="004456F1">
        <w:t xml:space="preserve"> </w:t>
      </w:r>
      <w:r w:rsidRPr="004456F1">
        <w:t>buy</w:t>
      </w:r>
      <w:r w:rsidR="006E6572">
        <w:t>ing</w:t>
      </w:r>
      <w:r>
        <w:t xml:space="preserve"> online from other EU countries increases with income, education and (to a lesser degree) population density. It is also higher among men, younger age groups and respondents who are professionally active or studying.</w:t>
      </w:r>
      <w:r>
        <w:rPr>
          <w:rStyle w:val="FootnoteReference"/>
        </w:rPr>
        <w:footnoteReference w:id="17"/>
      </w:r>
      <w:r>
        <w:t xml:space="preserve"> </w:t>
      </w:r>
      <w:r w:rsidR="004456F1">
        <w:t>‘</w:t>
      </w:r>
      <w:r>
        <w:t>International exposure</w:t>
      </w:r>
      <w:r w:rsidR="004456F1">
        <w:t>’</w:t>
      </w:r>
      <w:r>
        <w:t xml:space="preserve"> (e.g. knowledge of foreign languages and travelling abroad) plays an important role too. Consumers who comfortably use two, three or four languages for personal interests are more likely to have made online cross-border purchases than those who only speak their mother tongue (22</w:t>
      </w:r>
      <w:r w:rsidR="004456F1" w:rsidRPr="004456F1">
        <w:rPr>
          <w:w w:val="50"/>
        </w:rPr>
        <w:t> </w:t>
      </w:r>
      <w:r>
        <w:t>%, 26</w:t>
      </w:r>
      <w:r w:rsidR="004456F1" w:rsidRPr="004456F1">
        <w:rPr>
          <w:w w:val="50"/>
        </w:rPr>
        <w:t> </w:t>
      </w:r>
      <w:r>
        <w:t>% and 34</w:t>
      </w:r>
      <w:r w:rsidR="004456F1" w:rsidRPr="004456F1">
        <w:rPr>
          <w:w w:val="50"/>
        </w:rPr>
        <w:t> </w:t>
      </w:r>
      <w:r>
        <w:t>% vs 14</w:t>
      </w:r>
      <w:r w:rsidR="004456F1" w:rsidRPr="004456F1">
        <w:rPr>
          <w:w w:val="50"/>
        </w:rPr>
        <w:t> </w:t>
      </w:r>
      <w:r>
        <w:t>%), a finding which is corroborated by results from the recent survey of online consumers</w:t>
      </w:r>
      <w:r>
        <w:rPr>
          <w:rStyle w:val="FootnoteReference"/>
        </w:rPr>
        <w:footnoteReference w:id="18"/>
      </w:r>
      <w:r>
        <w:t xml:space="preserve">. There is also a positive correlation (0.5) between the level of cross-border buying over the Internet and through other channels. </w:t>
      </w:r>
      <w:r w:rsidR="005140EE">
        <w:t>T</w:t>
      </w:r>
      <w:r w:rsidRPr="004456F1">
        <w:t>he</w:t>
      </w:r>
      <w:r>
        <w:t xml:space="preserve"> latter depends, at least to some extent, on the frequency of travelling abroad, </w:t>
      </w:r>
      <w:r w:rsidR="005140EE">
        <w:t>which in turn</w:t>
      </w:r>
      <w:r>
        <w:t xml:space="preserve"> may contribute to dissipating concerns about cross-border purchases also through </w:t>
      </w:r>
      <w:r w:rsidR="00B95A1B">
        <w:t>the Internet</w:t>
      </w:r>
      <w:r>
        <w:t>.</w:t>
      </w:r>
      <w:r>
        <w:rPr>
          <w:rStyle w:val="FootnoteReference"/>
        </w:rPr>
        <w:footnoteReference w:id="19"/>
      </w:r>
      <w:r>
        <w:t xml:space="preserve"> This is confirmed by the recent survey of online consumers, which found that the propensity to make cross-border online purchases was considerably higher among respondents who travel abroad at least once a year or more frequently than among those who never travel to other countries or do so less than once a year</w:t>
      </w:r>
      <w:r>
        <w:rPr>
          <w:rStyle w:val="FootnoteReference"/>
        </w:rPr>
        <w:footnoteReference w:id="20"/>
      </w:r>
      <w:r>
        <w:t>. This was true for all product categories surveyed, with the largest differences (not surprisingly) seen for travel services.</w:t>
      </w:r>
    </w:p>
    <w:p w:rsidR="00821430" w:rsidRDefault="00821430" w:rsidP="0055096C">
      <w:pPr>
        <w:pStyle w:val="Heading3"/>
      </w:pPr>
      <w:r>
        <w:t xml:space="preserve">1.2 </w:t>
      </w:r>
      <w:r>
        <w:tab/>
        <w:t>Online sales domestically and cross-border</w:t>
      </w:r>
    </w:p>
    <w:p w:rsidR="00821430" w:rsidRDefault="00821430">
      <w:pPr>
        <w:spacing w:after="0"/>
        <w:rPr>
          <w:b/>
          <w:i/>
        </w:rPr>
      </w:pPr>
      <w:r>
        <w:rPr>
          <w:b/>
          <w:i/>
        </w:rPr>
        <w:t>Around four in ten retailers sell online</w:t>
      </w:r>
    </w:p>
    <w:p w:rsidR="00821430" w:rsidRDefault="00821430">
      <w:pPr>
        <w:spacing w:after="0"/>
      </w:pPr>
      <w:r>
        <w:t>As regards the supply side, 18</w:t>
      </w:r>
      <w:r w:rsidR="004456F1" w:rsidRPr="004456F1">
        <w:rPr>
          <w:w w:val="50"/>
        </w:rPr>
        <w:t> </w:t>
      </w:r>
      <w:r>
        <w:t xml:space="preserve">% of all European enterprises with 10 or more </w:t>
      </w:r>
      <w:r w:rsidR="00083E26">
        <w:t>employees</w:t>
      </w:r>
      <w:r>
        <w:t xml:space="preserve"> made online sales </w:t>
      </w:r>
      <w:r w:rsidR="00481705">
        <w:t xml:space="preserve">in 2013 </w:t>
      </w:r>
      <w:r>
        <w:t>and e-commerce accounted for around 15</w:t>
      </w:r>
      <w:r w:rsidR="004456F1" w:rsidRPr="004456F1">
        <w:rPr>
          <w:w w:val="50"/>
        </w:rPr>
        <w:t> </w:t>
      </w:r>
      <w:r>
        <w:t>% of their overall turnover. Both indicators have increased only slightly compared to 2010</w:t>
      </w:r>
      <w:r>
        <w:rPr>
          <w:rStyle w:val="FootnoteReference"/>
        </w:rPr>
        <w:footnoteReference w:id="21"/>
      </w:r>
      <w:r>
        <w:t xml:space="preserve">. </w:t>
      </w:r>
    </w:p>
    <w:p w:rsidR="00821430" w:rsidRDefault="008835F0" w:rsidP="008835F0">
      <w:pPr>
        <w:pStyle w:val="Caption"/>
      </w:pPr>
      <w:r>
        <w:t xml:space="preserve">Figure </w:t>
      </w:r>
      <w:r w:rsidR="005269EB">
        <w:rPr>
          <w:noProof/>
        </w:rPr>
        <w:t>8</w:t>
      </w:r>
      <w:r w:rsidRPr="00AB4CCB">
        <w:t xml:space="preserve">: Online sales and turnover from e-commerce, </w:t>
      </w:r>
      <w:r w:rsidR="000B73BF">
        <w:t>2010</w:t>
      </w:r>
      <w:r w:rsidRPr="00AB4CCB">
        <w:t>-2014</w:t>
      </w:r>
      <w:r w:rsidR="00481705">
        <w:rPr>
          <w:rStyle w:val="FootnoteReference"/>
        </w:rPr>
        <w:footnoteReference w:id="22"/>
      </w:r>
      <w:r w:rsidRPr="00AB4CCB">
        <w:t xml:space="preserve">, EU28 (% of enterprises excluding enterprises with fewer than 10 </w:t>
      </w:r>
      <w:r w:rsidR="00083E26">
        <w:t>employees</w:t>
      </w:r>
      <w:r w:rsidRPr="00AB4CCB">
        <w:t xml:space="preserve"> and the financial sector)</w:t>
      </w:r>
    </w:p>
    <w:p w:rsidR="00821430" w:rsidRDefault="008B418B" w:rsidP="00B21A32">
      <w:pPr>
        <w:pStyle w:val="Text1"/>
        <w:keepNext/>
        <w:spacing w:before="0" w:after="0"/>
        <w:ind w:left="0"/>
        <w:rPr>
          <w:noProof/>
          <w:lang w:eastAsia="en-GB"/>
        </w:rPr>
      </w:pPr>
      <w:r>
        <w:rPr>
          <w:noProof/>
          <w:lang w:eastAsia="en-GB"/>
        </w:rPr>
        <w:drawing>
          <wp:anchor distT="0" distB="0" distL="114300" distR="114300" simplePos="0" relativeHeight="251657216" behindDoc="0" locked="0" layoutInCell="1" allowOverlap="1" wp14:anchorId="672ABB14" wp14:editId="6D57E985">
            <wp:simplePos x="0" y="0"/>
            <wp:positionH relativeFrom="character">
              <wp:posOffset>0</wp:posOffset>
            </wp:positionH>
            <wp:positionV relativeFrom="line">
              <wp:posOffset>0</wp:posOffset>
            </wp:positionV>
            <wp:extent cx="4584700" cy="2755900"/>
            <wp:effectExtent l="0" t="0" r="0" b="0"/>
            <wp:wrapNone/>
            <wp:docPr id="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0A68BCD" wp14:editId="704E144E">
            <wp:extent cx="4581525"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1525" cy="30861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Eurostat Community survey on ICT usage and e-commerce in enterprises</w:t>
      </w:r>
      <w:r w:rsidR="00B4685E">
        <w:rPr>
          <w:i/>
          <w:sz w:val="20"/>
          <w:szCs w:val="20"/>
        </w:rPr>
        <w:t xml:space="preserve">, </w:t>
      </w:r>
      <w:r w:rsidR="00B4685E" w:rsidRPr="00C11D3B">
        <w:rPr>
          <w:i/>
          <w:sz w:val="20"/>
          <w:szCs w:val="20"/>
        </w:rPr>
        <w:t>During</w:t>
      </w:r>
      <w:r w:rsidR="00B4685E">
        <w:rPr>
          <w:i/>
          <w:sz w:val="20"/>
          <w:szCs w:val="20"/>
        </w:rPr>
        <w:t xml:space="preserve"> [previous year]</w:t>
      </w:r>
      <w:r w:rsidR="00B4685E" w:rsidRPr="00C11D3B">
        <w:rPr>
          <w:i/>
          <w:sz w:val="20"/>
          <w:szCs w:val="20"/>
        </w:rPr>
        <w:t>, did your enterprise receive orders for goods or services placed via a website? During</w:t>
      </w:r>
      <w:r w:rsidR="00B4685E">
        <w:rPr>
          <w:i/>
          <w:sz w:val="20"/>
          <w:szCs w:val="20"/>
        </w:rPr>
        <w:t xml:space="preserve"> [previous year]</w:t>
      </w:r>
      <w:r w:rsidR="00B4685E" w:rsidRPr="00C11D3B">
        <w:rPr>
          <w:i/>
          <w:sz w:val="20"/>
          <w:szCs w:val="20"/>
        </w:rPr>
        <w:t>, did your enterprise receive orders for goods or services placed via EDI-type messages?</w:t>
      </w:r>
      <w:r w:rsidRPr="002D4392">
        <w:rPr>
          <w:i/>
          <w:sz w:val="20"/>
          <w:szCs w:val="20"/>
        </w:rPr>
        <w:t xml:space="preserve"> (isoc_ec_eseln2 and isoc_ec_evaln2)</w:t>
      </w:r>
      <w:r w:rsidR="00B21A32" w:rsidRPr="002D4392">
        <w:rPr>
          <w:i/>
          <w:sz w:val="20"/>
          <w:szCs w:val="20"/>
        </w:rPr>
        <w:t xml:space="preserve"> </w:t>
      </w:r>
    </w:p>
    <w:p w:rsidR="00821430" w:rsidRDefault="00821430">
      <w:pPr>
        <w:spacing w:after="0"/>
      </w:pPr>
      <w:r>
        <w:t>Concerning business-to-consumer transactions specifically, four in ten EU retailers (41</w:t>
      </w:r>
      <w:r w:rsidR="004456F1" w:rsidRPr="004456F1">
        <w:rPr>
          <w:w w:val="50"/>
        </w:rPr>
        <w:t> </w:t>
      </w:r>
      <w:r>
        <w:t>%) sell online to final consumers.</w:t>
      </w:r>
      <w:r>
        <w:rPr>
          <w:rStyle w:val="FootnoteReference"/>
        </w:rPr>
        <w:footnoteReference w:id="23"/>
      </w:r>
      <w:r>
        <w:t xml:space="preserve"> </w:t>
      </w:r>
    </w:p>
    <w:p w:rsidR="00821430" w:rsidRDefault="00821430">
      <w:pPr>
        <w:spacing w:after="0"/>
      </w:pPr>
      <w:r>
        <w:t xml:space="preserve">At country level, the highest </w:t>
      </w:r>
      <w:r w:rsidR="00B87E11">
        <w:t xml:space="preserve">prevalence </w:t>
      </w:r>
      <w:r>
        <w:t>of online sales is registered in Iceland (62</w:t>
      </w:r>
      <w:r w:rsidR="004456F1" w:rsidRPr="004456F1">
        <w:rPr>
          <w:w w:val="50"/>
        </w:rPr>
        <w:t> </w:t>
      </w:r>
      <w:r>
        <w:t>%) while, within the EU, retailers are most likely to sell online in Spain (57</w:t>
      </w:r>
      <w:r w:rsidR="004456F1" w:rsidRPr="004456F1">
        <w:rPr>
          <w:w w:val="50"/>
        </w:rPr>
        <w:t> </w:t>
      </w:r>
      <w:r>
        <w:t>%) and France (54</w:t>
      </w:r>
      <w:r w:rsidR="004456F1" w:rsidRPr="004456F1">
        <w:rPr>
          <w:w w:val="50"/>
        </w:rPr>
        <w:t> </w:t>
      </w:r>
      <w:r>
        <w:t>%). At the other end of the scale, less than a quarter of retailers engage in e-commerce in Romania (22</w:t>
      </w:r>
      <w:r w:rsidR="004456F1" w:rsidRPr="004456F1">
        <w:rPr>
          <w:w w:val="50"/>
        </w:rPr>
        <w:t> </w:t>
      </w:r>
      <w:r>
        <w:t>%) and Slovenia (24</w:t>
      </w:r>
      <w:r w:rsidR="004456F1" w:rsidRPr="004456F1">
        <w:rPr>
          <w:w w:val="50"/>
        </w:rPr>
        <w:t> </w:t>
      </w:r>
      <w:r>
        <w:t xml:space="preserve">%). </w:t>
      </w:r>
    </w:p>
    <w:p w:rsidR="001D66C4" w:rsidRDefault="001D66C4">
      <w:pPr>
        <w:spacing w:after="0"/>
      </w:pPr>
    </w:p>
    <w:p w:rsidR="001D66C4" w:rsidRDefault="001D66C4" w:rsidP="001D66C4">
      <w:pPr>
        <w:pStyle w:val="Caption"/>
      </w:pPr>
      <w:r>
        <w:t xml:space="preserve">Figure </w:t>
      </w:r>
      <w:r w:rsidR="005269EB">
        <w:rPr>
          <w:noProof/>
        </w:rPr>
        <w:t>9</w:t>
      </w:r>
      <w:r w:rsidRPr="00633EC2">
        <w:t>: Online business-to-consumer sales in different countries, 2014 (% of retailers)</w:t>
      </w:r>
    </w:p>
    <w:p w:rsidR="00821430" w:rsidRPr="00B21A32" w:rsidRDefault="008B418B" w:rsidP="00B21A32">
      <w:pPr>
        <w:pStyle w:val="Text1"/>
        <w:keepNext/>
        <w:spacing w:before="0" w:after="0"/>
        <w:ind w:left="0"/>
        <w:rPr>
          <w:noProof/>
          <w:lang w:eastAsia="en-GB"/>
        </w:rPr>
      </w:pPr>
      <w:r>
        <w:rPr>
          <w:noProof/>
          <w:lang w:eastAsia="en-GB"/>
        </w:rPr>
        <w:drawing>
          <wp:inline distT="0" distB="0" distL="0" distR="0" wp14:anchorId="7E6DF68F" wp14:editId="5B98C050">
            <wp:extent cx="4781550"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1550" cy="41529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Flash Eurobarometer</w:t>
      </w:r>
      <w:r w:rsidR="00C51436">
        <w:rPr>
          <w:i/>
          <w:sz w:val="20"/>
          <w:szCs w:val="20"/>
        </w:rPr>
        <w:t xml:space="preserve"> </w:t>
      </w:r>
      <w:r w:rsidRPr="002D4392">
        <w:rPr>
          <w:i/>
          <w:sz w:val="20"/>
          <w:szCs w:val="20"/>
        </w:rPr>
        <w:t>396</w:t>
      </w:r>
      <w:r w:rsidR="00EC7838">
        <w:rPr>
          <w:i/>
          <w:sz w:val="20"/>
          <w:szCs w:val="20"/>
        </w:rPr>
        <w:t>:</w:t>
      </w:r>
      <w:r w:rsidRPr="002D4392">
        <w:rPr>
          <w:i/>
          <w:sz w:val="20"/>
          <w:szCs w:val="20"/>
        </w:rPr>
        <w:t xml:space="preserve"> Please tell me which of the fo</w:t>
      </w:r>
      <w:r w:rsidR="00D751B8" w:rsidRPr="002D4392">
        <w:rPr>
          <w:i/>
          <w:sz w:val="20"/>
          <w:szCs w:val="20"/>
        </w:rPr>
        <w:t xml:space="preserve">llowing statements apply to you (You sell online to final consumers in (OUR COUNTRY), You sell online to final consumers in other EU countries, You sell online to final consumers in other non-EU countries), </w:t>
      </w:r>
      <w:r w:rsidR="00C51436">
        <w:rPr>
          <w:i/>
          <w:sz w:val="20"/>
          <w:szCs w:val="20"/>
        </w:rPr>
        <w:t>b</w:t>
      </w:r>
      <w:r w:rsidRPr="002D4392">
        <w:rPr>
          <w:i/>
          <w:sz w:val="20"/>
          <w:szCs w:val="20"/>
        </w:rPr>
        <w:t xml:space="preserve">ase: </w:t>
      </w:r>
      <w:r w:rsidR="00C51436">
        <w:rPr>
          <w:i/>
          <w:sz w:val="20"/>
          <w:szCs w:val="20"/>
        </w:rPr>
        <w:t>all retailers (N=</w:t>
      </w:r>
      <w:r w:rsidRPr="002D4392">
        <w:rPr>
          <w:i/>
          <w:sz w:val="20"/>
          <w:szCs w:val="20"/>
        </w:rPr>
        <w:t>10</w:t>
      </w:r>
      <w:r w:rsidR="004456F1" w:rsidRPr="002D4392">
        <w:rPr>
          <w:i/>
          <w:sz w:val="20"/>
          <w:szCs w:val="20"/>
        </w:rPr>
        <w:t> </w:t>
      </w:r>
      <w:r w:rsidRPr="002D4392">
        <w:rPr>
          <w:i/>
          <w:sz w:val="20"/>
          <w:szCs w:val="20"/>
        </w:rPr>
        <w:t>457)</w:t>
      </w:r>
    </w:p>
    <w:p w:rsidR="00821430" w:rsidRDefault="00821430">
      <w:pPr>
        <w:spacing w:after="0"/>
      </w:pPr>
      <w:r>
        <w:t xml:space="preserve">Companies with </w:t>
      </w:r>
      <w:r w:rsidR="006B7836">
        <w:t>fewer</w:t>
      </w:r>
      <w:r w:rsidR="006B7836" w:rsidRPr="004456F1">
        <w:t xml:space="preserve"> </w:t>
      </w:r>
      <w:r>
        <w:t>than 50 employees are the least likely to sell online (39</w:t>
      </w:r>
      <w:r w:rsidR="004456F1" w:rsidRPr="004456F1">
        <w:rPr>
          <w:w w:val="50"/>
        </w:rPr>
        <w:t> </w:t>
      </w:r>
      <w:r>
        <w:t>%), as opposed to 50</w:t>
      </w:r>
      <w:r w:rsidR="004456F1" w:rsidRPr="004456F1">
        <w:rPr>
          <w:w w:val="50"/>
        </w:rPr>
        <w:t> </w:t>
      </w:r>
      <w:r>
        <w:t>% among medium-sized companies (50-249 employees) and 47</w:t>
      </w:r>
      <w:r w:rsidR="004456F1" w:rsidRPr="004456F1">
        <w:rPr>
          <w:w w:val="50"/>
        </w:rPr>
        <w:t> </w:t>
      </w:r>
      <w:r>
        <w:t>% among large companies (250+ employees). In addition, online sales are less common among retailers who sell food products (34</w:t>
      </w:r>
      <w:r w:rsidR="004456F1" w:rsidRPr="004456F1">
        <w:rPr>
          <w:w w:val="50"/>
        </w:rPr>
        <w:t> </w:t>
      </w:r>
      <w:r>
        <w:t>%) than among those selling services (47</w:t>
      </w:r>
      <w:r w:rsidR="004456F1" w:rsidRPr="004456F1">
        <w:rPr>
          <w:w w:val="50"/>
        </w:rPr>
        <w:t> </w:t>
      </w:r>
      <w:r>
        <w:t>%) or non-food products (42</w:t>
      </w:r>
      <w:r w:rsidR="004456F1" w:rsidRPr="004456F1">
        <w:rPr>
          <w:w w:val="50"/>
        </w:rPr>
        <w:t> </w:t>
      </w:r>
      <w:r>
        <w:t>%).</w:t>
      </w:r>
    </w:p>
    <w:p w:rsidR="00821430" w:rsidRDefault="00821430">
      <w:pPr>
        <w:spacing w:after="0"/>
      </w:pPr>
      <w:r>
        <w:t>The proportion of retailers who engage in online sales is not likely to change significantly in the short run. Overall, seven out of ten retailers (72</w:t>
      </w:r>
      <w:r w:rsidR="004456F1" w:rsidRPr="004456F1">
        <w:rPr>
          <w:w w:val="50"/>
        </w:rPr>
        <w:t> </w:t>
      </w:r>
      <w:r>
        <w:t>%) who do not currently sell online have no interest in starting online sales in the next 12 months</w:t>
      </w:r>
      <w:r w:rsidR="006B7836">
        <w:t>,</w:t>
      </w:r>
      <w:r>
        <w:t xml:space="preserve"> while most retailers (91</w:t>
      </w:r>
      <w:r w:rsidR="004456F1" w:rsidRPr="004456F1">
        <w:rPr>
          <w:w w:val="50"/>
        </w:rPr>
        <w:t> </w:t>
      </w:r>
      <w:r>
        <w:t>%) that currently sell online plan to continue doing so over the next 12 months.</w:t>
      </w:r>
      <w:r>
        <w:rPr>
          <w:rStyle w:val="FootnoteReference"/>
        </w:rPr>
        <w:footnoteReference w:id="24"/>
      </w:r>
    </w:p>
    <w:p w:rsidR="00821430" w:rsidRDefault="00821430">
      <w:pPr>
        <w:spacing w:after="0"/>
        <w:rPr>
          <w:b/>
          <w:i/>
        </w:rPr>
      </w:pPr>
      <w:r>
        <w:rPr>
          <w:b/>
          <w:i/>
        </w:rPr>
        <w:t>Most online sales are to domestic consumers</w:t>
      </w:r>
    </w:p>
    <w:p w:rsidR="00821430" w:rsidRDefault="00821430">
      <w:pPr>
        <w:spacing w:after="0"/>
      </w:pPr>
      <w:r>
        <w:t>While 37</w:t>
      </w:r>
      <w:r w:rsidR="004456F1" w:rsidRPr="004456F1">
        <w:rPr>
          <w:w w:val="50"/>
        </w:rPr>
        <w:t> </w:t>
      </w:r>
      <w:r>
        <w:t>% of EU retailers sell online to consumers in their own country, only 12</w:t>
      </w:r>
      <w:r w:rsidR="004456F1" w:rsidRPr="004456F1">
        <w:rPr>
          <w:w w:val="50"/>
        </w:rPr>
        <w:t> </w:t>
      </w:r>
      <w:r>
        <w:t>% sell to consumers in other EU countries. This is even lower than the percentage of those who make such sales outside the EU (14</w:t>
      </w:r>
      <w:r w:rsidR="004456F1" w:rsidRPr="004456F1">
        <w:rPr>
          <w:w w:val="50"/>
        </w:rPr>
        <w:t> </w:t>
      </w:r>
      <w:r>
        <w:t>%).</w:t>
      </w:r>
      <w:r>
        <w:rPr>
          <w:rStyle w:val="FootnoteReference"/>
        </w:rPr>
        <w:footnoteReference w:id="25"/>
      </w:r>
    </w:p>
    <w:p w:rsidR="00821430" w:rsidRDefault="00821430">
      <w:pPr>
        <w:spacing w:after="0"/>
        <w:rPr>
          <w:b/>
          <w:bCs/>
          <w:sz w:val="20"/>
          <w:szCs w:val="20"/>
          <w:lang w:eastAsia="en-GB"/>
        </w:rPr>
      </w:pPr>
    </w:p>
    <w:p w:rsidR="008835F0" w:rsidRDefault="008835F0" w:rsidP="008835F0">
      <w:pPr>
        <w:pStyle w:val="Caption"/>
        <w:rPr>
          <w:b w:val="0"/>
          <w:bCs/>
          <w:lang w:eastAsia="en-GB"/>
        </w:rPr>
      </w:pPr>
      <w:r>
        <w:t xml:space="preserve">Figure </w:t>
      </w:r>
      <w:r w:rsidR="005269EB">
        <w:rPr>
          <w:noProof/>
        </w:rPr>
        <w:t>10</w:t>
      </w:r>
      <w:r w:rsidRPr="00E04EEC">
        <w:t>: Online business-to-consumer sales in EU28, 2014 (% of retailers)</w:t>
      </w:r>
    </w:p>
    <w:p w:rsidR="00821430" w:rsidRPr="00B21A32" w:rsidRDefault="008B418B" w:rsidP="00B21A32">
      <w:pPr>
        <w:pStyle w:val="Text1"/>
        <w:keepNext/>
        <w:spacing w:before="0" w:after="0"/>
        <w:ind w:left="0"/>
        <w:rPr>
          <w:noProof/>
          <w:lang w:eastAsia="en-GB"/>
        </w:rPr>
      </w:pPr>
      <w:r>
        <w:rPr>
          <w:noProof/>
          <w:lang w:eastAsia="en-GB"/>
        </w:rPr>
        <w:drawing>
          <wp:inline distT="0" distB="0" distL="0" distR="0" wp14:anchorId="0E169A5A" wp14:editId="142C27A5">
            <wp:extent cx="5753100" cy="25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Flash Eurobarometer</w:t>
      </w:r>
      <w:r w:rsidR="00C51436">
        <w:rPr>
          <w:i/>
          <w:sz w:val="20"/>
          <w:szCs w:val="20"/>
        </w:rPr>
        <w:t xml:space="preserve"> </w:t>
      </w:r>
      <w:r w:rsidRPr="002D4392">
        <w:rPr>
          <w:i/>
          <w:sz w:val="20"/>
          <w:szCs w:val="20"/>
        </w:rPr>
        <w:t>396: Please tell me which of the following statements apply to you</w:t>
      </w:r>
      <w:r w:rsidR="00D751B8" w:rsidRPr="002D4392">
        <w:rPr>
          <w:i/>
          <w:sz w:val="20"/>
          <w:szCs w:val="20"/>
        </w:rPr>
        <w:t xml:space="preserve"> (You sell online to final consumers in (OUR COUNTRY), You sell online to final consumers in other EU countries, You sell online to final consumers in other non-EU countries),</w:t>
      </w:r>
      <w:r w:rsidR="00C51436">
        <w:rPr>
          <w:i/>
          <w:sz w:val="20"/>
          <w:szCs w:val="20"/>
        </w:rPr>
        <w:t xml:space="preserve"> b</w:t>
      </w:r>
      <w:r w:rsidR="00D751B8" w:rsidRPr="002D4392">
        <w:rPr>
          <w:i/>
          <w:sz w:val="20"/>
          <w:szCs w:val="20"/>
        </w:rPr>
        <w:t>ase:</w:t>
      </w:r>
      <w:r w:rsidR="00C51436">
        <w:rPr>
          <w:i/>
          <w:sz w:val="20"/>
          <w:szCs w:val="20"/>
        </w:rPr>
        <w:t xml:space="preserve"> all retailers (N=</w:t>
      </w:r>
      <w:r w:rsidR="0051423E" w:rsidRPr="002D4392">
        <w:rPr>
          <w:i/>
          <w:sz w:val="20"/>
          <w:szCs w:val="20"/>
        </w:rPr>
        <w:t>10</w:t>
      </w:r>
      <w:r w:rsidR="004456F1" w:rsidRPr="002D4392">
        <w:rPr>
          <w:i/>
          <w:sz w:val="20"/>
          <w:szCs w:val="20"/>
        </w:rPr>
        <w:t> </w:t>
      </w:r>
      <w:r w:rsidR="0051423E" w:rsidRPr="002D4392">
        <w:rPr>
          <w:i/>
          <w:sz w:val="20"/>
          <w:szCs w:val="20"/>
        </w:rPr>
        <w:t>457)</w:t>
      </w:r>
    </w:p>
    <w:p w:rsidR="00821430" w:rsidRDefault="00821430">
      <w:pPr>
        <w:spacing w:after="0"/>
      </w:pPr>
      <w:r>
        <w:t>Cross-border online sales are more popular in some of the smaller markets, where the domestic economy may be too small to amortise the fixed costs of developing an e-commerce infrastructure.</w:t>
      </w:r>
      <w:r>
        <w:rPr>
          <w:rStyle w:val="FootnoteReference"/>
        </w:rPr>
        <w:footnoteReference w:id="26"/>
      </w:r>
      <w:r>
        <w:t xml:space="preserve"> Retailers in Iceland are the most likely to sell online to consumers in other EU countries (34</w:t>
      </w:r>
      <w:r w:rsidR="004456F1" w:rsidRPr="004456F1">
        <w:rPr>
          <w:w w:val="50"/>
        </w:rPr>
        <w:t> </w:t>
      </w:r>
      <w:r>
        <w:t>%), followed by those in Greece (24</w:t>
      </w:r>
      <w:r w:rsidR="004456F1" w:rsidRPr="004456F1">
        <w:rPr>
          <w:w w:val="50"/>
        </w:rPr>
        <w:t> </w:t>
      </w:r>
      <w:r>
        <w:t>%), Malta (22</w:t>
      </w:r>
      <w:r w:rsidR="004456F1" w:rsidRPr="004456F1">
        <w:rPr>
          <w:w w:val="50"/>
        </w:rPr>
        <w:t> </w:t>
      </w:r>
      <w:r>
        <w:t>%) and Ireland (21</w:t>
      </w:r>
      <w:r w:rsidR="004456F1" w:rsidRPr="004456F1">
        <w:rPr>
          <w:w w:val="50"/>
        </w:rPr>
        <w:t> </w:t>
      </w:r>
      <w:r>
        <w:t>%). Some of these countries also have the highest rates of online sales to consumers outside the EU: 34</w:t>
      </w:r>
      <w:r w:rsidR="004456F1" w:rsidRPr="004456F1">
        <w:rPr>
          <w:w w:val="50"/>
        </w:rPr>
        <w:t> </w:t>
      </w:r>
      <w:r>
        <w:t>% in Iceland, 22</w:t>
      </w:r>
      <w:r w:rsidR="004456F1" w:rsidRPr="004456F1">
        <w:rPr>
          <w:w w:val="50"/>
        </w:rPr>
        <w:t> </w:t>
      </w:r>
      <w:r>
        <w:t>% in Greece and Croatia, 21</w:t>
      </w:r>
      <w:r w:rsidR="004456F1" w:rsidRPr="004456F1">
        <w:rPr>
          <w:w w:val="50"/>
        </w:rPr>
        <w:t> </w:t>
      </w:r>
      <w:r>
        <w:t>% in Malta and Cyprus.</w:t>
      </w:r>
    </w:p>
    <w:p w:rsidR="008835F0" w:rsidRDefault="008835F0" w:rsidP="008835F0">
      <w:pPr>
        <w:pStyle w:val="Caption"/>
      </w:pPr>
      <w:r>
        <w:t xml:space="preserve">Figure </w:t>
      </w:r>
      <w:r w:rsidR="005269EB">
        <w:rPr>
          <w:noProof/>
        </w:rPr>
        <w:t>11</w:t>
      </w:r>
      <w:r w:rsidRPr="00717BC7">
        <w:t>: Domestic and cross-border online business-to-consumer sales in different countries, 2014 (% of retailers)</w:t>
      </w:r>
    </w:p>
    <w:p w:rsidR="00821430" w:rsidRDefault="008B418B" w:rsidP="00B21A32">
      <w:pPr>
        <w:pStyle w:val="Text1"/>
        <w:keepNext/>
        <w:spacing w:before="0" w:after="0"/>
        <w:ind w:left="0"/>
        <w:rPr>
          <w:noProof/>
          <w:lang w:eastAsia="en-GB"/>
        </w:rPr>
      </w:pPr>
      <w:r>
        <w:rPr>
          <w:noProof/>
          <w:lang w:eastAsia="en-GB"/>
        </w:rPr>
        <w:drawing>
          <wp:inline distT="0" distB="0" distL="0" distR="0" wp14:anchorId="7CF99A36" wp14:editId="0E9E0F71">
            <wp:extent cx="5753100" cy="435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rsidR="00821430" w:rsidRDefault="00821430" w:rsidP="002D4392">
      <w:pPr>
        <w:pStyle w:val="Text1"/>
        <w:spacing w:before="0" w:after="0"/>
        <w:ind w:left="0"/>
        <w:rPr>
          <w:i/>
          <w:sz w:val="20"/>
          <w:szCs w:val="20"/>
        </w:rPr>
      </w:pPr>
      <w:r w:rsidRPr="002D4392">
        <w:rPr>
          <w:i/>
          <w:sz w:val="20"/>
          <w:szCs w:val="20"/>
        </w:rPr>
        <w:t xml:space="preserve">Source: </w:t>
      </w:r>
      <w:r>
        <w:rPr>
          <w:i/>
          <w:sz w:val="20"/>
          <w:szCs w:val="20"/>
        </w:rPr>
        <w:t>Flash Eurobarometer</w:t>
      </w:r>
      <w:r w:rsidR="00C51436">
        <w:rPr>
          <w:i/>
          <w:sz w:val="20"/>
          <w:szCs w:val="20"/>
        </w:rPr>
        <w:t xml:space="preserve"> </w:t>
      </w:r>
      <w:r>
        <w:rPr>
          <w:i/>
          <w:sz w:val="20"/>
          <w:szCs w:val="20"/>
        </w:rPr>
        <w:t>396</w:t>
      </w:r>
      <w:r w:rsidRPr="002D4392">
        <w:rPr>
          <w:i/>
          <w:sz w:val="20"/>
          <w:szCs w:val="20"/>
        </w:rPr>
        <w:t xml:space="preserve">: </w:t>
      </w:r>
      <w:r w:rsidR="00D751B8" w:rsidRPr="002D4392">
        <w:rPr>
          <w:i/>
          <w:sz w:val="20"/>
          <w:szCs w:val="20"/>
        </w:rPr>
        <w:t>Please tell me which of the following statements apply to you (</w:t>
      </w:r>
      <w:r w:rsidR="00D751B8" w:rsidRPr="00D751B8">
        <w:rPr>
          <w:i/>
          <w:sz w:val="20"/>
          <w:szCs w:val="20"/>
        </w:rPr>
        <w:t>You sell online to final consumers in (OUR COUNTRY), You sell online to final c</w:t>
      </w:r>
      <w:r w:rsidR="00D751B8">
        <w:rPr>
          <w:i/>
          <w:sz w:val="20"/>
          <w:szCs w:val="20"/>
        </w:rPr>
        <w:t xml:space="preserve">onsumers in other EU countries), </w:t>
      </w:r>
      <w:r w:rsidR="00C51436">
        <w:rPr>
          <w:i/>
          <w:sz w:val="20"/>
          <w:szCs w:val="20"/>
        </w:rPr>
        <w:t>b</w:t>
      </w:r>
      <w:r w:rsidR="00D751B8">
        <w:rPr>
          <w:i/>
          <w:sz w:val="20"/>
          <w:szCs w:val="20"/>
        </w:rPr>
        <w:t>ase</w:t>
      </w:r>
      <w:r w:rsidR="0051423E">
        <w:rPr>
          <w:i/>
          <w:sz w:val="20"/>
          <w:szCs w:val="20"/>
        </w:rPr>
        <w:t xml:space="preserve">: </w:t>
      </w:r>
      <w:r w:rsidR="00C51436">
        <w:rPr>
          <w:i/>
          <w:sz w:val="20"/>
          <w:szCs w:val="20"/>
        </w:rPr>
        <w:t>all retailers (N=</w:t>
      </w:r>
      <w:r w:rsidR="0051423E" w:rsidRPr="0051423E">
        <w:rPr>
          <w:i/>
          <w:sz w:val="20"/>
          <w:szCs w:val="20"/>
        </w:rPr>
        <w:t>10</w:t>
      </w:r>
      <w:r w:rsidR="004456F1" w:rsidRPr="002D4392">
        <w:rPr>
          <w:i/>
          <w:sz w:val="20"/>
          <w:szCs w:val="20"/>
        </w:rPr>
        <w:t> </w:t>
      </w:r>
      <w:r w:rsidR="0051423E" w:rsidRPr="0051423E">
        <w:rPr>
          <w:i/>
          <w:sz w:val="20"/>
          <w:szCs w:val="20"/>
        </w:rPr>
        <w:t>457)</w:t>
      </w:r>
    </w:p>
    <w:p w:rsidR="00821430" w:rsidRDefault="00821430">
      <w:pPr>
        <w:spacing w:after="0"/>
      </w:pPr>
      <w:r>
        <w:t xml:space="preserve">Not surprisingly, the more languages a company </w:t>
      </w:r>
      <w:r w:rsidR="004D3600">
        <w:t>operate</w:t>
      </w:r>
      <w:r w:rsidR="004D3600" w:rsidRPr="004456F1">
        <w:t xml:space="preserve">s </w:t>
      </w:r>
      <w:r>
        <w:t xml:space="preserve">in, the more likely </w:t>
      </w:r>
      <w:r w:rsidR="00A01F92">
        <w:t>it is</w:t>
      </w:r>
      <w:r>
        <w:t xml:space="preserve"> to be selling in other EU countries: 5</w:t>
      </w:r>
      <w:r w:rsidR="004456F1" w:rsidRPr="004456F1">
        <w:rPr>
          <w:w w:val="50"/>
        </w:rPr>
        <w:t> </w:t>
      </w:r>
      <w:r>
        <w:t xml:space="preserve">% of </w:t>
      </w:r>
      <w:r w:rsidR="00A01F92">
        <w:t>retailers</w:t>
      </w:r>
      <w:r>
        <w:t xml:space="preserve"> who </w:t>
      </w:r>
      <w:r w:rsidR="004D3600">
        <w:t>use</w:t>
      </w:r>
      <w:r w:rsidRPr="004456F1">
        <w:t xml:space="preserve"> </w:t>
      </w:r>
      <w:r>
        <w:t>only their own language sell to at least one other EU country, compared to 32</w:t>
      </w:r>
      <w:r w:rsidR="004456F1" w:rsidRPr="004456F1">
        <w:rPr>
          <w:w w:val="50"/>
        </w:rPr>
        <w:t> </w:t>
      </w:r>
      <w:r>
        <w:t xml:space="preserve">% of those that </w:t>
      </w:r>
      <w:r w:rsidR="004D3600">
        <w:t>work</w:t>
      </w:r>
      <w:r w:rsidR="004D3600" w:rsidRPr="004456F1">
        <w:t xml:space="preserve"> </w:t>
      </w:r>
      <w:r>
        <w:t xml:space="preserve">in </w:t>
      </w:r>
      <w:r w:rsidR="004D3600">
        <w:t>four</w:t>
      </w:r>
      <w:r w:rsidR="004D3600" w:rsidRPr="004456F1">
        <w:t xml:space="preserve"> </w:t>
      </w:r>
      <w:r>
        <w:t xml:space="preserve">or more languages. In addition, intra-EU sales are considerably more </w:t>
      </w:r>
      <w:r w:rsidR="003E1DCB">
        <w:t xml:space="preserve">prevalent </w:t>
      </w:r>
      <w:r>
        <w:t xml:space="preserve">among retailers </w:t>
      </w:r>
      <w:r w:rsidR="004D3600">
        <w:t>that</w:t>
      </w:r>
      <w:r w:rsidRPr="004456F1">
        <w:t xml:space="preserve"> </w:t>
      </w:r>
      <w:r>
        <w:t>engage in online sales to countries outside the EU (71</w:t>
      </w:r>
      <w:r w:rsidR="004456F1" w:rsidRPr="004456F1">
        <w:rPr>
          <w:w w:val="50"/>
        </w:rPr>
        <w:t> </w:t>
      </w:r>
      <w:r>
        <w:t>%). Finally, companies that sell services are more likely than those selling goods to make online sales to other EU countries (16</w:t>
      </w:r>
      <w:r w:rsidR="004456F1" w:rsidRPr="004456F1">
        <w:rPr>
          <w:w w:val="50"/>
        </w:rPr>
        <w:t> </w:t>
      </w:r>
      <w:r>
        <w:t>% vs 11</w:t>
      </w:r>
      <w:r w:rsidR="004456F1" w:rsidRPr="004456F1">
        <w:rPr>
          <w:w w:val="50"/>
        </w:rPr>
        <w:t> </w:t>
      </w:r>
      <w:r>
        <w:t>%).</w:t>
      </w:r>
    </w:p>
    <w:p w:rsidR="00821430" w:rsidRDefault="00821430" w:rsidP="0055096C">
      <w:pPr>
        <w:pStyle w:val="Heading3"/>
      </w:pPr>
      <w:r>
        <w:t xml:space="preserve">1.3 </w:t>
      </w:r>
      <w:r>
        <w:tab/>
        <w:t>Products bought/used online</w:t>
      </w:r>
    </w:p>
    <w:p w:rsidR="00821430" w:rsidRDefault="00821430">
      <w:pPr>
        <w:spacing w:after="0"/>
        <w:rPr>
          <w:b/>
          <w:i/>
        </w:rPr>
      </w:pPr>
      <w:r>
        <w:rPr>
          <w:b/>
          <w:i/>
        </w:rPr>
        <w:t>Online purchases of clothes and digital products continue to grow</w:t>
      </w:r>
    </w:p>
    <w:p w:rsidR="00821430" w:rsidRDefault="0039663C">
      <w:pPr>
        <w:spacing w:after="0"/>
      </w:pPr>
      <w:r>
        <w:t>C</w:t>
      </w:r>
      <w:r w:rsidR="00821430">
        <w:t xml:space="preserve">lothes and sports goods are the most common </w:t>
      </w:r>
      <w:r w:rsidR="00C516E1" w:rsidRPr="004456F1">
        <w:t>categor</w:t>
      </w:r>
      <w:r>
        <w:t>y</w:t>
      </w:r>
      <w:r w:rsidR="00C516E1" w:rsidRPr="004456F1">
        <w:t xml:space="preserve"> </w:t>
      </w:r>
      <w:r w:rsidR="00821430">
        <w:t xml:space="preserve">of online purchases and have seen remarkable growth in recent years. </w:t>
      </w:r>
      <w:r w:rsidR="003E1DCB">
        <w:t xml:space="preserve">Six </w:t>
      </w:r>
      <w:r w:rsidR="00821430">
        <w:t>in 10 online shoppers (59</w:t>
      </w:r>
      <w:r w:rsidR="004456F1" w:rsidRPr="004456F1">
        <w:rPr>
          <w:w w:val="50"/>
        </w:rPr>
        <w:t> </w:t>
      </w:r>
      <w:r w:rsidR="00821430">
        <w:t xml:space="preserve">%) bought </w:t>
      </w:r>
      <w:r w:rsidR="00C516E1">
        <w:t>such</w:t>
      </w:r>
      <w:r w:rsidR="00821430">
        <w:t xml:space="preserve"> products in 2014 compared to 47</w:t>
      </w:r>
      <w:r w:rsidR="004456F1" w:rsidRPr="004456F1">
        <w:rPr>
          <w:w w:val="50"/>
        </w:rPr>
        <w:t> </w:t>
      </w:r>
      <w:r w:rsidR="00821430">
        <w:t>% in 2010. Slightly over half of online shoppers have bought travel and holiday accommodation (54</w:t>
      </w:r>
      <w:r w:rsidR="004456F1" w:rsidRPr="004456F1">
        <w:rPr>
          <w:w w:val="50"/>
        </w:rPr>
        <w:t> </w:t>
      </w:r>
      <w:r w:rsidR="00821430">
        <w:t>%) while four in ten have bought household goods (41</w:t>
      </w:r>
      <w:r w:rsidR="004456F1" w:rsidRPr="004456F1">
        <w:rPr>
          <w:w w:val="50"/>
        </w:rPr>
        <w:t> </w:t>
      </w:r>
      <w:r w:rsidR="00821430">
        <w:t>%), tickets for events (40</w:t>
      </w:r>
      <w:r w:rsidR="004456F1" w:rsidRPr="004456F1">
        <w:rPr>
          <w:w w:val="50"/>
        </w:rPr>
        <w:t> </w:t>
      </w:r>
      <w:r w:rsidR="00821430">
        <w:t>%) and books/magazines/e-learning material (39</w:t>
      </w:r>
      <w:r w:rsidR="004456F1" w:rsidRPr="004456F1">
        <w:rPr>
          <w:w w:val="50"/>
        </w:rPr>
        <w:t> </w:t>
      </w:r>
      <w:r w:rsidR="00821430">
        <w:t xml:space="preserve">%). Interestingly, online purchases of computer software and films/music </w:t>
      </w:r>
      <w:r w:rsidR="003E1DCB">
        <w:t xml:space="preserve">on tangible </w:t>
      </w:r>
      <w:r w:rsidR="003E1DCB" w:rsidRPr="004456F1">
        <w:t>medium</w:t>
      </w:r>
      <w:r w:rsidR="00C516E1">
        <w:t>s</w:t>
      </w:r>
      <w:r w:rsidR="003E1DCB">
        <w:t xml:space="preserve"> </w:t>
      </w:r>
      <w:r w:rsidR="00821430">
        <w:t>have been decreasing since 2010, perhaps reflecting the fact that these products are increasingly bought, downloaded and/or streamed in digital form.</w:t>
      </w:r>
    </w:p>
    <w:p w:rsidR="008835F0" w:rsidRDefault="008835F0" w:rsidP="008835F0">
      <w:pPr>
        <w:pStyle w:val="Caption"/>
        <w:rPr>
          <w:rFonts w:eastAsia="Arial Unicode MS"/>
          <w:i/>
        </w:rPr>
      </w:pPr>
      <w:r>
        <w:t xml:space="preserve">Figure </w:t>
      </w:r>
      <w:r w:rsidR="005269EB">
        <w:rPr>
          <w:noProof/>
        </w:rPr>
        <w:t>12</w:t>
      </w:r>
      <w:r w:rsidRPr="006E2A2E">
        <w:t xml:space="preserve">: Most frequent online purchases, EU28, 2014 (% of </w:t>
      </w:r>
      <w:r w:rsidR="00074EA0">
        <w:t>online shoppers</w:t>
      </w:r>
      <w:r w:rsidRPr="006E2A2E">
        <w:t>)</w:t>
      </w:r>
      <w:r w:rsidR="00461551">
        <w:t xml:space="preserve">  </w:t>
      </w:r>
    </w:p>
    <w:p w:rsidR="00821430" w:rsidRPr="006956C6" w:rsidRDefault="008B418B" w:rsidP="006956C6">
      <w:pPr>
        <w:pStyle w:val="Text1"/>
        <w:keepNext/>
        <w:spacing w:before="0" w:after="0"/>
        <w:ind w:left="0"/>
        <w:rPr>
          <w:noProof/>
          <w:lang w:eastAsia="en-GB"/>
        </w:rPr>
      </w:pPr>
      <w:r>
        <w:rPr>
          <w:noProof/>
          <w:lang w:eastAsia="en-GB"/>
        </w:rPr>
        <w:drawing>
          <wp:inline distT="0" distB="0" distL="0" distR="0" wp14:anchorId="60C32543" wp14:editId="3979528F">
            <wp:extent cx="57531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rsidR="00C51436" w:rsidRPr="002D4392" w:rsidRDefault="00C51436" w:rsidP="004967CC">
      <w:pPr>
        <w:pStyle w:val="Text1"/>
        <w:spacing w:before="0" w:after="0"/>
        <w:ind w:left="0"/>
        <w:rPr>
          <w:i/>
          <w:sz w:val="20"/>
          <w:szCs w:val="20"/>
        </w:rPr>
      </w:pPr>
      <w:r w:rsidRPr="002D4392">
        <w:rPr>
          <w:i/>
          <w:sz w:val="20"/>
          <w:szCs w:val="20"/>
        </w:rPr>
        <w:t>Source: Eurostat Community Survey on ICT usage in households and by individuals</w:t>
      </w:r>
      <w:r w:rsidR="004967CC">
        <w:rPr>
          <w:i/>
          <w:sz w:val="20"/>
          <w:szCs w:val="20"/>
        </w:rPr>
        <w:t xml:space="preserve">: </w:t>
      </w:r>
      <w:r w:rsidR="004967CC" w:rsidRPr="002D4392">
        <w:rPr>
          <w:i/>
          <w:sz w:val="20"/>
          <w:szCs w:val="20"/>
        </w:rPr>
        <w:t xml:space="preserve">What types of goods or services did you buy or order over the Internet for private use in the last 12 months? </w:t>
      </w:r>
      <w:r w:rsidRPr="002D4392">
        <w:rPr>
          <w:i/>
          <w:sz w:val="20"/>
          <w:szCs w:val="20"/>
        </w:rPr>
        <w:t>(isoc_ec_ibuy)</w:t>
      </w:r>
    </w:p>
    <w:p w:rsidR="005802C6" w:rsidRDefault="00821430">
      <w:pPr>
        <w:spacing w:after="0"/>
      </w:pPr>
      <w:r>
        <w:t>Indeed, purchases of digital content are becoming increasingly popular. Almost a third (</w:t>
      </w:r>
      <w:r w:rsidR="00D23CA6">
        <w:t>32</w:t>
      </w:r>
      <w:r w:rsidR="004456F1" w:rsidRPr="004456F1">
        <w:rPr>
          <w:w w:val="50"/>
        </w:rPr>
        <w:t> </w:t>
      </w:r>
      <w:r>
        <w:t xml:space="preserve">%) of </w:t>
      </w:r>
      <w:r w:rsidRPr="002467AB">
        <w:t>online shoppers</w:t>
      </w:r>
      <w:r>
        <w:t xml:space="preserve"> across the EU bought entertainment and educational material (‘films/books/magazines/e-learning material or computer software, delivered or upgraded online’) in 2014, which is an increase of </w:t>
      </w:r>
      <w:r w:rsidR="00074EA0">
        <w:t>6</w:t>
      </w:r>
      <w:r w:rsidR="00D23CA6">
        <w:t xml:space="preserve"> </w:t>
      </w:r>
      <w:r>
        <w:t>percentage points since 2011.</w:t>
      </w:r>
      <w:r>
        <w:rPr>
          <w:rStyle w:val="FootnoteReference"/>
        </w:rPr>
        <w:footnoteReference w:id="27"/>
      </w:r>
      <w:r>
        <w:t xml:space="preserve"> The dynamic growth of the digital content industry is also confirmed by the industry data. The</w:t>
      </w:r>
      <w:r w:rsidR="00C516E1">
        <w:t xml:space="preserve"> value of the</w:t>
      </w:r>
      <w:r>
        <w:t xml:space="preserve"> European video games sector is estimated at </w:t>
      </w:r>
      <w:r w:rsidR="005802C6">
        <w:t xml:space="preserve">more than </w:t>
      </w:r>
      <w:r>
        <w:t>€</w:t>
      </w:r>
      <w:r w:rsidR="004456F1" w:rsidRPr="004456F1">
        <w:rPr>
          <w:w w:val="50"/>
        </w:rPr>
        <w:t> </w:t>
      </w:r>
      <w:r w:rsidR="005802C6">
        <w:t xml:space="preserve">20 </w:t>
      </w:r>
      <w:r>
        <w:t xml:space="preserve">billion in </w:t>
      </w:r>
      <w:r w:rsidR="005802C6">
        <w:t xml:space="preserve">2015 </w:t>
      </w:r>
      <w:r>
        <w:t xml:space="preserve">(out of a global market of </w:t>
      </w:r>
      <w:r w:rsidR="005802C6">
        <w:t>€</w:t>
      </w:r>
      <w:r w:rsidR="004456F1" w:rsidRPr="004456F1">
        <w:rPr>
          <w:w w:val="50"/>
        </w:rPr>
        <w:t> </w:t>
      </w:r>
      <w:r w:rsidR="005802C6">
        <w:t xml:space="preserve">68 </w:t>
      </w:r>
      <w:r>
        <w:t>billion)</w:t>
      </w:r>
      <w:r>
        <w:rPr>
          <w:rStyle w:val="FootnoteReference"/>
        </w:rPr>
        <w:footnoteReference w:id="28"/>
      </w:r>
      <w:r>
        <w:t>. In the music industry, digital revenues now represent 31</w:t>
      </w:r>
      <w:r w:rsidR="004456F1" w:rsidRPr="004456F1">
        <w:rPr>
          <w:w w:val="50"/>
        </w:rPr>
        <w:t> </w:t>
      </w:r>
      <w:r>
        <w:t>% of total revenue in the EU, growing almost twice as fast as in the US and almost three times as fast as the global average.</w:t>
      </w:r>
      <w:r>
        <w:rPr>
          <w:rStyle w:val="FootnoteReference"/>
        </w:rPr>
        <w:footnoteReference w:id="29"/>
      </w:r>
      <w:r>
        <w:t xml:space="preserve"> </w:t>
      </w:r>
    </w:p>
    <w:p w:rsidR="007A6A84" w:rsidRDefault="00821430">
      <w:r>
        <w:t xml:space="preserve">As for the use of online services </w:t>
      </w:r>
      <w:r w:rsidR="004456F1">
        <w:t>—</w:t>
      </w:r>
      <w:r>
        <w:t xml:space="preserve"> whether paid </w:t>
      </w:r>
      <w:r w:rsidR="00B87EC1">
        <w:t xml:space="preserve">or </w:t>
      </w:r>
      <w:r>
        <w:t xml:space="preserve">free </w:t>
      </w:r>
      <w:r w:rsidR="004456F1">
        <w:t>—</w:t>
      </w:r>
      <w:r>
        <w:t xml:space="preserve"> the vast majority of </w:t>
      </w:r>
      <w:r w:rsidR="00C9487D">
        <w:t>I</w:t>
      </w:r>
      <w:r w:rsidR="00074EA0">
        <w:t xml:space="preserve">nternet users </w:t>
      </w:r>
      <w:r>
        <w:t>(87</w:t>
      </w:r>
      <w:r w:rsidR="004456F1" w:rsidRPr="004456F1">
        <w:rPr>
          <w:w w:val="50"/>
        </w:rPr>
        <w:t> </w:t>
      </w:r>
      <w:r>
        <w:t xml:space="preserve">%) </w:t>
      </w:r>
      <w:r w:rsidR="00EB208E">
        <w:t>using the</w:t>
      </w:r>
      <w:r w:rsidRPr="004456F1">
        <w:t xml:space="preserve"> </w:t>
      </w:r>
      <w:r w:rsidR="00EB208E">
        <w:t>I</w:t>
      </w:r>
      <w:r>
        <w:t xml:space="preserve">have used email communication. Six out of ten </w:t>
      </w:r>
      <w:r w:rsidR="00C9487D">
        <w:t>I</w:t>
      </w:r>
      <w:r w:rsidR="00074EA0">
        <w:t xml:space="preserve">nternet users </w:t>
      </w:r>
      <w:r>
        <w:t>participated in social networks (58</w:t>
      </w:r>
      <w:r w:rsidR="004456F1" w:rsidRPr="004456F1">
        <w:rPr>
          <w:w w:val="50"/>
        </w:rPr>
        <w:t> </w:t>
      </w:r>
      <w:r>
        <w:t xml:space="preserve">%) and used </w:t>
      </w:r>
      <w:r w:rsidR="001C101D">
        <w:t>online</w:t>
      </w:r>
      <w:r w:rsidR="001C101D" w:rsidRPr="004456F1">
        <w:t xml:space="preserve"> </w:t>
      </w:r>
      <w:r>
        <w:t>banking (57</w:t>
      </w:r>
      <w:r w:rsidR="004456F1" w:rsidRPr="004456F1">
        <w:rPr>
          <w:w w:val="50"/>
        </w:rPr>
        <w:t> </w:t>
      </w:r>
      <w:r w:rsidRPr="004456F1">
        <w:t>%)</w:t>
      </w:r>
      <w:r w:rsidR="00EB208E">
        <w:t>,</w:t>
      </w:r>
      <w:r>
        <w:t xml:space="preserve"> while at least a third made telephone or video calls (37</w:t>
      </w:r>
      <w:r w:rsidR="004456F1" w:rsidRPr="004456F1">
        <w:rPr>
          <w:w w:val="50"/>
        </w:rPr>
        <w:t> </w:t>
      </w:r>
      <w:r>
        <w:t xml:space="preserve">%) and uploaded self-created content to </w:t>
      </w:r>
      <w:r w:rsidR="00EB208E">
        <w:t>a</w:t>
      </w:r>
      <w:r w:rsidR="00EB208E" w:rsidRPr="004456F1">
        <w:t xml:space="preserve"> </w:t>
      </w:r>
      <w:r>
        <w:t>website (33</w:t>
      </w:r>
      <w:r w:rsidR="004456F1" w:rsidRPr="004456F1">
        <w:rPr>
          <w:w w:val="50"/>
        </w:rPr>
        <w:t> </w:t>
      </w:r>
      <w:r>
        <w:t>%). Finally, slightly over a quarter</w:t>
      </w:r>
      <w:r w:rsidR="008341AD">
        <w:t xml:space="preserve"> (27</w:t>
      </w:r>
      <w:r w:rsidR="004456F1" w:rsidRPr="004456F1">
        <w:rPr>
          <w:w w:val="50"/>
        </w:rPr>
        <w:t> </w:t>
      </w:r>
      <w:r w:rsidR="008341AD">
        <w:t>%)</w:t>
      </w:r>
      <w:r>
        <w:t xml:space="preserve"> have used internet storage space to save documents, pictures, music, videos or other files, out of which around one in ten (11%) paid for these cloud services. The use of most of these online services (with the exception of email communication, which has remained relatively stable) has been increasing in recent years, with the most notable increase (of 10 percentage points since 2010) in the case of telephoning or video</w:t>
      </w:r>
      <w:r w:rsidR="007A6A84">
        <w:t xml:space="preserve"> calls over </w:t>
      </w:r>
      <w:r w:rsidR="00EB208E">
        <w:t>the</w:t>
      </w:r>
      <w:r w:rsidR="007A6A84" w:rsidRPr="004456F1">
        <w:t xml:space="preserve"> </w:t>
      </w:r>
      <w:r w:rsidR="00EB208E">
        <w:t>I</w:t>
      </w:r>
      <w:r w:rsidR="007A6A84">
        <w:t>nternet.</w:t>
      </w:r>
    </w:p>
    <w:p w:rsidR="00821430" w:rsidRDefault="008835F0" w:rsidP="008835F0">
      <w:pPr>
        <w:pStyle w:val="Caption"/>
      </w:pPr>
      <w:r>
        <w:t xml:space="preserve">Figure </w:t>
      </w:r>
      <w:r w:rsidR="005269EB">
        <w:rPr>
          <w:noProof/>
        </w:rPr>
        <w:t>13</w:t>
      </w:r>
      <w:r w:rsidRPr="00930581">
        <w:t xml:space="preserve">: Use of selected online services, EU28, 2014 (% of </w:t>
      </w:r>
      <w:r w:rsidR="00994F8D">
        <w:t>I</w:t>
      </w:r>
      <w:r w:rsidR="001F2F11">
        <w:t>nternet users</w:t>
      </w:r>
      <w:r w:rsidRPr="00930581">
        <w:t>)</w:t>
      </w:r>
    </w:p>
    <w:p w:rsidR="00821430" w:rsidRDefault="008B418B" w:rsidP="006956C6">
      <w:pPr>
        <w:pStyle w:val="Text1"/>
        <w:keepNext/>
        <w:spacing w:before="0" w:after="0"/>
        <w:ind w:left="0"/>
        <w:rPr>
          <w:noProof/>
          <w:lang w:eastAsia="en-GB"/>
        </w:rPr>
      </w:pPr>
      <w:r>
        <w:rPr>
          <w:noProof/>
          <w:lang w:eastAsia="en-GB"/>
        </w:rPr>
        <w:drawing>
          <wp:inline distT="0" distB="0" distL="0" distR="0" wp14:anchorId="7E60FBE8" wp14:editId="69ACE9D1">
            <wp:extent cx="57531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rsidR="00821430" w:rsidRPr="00D05FAB" w:rsidRDefault="00821430" w:rsidP="002D4392">
      <w:pPr>
        <w:pStyle w:val="Text1"/>
        <w:spacing w:before="0" w:after="0"/>
        <w:ind w:left="0"/>
        <w:rPr>
          <w:i/>
          <w:sz w:val="20"/>
          <w:szCs w:val="20"/>
        </w:rPr>
      </w:pPr>
      <w:r w:rsidRPr="002D4392">
        <w:rPr>
          <w:i/>
          <w:sz w:val="20"/>
          <w:szCs w:val="20"/>
        </w:rPr>
        <w:t>Source: Eurostat Community Survey on ICT usage in households and by individuals</w:t>
      </w:r>
      <w:r w:rsidR="004967CC">
        <w:rPr>
          <w:i/>
          <w:sz w:val="20"/>
          <w:szCs w:val="20"/>
        </w:rPr>
        <w:t xml:space="preserve">: </w:t>
      </w:r>
      <w:r w:rsidR="00674F87">
        <w:rPr>
          <w:rFonts w:eastAsia="Arial Unicode MS"/>
          <w:i/>
          <w:sz w:val="20"/>
          <w:szCs w:val="20"/>
        </w:rPr>
        <w:t xml:space="preserve">[Use of the Internet] </w:t>
      </w:r>
      <w:r w:rsidR="00674F87" w:rsidRPr="00C11D3B">
        <w:rPr>
          <w:rFonts w:eastAsia="Arial Unicode MS"/>
          <w:i/>
          <w:sz w:val="20"/>
          <w:szCs w:val="20"/>
        </w:rPr>
        <w:t>For which of the following activities did you use the Internet in the last 3 months for private purpose?</w:t>
      </w:r>
      <w:r w:rsidR="00674F87">
        <w:rPr>
          <w:rFonts w:eastAsia="Arial Unicode MS"/>
          <w:i/>
          <w:sz w:val="20"/>
          <w:szCs w:val="20"/>
        </w:rPr>
        <w:t xml:space="preserve"> [</w:t>
      </w:r>
      <w:r w:rsidR="00674F87" w:rsidRPr="00CD3F38">
        <w:rPr>
          <w:rFonts w:eastAsia="Arial Unicode MS"/>
          <w:i/>
          <w:sz w:val="20"/>
          <w:szCs w:val="20"/>
        </w:rPr>
        <w:t>Use of Cloud Services</w:t>
      </w:r>
      <w:r w:rsidR="00674F87">
        <w:rPr>
          <w:rFonts w:eastAsia="Arial Unicode MS"/>
          <w:i/>
          <w:sz w:val="20"/>
          <w:szCs w:val="20"/>
        </w:rPr>
        <w:t>]</w:t>
      </w:r>
      <w:r w:rsidR="00674F87" w:rsidRPr="00CD3F38">
        <w:rPr>
          <w:rFonts w:eastAsia="Arial Unicode MS"/>
          <w:i/>
          <w:sz w:val="20"/>
          <w:szCs w:val="20"/>
        </w:rPr>
        <w:t xml:space="preserve"> Did you use storage space on the Internet to save documents, pictures, music, video or other files, e.g. Google Drive, Dropbox, Windows Skydrive, iCloud, Amazon Cloud Drive?</w:t>
      </w:r>
      <w:r w:rsidR="00674F87" w:rsidRPr="00D05FAB">
        <w:rPr>
          <w:rFonts w:eastAsia="Arial Unicode MS"/>
          <w:i/>
          <w:sz w:val="20"/>
          <w:szCs w:val="20"/>
        </w:rPr>
        <w:t xml:space="preserve"> </w:t>
      </w:r>
      <w:r w:rsidRPr="002D4392">
        <w:rPr>
          <w:i/>
          <w:sz w:val="20"/>
          <w:szCs w:val="20"/>
        </w:rPr>
        <w:t xml:space="preserve"> (</w:t>
      </w:r>
      <w:r w:rsidRPr="00D05FAB">
        <w:rPr>
          <w:i/>
          <w:sz w:val="20"/>
          <w:szCs w:val="20"/>
        </w:rPr>
        <w:t>isoc_bde15cua, isoc_bde15cbc, isoc_cicci_use)</w:t>
      </w:r>
    </w:p>
    <w:p w:rsidR="00821430" w:rsidRDefault="00821430">
      <w:pPr>
        <w:spacing w:after="0"/>
      </w:pPr>
      <w:r>
        <w:t xml:space="preserve">As for socio-demographic differences, men are more likely than women to have bought computer software over the </w:t>
      </w:r>
      <w:r w:rsidR="00EB208E">
        <w:t>I</w:t>
      </w:r>
      <w:r>
        <w:t xml:space="preserve">nternet while the opposite is true for clothes and sports goods. </w:t>
      </w:r>
      <w:r w:rsidR="00EB208E">
        <w:t>P</w:t>
      </w:r>
      <w:r w:rsidRPr="004456F1">
        <w:t>urchases</w:t>
      </w:r>
      <w:r>
        <w:t xml:space="preserve"> of digital content and the use of online services tend to decrease with age for most product categories.</w:t>
      </w:r>
    </w:p>
    <w:p w:rsidR="00B9788B" w:rsidRDefault="008341AD" w:rsidP="00B9788B">
      <w:pPr>
        <w:spacing w:after="0"/>
      </w:pPr>
      <w:r>
        <w:t>Regarding</w:t>
      </w:r>
      <w:r w:rsidR="00821430">
        <w:t xml:space="preserve"> the frequency of different online purchases, in a recent survey of online consumers</w:t>
      </w:r>
      <w:r w:rsidR="00821430">
        <w:rPr>
          <w:rStyle w:val="FootnoteReference"/>
        </w:rPr>
        <w:footnoteReference w:id="30"/>
      </w:r>
      <w:r w:rsidR="00821430">
        <w:t>, clothing, shoes and accessories accounted for a fifth (21</w:t>
      </w:r>
      <w:r w:rsidR="004456F1" w:rsidRPr="004456F1">
        <w:rPr>
          <w:w w:val="50"/>
        </w:rPr>
        <w:t> </w:t>
      </w:r>
      <w:r w:rsidR="00821430">
        <w:t>%) of the most recent online purchases, followed by electronics and computer hardware (13</w:t>
      </w:r>
      <w:r w:rsidR="004456F1" w:rsidRPr="004456F1">
        <w:rPr>
          <w:w w:val="50"/>
        </w:rPr>
        <w:t> </w:t>
      </w:r>
      <w:r w:rsidR="00821430">
        <w:t>%), books (11</w:t>
      </w:r>
      <w:r w:rsidR="004456F1" w:rsidRPr="004456F1">
        <w:rPr>
          <w:w w:val="50"/>
        </w:rPr>
        <w:t> </w:t>
      </w:r>
      <w:r w:rsidR="00821430">
        <w:t>%), travel services (9</w:t>
      </w:r>
      <w:r w:rsidR="004456F1" w:rsidRPr="004456F1">
        <w:rPr>
          <w:w w:val="50"/>
        </w:rPr>
        <w:t> </w:t>
      </w:r>
      <w:r w:rsidR="00821430">
        <w:t>%), cosmetics and healthcare products (8</w:t>
      </w:r>
      <w:r w:rsidR="004456F1" w:rsidRPr="004456F1">
        <w:rPr>
          <w:w w:val="50"/>
        </w:rPr>
        <w:t> </w:t>
      </w:r>
      <w:r w:rsidR="00821430" w:rsidRPr="004456F1">
        <w:t>%)</w:t>
      </w:r>
      <w:r w:rsidR="00EB208E">
        <w:t>,</w:t>
      </w:r>
      <w:r w:rsidR="00821430">
        <w:t xml:space="preserve"> and electrical household appliances (7</w:t>
      </w:r>
      <w:r w:rsidR="004456F1" w:rsidRPr="004456F1">
        <w:rPr>
          <w:w w:val="50"/>
        </w:rPr>
        <w:t> </w:t>
      </w:r>
      <w:r w:rsidR="00821430">
        <w:t>%).</w:t>
      </w:r>
    </w:p>
    <w:p w:rsidR="00894D9B" w:rsidRDefault="00894D9B" w:rsidP="0055096C">
      <w:pPr>
        <w:pStyle w:val="Heading3"/>
      </w:pPr>
      <w:r>
        <w:t xml:space="preserve">1.4 </w:t>
      </w:r>
      <w:r>
        <w:tab/>
        <w:t>Volume of business-to-consumer e-commerce</w:t>
      </w:r>
    </w:p>
    <w:p w:rsidR="00821430" w:rsidRDefault="00821430">
      <w:pPr>
        <w:spacing w:after="0"/>
      </w:pPr>
      <w:r>
        <w:t xml:space="preserve">The size of the </w:t>
      </w:r>
      <w:r w:rsidR="007635A8">
        <w:t xml:space="preserve">business-to-consumer segment of the </w:t>
      </w:r>
      <w:r>
        <w:t xml:space="preserve">EU </w:t>
      </w:r>
      <w:r w:rsidR="00EB208E">
        <w:t>D</w:t>
      </w:r>
      <w:r>
        <w:t>igital Single Market depends not only on the incidence of online shopping but also on the amounts spent.</w:t>
      </w:r>
    </w:p>
    <w:p w:rsidR="00821430" w:rsidRDefault="00821430">
      <w:pPr>
        <w:spacing w:after="0"/>
        <w:rPr>
          <w:b/>
          <w:i/>
        </w:rPr>
      </w:pPr>
      <w:r>
        <w:rPr>
          <w:b/>
          <w:i/>
        </w:rPr>
        <w:t>Tangible goods account for most of the online spending</w:t>
      </w:r>
    </w:p>
    <w:p w:rsidR="00821430" w:rsidRDefault="00821430">
      <w:pPr>
        <w:spacing w:after="0"/>
      </w:pPr>
      <w:r>
        <w:t>In a recent survey</w:t>
      </w:r>
      <w:r>
        <w:rPr>
          <w:rStyle w:val="FootnoteReference"/>
        </w:rPr>
        <w:footnoteReference w:id="31"/>
      </w:r>
      <w:r>
        <w:t xml:space="preserve"> of online consumers, respondents reported spending on average approximately €</w:t>
      </w:r>
      <w:r w:rsidR="004456F1" w:rsidRPr="004456F1">
        <w:rPr>
          <w:w w:val="50"/>
        </w:rPr>
        <w:t> </w:t>
      </w:r>
      <w:r>
        <w:t>100 on their latest online purchase.</w:t>
      </w:r>
    </w:p>
    <w:p w:rsidR="00821430" w:rsidRDefault="00B0569C">
      <w:pPr>
        <w:spacing w:after="0"/>
      </w:pPr>
      <w:r>
        <w:t>As regards</w:t>
      </w:r>
      <w:r w:rsidR="00821430">
        <w:t xml:space="preserve"> online purchases over the past year, the reported average amount spent on tangible goods and offline services</w:t>
      </w:r>
      <w:r w:rsidR="00821430">
        <w:rPr>
          <w:rStyle w:val="FootnoteReference"/>
        </w:rPr>
        <w:footnoteReference w:id="32"/>
      </w:r>
      <w:r w:rsidR="00821430">
        <w:t xml:space="preserve"> was €</w:t>
      </w:r>
      <w:r w:rsidR="004456F1" w:rsidRPr="004456F1">
        <w:rPr>
          <w:w w:val="50"/>
        </w:rPr>
        <w:t> </w:t>
      </w:r>
      <w:r w:rsidR="00821430">
        <w:t>760. The amounts spent on online services and digital content were much lower (€</w:t>
      </w:r>
      <w:r w:rsidR="004456F1" w:rsidRPr="004456F1">
        <w:rPr>
          <w:w w:val="50"/>
        </w:rPr>
        <w:t> </w:t>
      </w:r>
      <w:r w:rsidR="00821430">
        <w:t>94 and €</w:t>
      </w:r>
      <w:r w:rsidR="004456F1" w:rsidRPr="004456F1">
        <w:rPr>
          <w:w w:val="50"/>
        </w:rPr>
        <w:t> </w:t>
      </w:r>
      <w:r w:rsidR="00821430">
        <w:t>107, respectively</w:t>
      </w:r>
      <w:r w:rsidR="00A362E1">
        <w:t>,</w:t>
      </w:r>
      <w:r w:rsidR="002F030E">
        <w:t xml:space="preserve"> among those who purchased these products</w:t>
      </w:r>
      <w:r w:rsidR="00821430">
        <w:t xml:space="preserve">), reflecting both the </w:t>
      </w:r>
      <w:r w:rsidRPr="004456F1">
        <w:t>l</w:t>
      </w:r>
      <w:r>
        <w:t>ess</w:t>
      </w:r>
      <w:r w:rsidRPr="004456F1">
        <w:t>er</w:t>
      </w:r>
      <w:r w:rsidR="00821430">
        <w:t xml:space="preserve"> market penetration of these product categories and the fact that a considerable proportion of them is currently being provided for free.</w:t>
      </w:r>
    </w:p>
    <w:p w:rsidR="00DB36F0" w:rsidRDefault="00DB36F0" w:rsidP="00DB36F0">
      <w:pPr>
        <w:pStyle w:val="Caption"/>
      </w:pPr>
      <w:r>
        <w:t xml:space="preserve">Figure </w:t>
      </w:r>
      <w:r w:rsidR="005269EB">
        <w:rPr>
          <w:noProof/>
        </w:rPr>
        <w:t>14</w:t>
      </w:r>
      <w:r w:rsidRPr="00BC041B">
        <w:t xml:space="preserve">: </w:t>
      </w:r>
      <w:r w:rsidR="00736094">
        <w:t xml:space="preserve">Average </w:t>
      </w:r>
      <w:r w:rsidRPr="00BC041B">
        <w:t>spending on online purchases of different product categories</w:t>
      </w:r>
      <w:r w:rsidR="00736094">
        <w:t xml:space="preserve"> over the last 12 months</w:t>
      </w:r>
      <w:r w:rsidRPr="00BC041B">
        <w:t>, EU</w:t>
      </w:r>
      <w:r w:rsidR="00736094">
        <w:t>-</w:t>
      </w:r>
      <w:r w:rsidRPr="00BC041B">
        <w:t>28, 2015</w:t>
      </w:r>
      <w:r w:rsidR="00736094">
        <w:t xml:space="preserve"> (€)</w:t>
      </w:r>
    </w:p>
    <w:p w:rsidR="00821430" w:rsidRDefault="008B418B" w:rsidP="006956C6">
      <w:pPr>
        <w:pStyle w:val="Text1"/>
        <w:keepNext/>
        <w:spacing w:before="0" w:after="0"/>
        <w:ind w:left="0"/>
        <w:rPr>
          <w:noProof/>
          <w:lang w:eastAsia="en-GB"/>
        </w:rPr>
      </w:pPr>
      <w:r>
        <w:rPr>
          <w:noProof/>
          <w:lang w:eastAsia="en-GB"/>
        </w:rPr>
        <w:drawing>
          <wp:inline distT="0" distB="0" distL="0" distR="0" wp14:anchorId="2992DE67" wp14:editId="026AE957">
            <wp:extent cx="57531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821430" w:rsidRDefault="00821430" w:rsidP="002D4392">
      <w:pPr>
        <w:pStyle w:val="Text1"/>
        <w:spacing w:before="0" w:after="0"/>
        <w:ind w:left="0"/>
        <w:rPr>
          <w:i/>
          <w:sz w:val="20"/>
          <w:szCs w:val="20"/>
        </w:rPr>
      </w:pPr>
      <w:r>
        <w:rPr>
          <w:i/>
          <w:sz w:val="20"/>
          <w:szCs w:val="20"/>
        </w:rPr>
        <w:t>Source: 2015 DSM consumer survey: How much money have you spent IN TOTAL on online purchases of tangible goods or services (ordered online but used offline) over the last 12 months? (EU28 N=21</w:t>
      </w:r>
      <w:r w:rsidR="004456F1" w:rsidRPr="002D4392">
        <w:rPr>
          <w:i/>
          <w:sz w:val="20"/>
          <w:szCs w:val="20"/>
        </w:rPr>
        <w:t> </w:t>
      </w:r>
      <w:r>
        <w:rPr>
          <w:i/>
          <w:sz w:val="20"/>
          <w:szCs w:val="20"/>
        </w:rPr>
        <w:t>330), How much money have you spent IN TOTAL on paid online services over the last 12 months? (EU28 N=4</w:t>
      </w:r>
      <w:r w:rsidR="004456F1" w:rsidRPr="002D4392">
        <w:rPr>
          <w:i/>
          <w:sz w:val="20"/>
          <w:szCs w:val="20"/>
        </w:rPr>
        <w:t> </w:t>
      </w:r>
      <w:r>
        <w:rPr>
          <w:i/>
          <w:sz w:val="20"/>
          <w:szCs w:val="20"/>
        </w:rPr>
        <w:t>437), How much money have you spent IN TOTAL on online purchases of digital content over the last 12 months? (EU28 N=9</w:t>
      </w:r>
      <w:r w:rsidR="004456F1" w:rsidRPr="002D4392">
        <w:rPr>
          <w:i/>
          <w:sz w:val="20"/>
          <w:szCs w:val="20"/>
        </w:rPr>
        <w:t> </w:t>
      </w:r>
      <w:r>
        <w:rPr>
          <w:i/>
          <w:sz w:val="20"/>
          <w:szCs w:val="20"/>
        </w:rPr>
        <w:t>357)</w:t>
      </w:r>
    </w:p>
    <w:p w:rsidR="00821430" w:rsidRDefault="00821430">
      <w:pPr>
        <w:spacing w:after="0"/>
      </w:pPr>
      <w:r>
        <w:t>For all three product categories, men, respondents with a higher</w:t>
      </w:r>
      <w:r w:rsidR="00A362E1">
        <w:t xml:space="preserve"> level of</w:t>
      </w:r>
      <w:r>
        <w:t xml:space="preserve"> education, those who find it easy to make ends meet, those living in a metropolitan area, those who regularly travel to another country as well as respondents in the 35-54 age group report spending the most on their online purchases. The results of a regression analysis</w:t>
      </w:r>
      <w:r>
        <w:rPr>
          <w:rStyle w:val="FootnoteReference"/>
        </w:rPr>
        <w:footnoteReference w:id="33"/>
      </w:r>
      <w:r>
        <w:t xml:space="preserve"> confirm that the volume of online purchases is positively correlated with the level of education (but less so for digital</w:t>
      </w:r>
      <w:r w:rsidR="00A55E90">
        <w:t xml:space="preserve"> content), age and male gender.</w:t>
      </w:r>
    </w:p>
    <w:p w:rsidR="00821430" w:rsidRDefault="00821430">
      <w:pPr>
        <w:rPr>
          <w:b/>
          <w:i/>
        </w:rPr>
      </w:pPr>
      <w:r>
        <w:rPr>
          <w:b/>
          <w:i/>
        </w:rPr>
        <w:t>Distance and common cultural traits are important factors in cross-border online purchases of tangible products</w:t>
      </w:r>
    </w:p>
    <w:p w:rsidR="00821430" w:rsidRPr="00A55E90" w:rsidRDefault="008477E8">
      <w:pPr>
        <w:spacing w:after="0"/>
      </w:pPr>
      <w:r>
        <w:t>I</w:t>
      </w:r>
      <w:r w:rsidR="00821430">
        <w:t xml:space="preserve">n the case of tangible goods or offline services, the average spending </w:t>
      </w:r>
      <w:r w:rsidR="00A55E90">
        <w:t>domestically (€</w:t>
      </w:r>
      <w:r w:rsidR="004456F1" w:rsidRPr="004456F1">
        <w:rPr>
          <w:w w:val="50"/>
        </w:rPr>
        <w:t> </w:t>
      </w:r>
      <w:r w:rsidR="00A55E90">
        <w:t xml:space="preserve">589) </w:t>
      </w:r>
      <w:r w:rsidR="00340808">
        <w:t>i</w:t>
      </w:r>
      <w:r w:rsidR="00821430">
        <w:t xml:space="preserve">s </w:t>
      </w:r>
      <w:r>
        <w:t>more than</w:t>
      </w:r>
      <w:r w:rsidRPr="008477E8">
        <w:rPr>
          <w:rFonts w:ascii="TimesNewRomanPSMT" w:hAnsi="TimesNewRomanPSMT" w:cs="TimesNewRomanPSMT"/>
        </w:rPr>
        <w:t xml:space="preserve"> </w:t>
      </w:r>
      <w:r w:rsidR="00B30D9D">
        <w:rPr>
          <w:rFonts w:ascii="TimesNewRomanPSMT" w:hAnsi="TimesNewRomanPSMT" w:cs="TimesNewRomanPSMT"/>
        </w:rPr>
        <w:t>double the</w:t>
      </w:r>
      <w:r w:rsidR="00821430">
        <w:t xml:space="preserve"> cross-border </w:t>
      </w:r>
      <w:r w:rsidR="00B30D9D">
        <w:t>figure</w:t>
      </w:r>
      <w:r w:rsidR="00821430" w:rsidRPr="004456F1">
        <w:t xml:space="preserve"> </w:t>
      </w:r>
      <w:r w:rsidR="00821430">
        <w:t>in the EU (€</w:t>
      </w:r>
      <w:r w:rsidR="004456F1" w:rsidRPr="004456F1">
        <w:rPr>
          <w:w w:val="50"/>
        </w:rPr>
        <w:t> </w:t>
      </w:r>
      <w:r w:rsidR="00821430">
        <w:t xml:space="preserve">244) </w:t>
      </w:r>
      <w:r>
        <w:t xml:space="preserve">and almost </w:t>
      </w:r>
      <w:r w:rsidR="00A55E90">
        <w:t xml:space="preserve">four </w:t>
      </w:r>
      <w:r w:rsidR="00B30D9D">
        <w:t>times</w:t>
      </w:r>
      <w:r w:rsidR="00A55E90" w:rsidRPr="004456F1">
        <w:t xml:space="preserve"> </w:t>
      </w:r>
      <w:r w:rsidR="00A55E90">
        <w:t>higher than</w:t>
      </w:r>
      <w:r>
        <w:t xml:space="preserve"> </w:t>
      </w:r>
      <w:r w:rsidR="00821430">
        <w:t>outside the EU (€</w:t>
      </w:r>
      <w:r w:rsidR="004456F1" w:rsidRPr="004456F1">
        <w:rPr>
          <w:w w:val="50"/>
        </w:rPr>
        <w:t> </w:t>
      </w:r>
      <w:r w:rsidR="00821430">
        <w:t>150)</w:t>
      </w:r>
      <w:r w:rsidR="00505475">
        <w:rPr>
          <w:rStyle w:val="FootnoteReference"/>
        </w:rPr>
        <w:footnoteReference w:id="34"/>
      </w:r>
      <w:r w:rsidR="00A55E90">
        <w:t>. The differences between domestic and cross-border spending are less pronounced in the case of</w:t>
      </w:r>
      <w:r w:rsidR="00821430">
        <w:t xml:space="preserve"> digital content (€</w:t>
      </w:r>
      <w:r w:rsidR="004456F1" w:rsidRPr="004456F1">
        <w:rPr>
          <w:w w:val="50"/>
        </w:rPr>
        <w:t> </w:t>
      </w:r>
      <w:r w:rsidR="00340808">
        <w:t>79</w:t>
      </w:r>
      <w:r w:rsidR="00821430">
        <w:t xml:space="preserve"> domestically vs €</w:t>
      </w:r>
      <w:r w:rsidR="004456F1" w:rsidRPr="004456F1">
        <w:rPr>
          <w:w w:val="50"/>
        </w:rPr>
        <w:t> </w:t>
      </w:r>
      <w:r w:rsidR="00821430">
        <w:t>48 elsewhere in the EU and €</w:t>
      </w:r>
      <w:r w:rsidR="004456F1" w:rsidRPr="004456F1">
        <w:rPr>
          <w:w w:val="50"/>
        </w:rPr>
        <w:t> </w:t>
      </w:r>
      <w:r w:rsidR="00821430">
        <w:t>36 outside the EU).</w:t>
      </w:r>
      <w:r w:rsidR="00821430">
        <w:rPr>
          <w:rStyle w:val="FootnoteReference"/>
        </w:rPr>
        <w:footnoteReference w:id="35"/>
      </w:r>
      <w:r w:rsidR="00821430">
        <w:t xml:space="preserve"> The results of a regression analysis</w:t>
      </w:r>
      <w:r w:rsidR="00821430">
        <w:rPr>
          <w:rStyle w:val="FootnoteReference"/>
        </w:rPr>
        <w:footnoteReference w:id="36"/>
      </w:r>
      <w:r w:rsidR="00821430">
        <w:t xml:space="preserve"> confirm that when it comes to cross-border purchasing</w:t>
      </w:r>
      <w:r w:rsidR="00B30D9D">
        <w:t>,</w:t>
      </w:r>
      <w:r w:rsidR="00821430">
        <w:t xml:space="preserve"> the distance factor</w:t>
      </w:r>
      <w:r w:rsidR="00821430">
        <w:rPr>
          <w:rStyle w:val="FootnoteReference"/>
        </w:rPr>
        <w:footnoteReference w:id="37"/>
      </w:r>
      <w:r w:rsidR="00821430">
        <w:t xml:space="preserve"> negatively affects bilateral trade between two countries, but it appears to matter much less </w:t>
      </w:r>
      <w:r w:rsidR="00B30D9D" w:rsidRPr="004456F1">
        <w:t>whe</w:t>
      </w:r>
      <w:r w:rsidR="00B30D9D">
        <w:t>re</w:t>
      </w:r>
      <w:r w:rsidR="00B30D9D" w:rsidRPr="004456F1">
        <w:t xml:space="preserve"> </w:t>
      </w:r>
      <w:r w:rsidR="00821430">
        <w:t>digital content is concerned</w:t>
      </w:r>
      <w:r w:rsidR="00821430">
        <w:rPr>
          <w:rStyle w:val="FootnoteReference"/>
        </w:rPr>
        <w:footnoteReference w:id="38"/>
      </w:r>
      <w:r w:rsidR="00821430">
        <w:t>. Moreover, whereas common cultural traits (shared border and shared language) have a strong positive effect on the bilateral trade flow, they equally appear to matter less for digital co</w:t>
      </w:r>
      <w:r w:rsidR="00A55E90">
        <w:t>ntent than for tangible goods.</w:t>
      </w:r>
    </w:p>
    <w:p w:rsidR="00821430" w:rsidRDefault="00821430">
      <w:pPr>
        <w:spacing w:after="0"/>
        <w:rPr>
          <w:b/>
          <w:i/>
        </w:rPr>
      </w:pPr>
      <w:r>
        <w:rPr>
          <w:b/>
          <w:i/>
        </w:rPr>
        <w:t>EU13 consumers spend relatively more on online purchases from other EU countries</w:t>
      </w:r>
    </w:p>
    <w:p w:rsidR="00821430" w:rsidRDefault="00821430">
      <w:pPr>
        <w:spacing w:after="0"/>
      </w:pPr>
      <w:r>
        <w:t>Interestingly, while EU13 consumers appear to spend less on online purchases (in particular of tangible goods) when compared to EU15 consumers (€</w:t>
      </w:r>
      <w:r w:rsidR="004456F1" w:rsidRPr="004456F1">
        <w:rPr>
          <w:w w:val="50"/>
        </w:rPr>
        <w:t> </w:t>
      </w:r>
      <w:r>
        <w:t>575 vs €</w:t>
      </w:r>
      <w:r w:rsidR="004456F1" w:rsidRPr="004456F1">
        <w:rPr>
          <w:w w:val="50"/>
        </w:rPr>
        <w:t> </w:t>
      </w:r>
      <w:r>
        <w:t>803), they tend to profit more from the potential of the Digital Single Market by spending more, in relative terms, on purchases from other EU countries (€</w:t>
      </w:r>
      <w:r w:rsidR="004456F1" w:rsidRPr="004456F1">
        <w:rPr>
          <w:w w:val="50"/>
        </w:rPr>
        <w:t> </w:t>
      </w:r>
      <w:r>
        <w:t>230 vs €</w:t>
      </w:r>
      <w:r w:rsidR="004456F1" w:rsidRPr="004456F1">
        <w:rPr>
          <w:w w:val="50"/>
        </w:rPr>
        <w:t> </w:t>
      </w:r>
      <w:r>
        <w:t>247 by EU15 respondents).</w:t>
      </w:r>
    </w:p>
    <w:p w:rsidR="00821430" w:rsidRDefault="00821430">
      <w:pPr>
        <w:spacing w:after="0"/>
        <w:rPr>
          <w:highlight w:val="yellow"/>
        </w:rPr>
      </w:pPr>
    </w:p>
    <w:p w:rsidR="00DB36F0" w:rsidRDefault="00DB36F0" w:rsidP="00DB36F0">
      <w:pPr>
        <w:pStyle w:val="Caption"/>
      </w:pPr>
      <w:r>
        <w:t xml:space="preserve">Figure </w:t>
      </w:r>
      <w:r w:rsidR="005269EB">
        <w:rPr>
          <w:noProof/>
        </w:rPr>
        <w:t>15</w:t>
      </w:r>
      <w:r w:rsidRPr="00A31BFF">
        <w:t xml:space="preserve">: </w:t>
      </w:r>
      <w:r w:rsidR="00736094">
        <w:t xml:space="preserve">Average </w:t>
      </w:r>
      <w:r w:rsidRPr="00A31BFF">
        <w:t xml:space="preserve">Domestic </w:t>
      </w:r>
      <w:r w:rsidR="00736094">
        <w:t>and</w:t>
      </w:r>
      <w:r w:rsidRPr="00A31BFF">
        <w:t xml:space="preserve"> cross-border spending on online purchases of tangible goods and offline services, </w:t>
      </w:r>
      <w:r w:rsidR="00736094">
        <w:t xml:space="preserve">EU-28, </w:t>
      </w:r>
      <w:r w:rsidRPr="00A31BFF">
        <w:t>2015</w:t>
      </w:r>
      <w:r w:rsidR="00736094">
        <w:t xml:space="preserve"> (€)</w:t>
      </w:r>
    </w:p>
    <w:p w:rsidR="00821430" w:rsidRDefault="008B418B" w:rsidP="005A3C77">
      <w:pPr>
        <w:pStyle w:val="Text1"/>
        <w:keepNext/>
        <w:spacing w:before="0" w:after="0"/>
        <w:ind w:left="0"/>
        <w:rPr>
          <w:noProof/>
          <w:lang w:eastAsia="en-GB"/>
        </w:rPr>
      </w:pPr>
      <w:r>
        <w:rPr>
          <w:noProof/>
          <w:lang w:eastAsia="en-GB"/>
        </w:rPr>
        <w:drawing>
          <wp:inline distT="0" distB="0" distL="0" distR="0" wp14:anchorId="5A8672DD" wp14:editId="72F17455">
            <wp:extent cx="5619750" cy="322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2015 DSM consumer survey: How much money have you spent IN TOTAL on online purchases of tangible goods or services (ordered online but used offline) over the last 12 months? (EU28 N=21</w:t>
      </w:r>
      <w:r w:rsidR="004456F1" w:rsidRPr="002D4392">
        <w:rPr>
          <w:i/>
          <w:sz w:val="20"/>
          <w:szCs w:val="20"/>
        </w:rPr>
        <w:t> </w:t>
      </w:r>
      <w:r w:rsidRPr="002D4392">
        <w:rPr>
          <w:i/>
          <w:sz w:val="20"/>
          <w:szCs w:val="20"/>
        </w:rPr>
        <w:t>330. Of the total amount that you spent online on tangible goods or services (ordered online but used offline) in the past 12 months, how much was spent on purchases from sellers based in another EU country (EU28 N=11</w:t>
      </w:r>
      <w:r w:rsidR="004456F1" w:rsidRPr="002D4392">
        <w:rPr>
          <w:i/>
          <w:sz w:val="20"/>
          <w:szCs w:val="20"/>
        </w:rPr>
        <w:t> </w:t>
      </w:r>
      <w:r w:rsidRPr="002D4392">
        <w:rPr>
          <w:i/>
          <w:sz w:val="20"/>
          <w:szCs w:val="20"/>
        </w:rPr>
        <w:t>803)/outside the EU (EU28 N=6</w:t>
      </w:r>
      <w:r w:rsidR="004456F1" w:rsidRPr="002D4392">
        <w:rPr>
          <w:i/>
          <w:sz w:val="20"/>
          <w:szCs w:val="20"/>
        </w:rPr>
        <w:t> </w:t>
      </w:r>
      <w:r w:rsidRPr="002D4392">
        <w:rPr>
          <w:i/>
          <w:sz w:val="20"/>
          <w:szCs w:val="20"/>
        </w:rPr>
        <w:t>266)?</w:t>
      </w:r>
    </w:p>
    <w:p w:rsidR="00821430" w:rsidRDefault="00821430">
      <w:pPr>
        <w:spacing w:after="0"/>
        <w:rPr>
          <w:b/>
          <w:i/>
        </w:rPr>
      </w:pPr>
      <w:r>
        <w:rPr>
          <w:b/>
          <w:i/>
        </w:rPr>
        <w:t xml:space="preserve">Overall value of EU </w:t>
      </w:r>
      <w:r w:rsidR="00B30D9D">
        <w:rPr>
          <w:b/>
          <w:i/>
        </w:rPr>
        <w:t>b</w:t>
      </w:r>
      <w:r w:rsidR="007635A8">
        <w:rPr>
          <w:b/>
          <w:i/>
        </w:rPr>
        <w:t>usiness-to-</w:t>
      </w:r>
      <w:r w:rsidR="00B30D9D">
        <w:rPr>
          <w:b/>
          <w:i/>
        </w:rPr>
        <w:t>c</w:t>
      </w:r>
      <w:r w:rsidR="007635A8">
        <w:rPr>
          <w:b/>
          <w:i/>
        </w:rPr>
        <w:t xml:space="preserve">onsumer </w:t>
      </w:r>
      <w:r>
        <w:rPr>
          <w:b/>
          <w:i/>
        </w:rPr>
        <w:t>Digital Single Market estimated at almost 2</w:t>
      </w:r>
      <w:r w:rsidR="004456F1" w:rsidRPr="004456F1">
        <w:rPr>
          <w:b/>
          <w:i/>
          <w:w w:val="50"/>
        </w:rPr>
        <w:t> </w:t>
      </w:r>
      <w:r>
        <w:rPr>
          <w:b/>
          <w:i/>
        </w:rPr>
        <w:t>% of GDP</w:t>
      </w:r>
    </w:p>
    <w:p w:rsidR="00821430" w:rsidRDefault="00821430">
      <w:pPr>
        <w:spacing w:after="0"/>
      </w:pPr>
      <w:r>
        <w:t xml:space="preserve">Based on information on market penetration (the share of respondents who bought each of the product categories surveyed) and average spending per product category, the total value of the </w:t>
      </w:r>
      <w:r w:rsidR="007635A8">
        <w:t xml:space="preserve">business-to-consumer segment of the </w:t>
      </w:r>
      <w:r>
        <w:t>Digital Single Market has been estimated at around €</w:t>
      </w:r>
      <w:r w:rsidR="004456F1" w:rsidRPr="004456F1">
        <w:rPr>
          <w:w w:val="50"/>
        </w:rPr>
        <w:t> </w:t>
      </w:r>
      <w:r>
        <w:t>230 billion. Tangible goods and offline services are estimated to represent 9</w:t>
      </w:r>
      <w:r w:rsidR="000B3874">
        <w:t>2</w:t>
      </w:r>
      <w:r w:rsidR="004456F1" w:rsidRPr="004456F1">
        <w:rPr>
          <w:w w:val="50"/>
        </w:rPr>
        <w:t> </w:t>
      </w:r>
      <w:r>
        <w:t>% of this total value, with digital content and paid online services accounting for only 6</w:t>
      </w:r>
      <w:r w:rsidR="004456F1" w:rsidRPr="004456F1">
        <w:rPr>
          <w:w w:val="50"/>
        </w:rPr>
        <w:t> </w:t>
      </w:r>
      <w:r>
        <w:t>% and 2</w:t>
      </w:r>
      <w:r w:rsidR="004456F1" w:rsidRPr="004456F1">
        <w:rPr>
          <w:w w:val="50"/>
        </w:rPr>
        <w:t> </w:t>
      </w:r>
      <w:r>
        <w:t>%, respectively.</w:t>
      </w:r>
    </w:p>
    <w:p w:rsidR="007C4031" w:rsidRDefault="00821430">
      <w:pPr>
        <w:spacing w:after="0"/>
      </w:pPr>
      <w:r>
        <w:t xml:space="preserve">This estimate </w:t>
      </w:r>
      <w:r w:rsidR="004456F1">
        <w:t>—</w:t>
      </w:r>
      <w:r>
        <w:t xml:space="preserve"> corresponding to around 1.8</w:t>
      </w:r>
      <w:r w:rsidR="004456F1" w:rsidRPr="004456F1">
        <w:rPr>
          <w:w w:val="50"/>
        </w:rPr>
        <w:t> </w:t>
      </w:r>
      <w:r>
        <w:t xml:space="preserve">% of European GDP </w:t>
      </w:r>
      <w:r w:rsidR="004456F1">
        <w:t>—</w:t>
      </w:r>
      <w:r>
        <w:t xml:space="preserve"> is within the range of </w:t>
      </w:r>
      <w:r w:rsidR="00B77DD1">
        <w:t xml:space="preserve">other </w:t>
      </w:r>
      <w:r>
        <w:t xml:space="preserve">existing estimates. For instance, according to industry data, </w:t>
      </w:r>
      <w:r w:rsidR="00737F86">
        <w:t xml:space="preserve">the </w:t>
      </w:r>
      <w:r>
        <w:t>European business-to-consumer e-commerce market reach</w:t>
      </w:r>
      <w:r w:rsidR="003F7681">
        <w:t>ed</w:t>
      </w:r>
      <w:r>
        <w:t xml:space="preserve"> total turnover </w:t>
      </w:r>
      <w:r w:rsidR="00850FC4">
        <w:t>in excess</w:t>
      </w:r>
      <w:r w:rsidRPr="004456F1">
        <w:t xml:space="preserve"> </w:t>
      </w:r>
      <w:r>
        <w:t>of €</w:t>
      </w:r>
      <w:r w:rsidR="004456F1" w:rsidRPr="004456F1">
        <w:rPr>
          <w:w w:val="50"/>
        </w:rPr>
        <w:t> </w:t>
      </w:r>
      <w:r>
        <w:t>350 billion</w:t>
      </w:r>
      <w:r w:rsidR="003F7681">
        <w:t xml:space="preserve"> in 2013</w:t>
      </w:r>
      <w:r>
        <w:t>.</w:t>
      </w:r>
      <w:r>
        <w:rPr>
          <w:rStyle w:val="FootnoteReference"/>
        </w:rPr>
        <w:footnoteReference w:id="39"/>
      </w:r>
      <w:r>
        <w:t xml:space="preserve"> Another estimate refers to an average annual growth rate of 22</w:t>
      </w:r>
      <w:r w:rsidR="004456F1" w:rsidRPr="004456F1">
        <w:rPr>
          <w:w w:val="50"/>
        </w:rPr>
        <w:t> </w:t>
      </w:r>
      <w:r>
        <w:t>%</w:t>
      </w:r>
      <w:r w:rsidR="00B52C28">
        <w:t xml:space="preserve"> </w:t>
      </w:r>
      <w:r w:rsidR="00B52C28" w:rsidRPr="00B52C28">
        <w:t>in the period 2000-2014</w:t>
      </w:r>
      <w:r>
        <w:t>, surpassing €</w:t>
      </w:r>
      <w:r w:rsidR="004456F1" w:rsidRPr="004456F1">
        <w:rPr>
          <w:w w:val="50"/>
        </w:rPr>
        <w:t> </w:t>
      </w:r>
      <w:r>
        <w:t>200 billion in 2014.</w:t>
      </w:r>
      <w:r>
        <w:rPr>
          <w:rStyle w:val="FootnoteReference"/>
        </w:rPr>
        <w:footnoteReference w:id="40"/>
      </w:r>
    </w:p>
    <w:p w:rsidR="00821430" w:rsidRDefault="00821430">
      <w:pPr>
        <w:spacing w:after="0"/>
      </w:pPr>
    </w:p>
    <w:p w:rsidR="00821430" w:rsidRDefault="00821430">
      <w:pPr>
        <w:pStyle w:val="Heading2"/>
        <w:numPr>
          <w:ilvl w:val="1"/>
          <w:numId w:val="34"/>
        </w:numPr>
      </w:pPr>
      <w:r>
        <w:t>Online purchase journey</w:t>
      </w:r>
    </w:p>
    <w:p w:rsidR="00821430" w:rsidRDefault="00821430">
      <w:pPr>
        <w:autoSpaceDE w:val="0"/>
        <w:autoSpaceDN w:val="0"/>
        <w:adjustRightInd w:val="0"/>
        <w:spacing w:after="0"/>
        <w:rPr>
          <w:lang w:eastAsia="en-GB"/>
        </w:rPr>
      </w:pPr>
      <w:r>
        <w:rPr>
          <w:lang w:eastAsia="en-GB"/>
        </w:rPr>
        <w:t>To better understand consumers</w:t>
      </w:r>
      <w:r w:rsidR="004456F1">
        <w:rPr>
          <w:lang w:eastAsia="en-GB"/>
        </w:rPr>
        <w:t>’</w:t>
      </w:r>
      <w:r>
        <w:rPr>
          <w:lang w:eastAsia="en-GB"/>
        </w:rPr>
        <w:t xml:space="preserve"> online purchasing behaviour, this section focuses on the typical online purchase journey, including the methods </w:t>
      </w:r>
      <w:r w:rsidR="00623CA8">
        <w:rPr>
          <w:lang w:eastAsia="en-GB"/>
        </w:rPr>
        <w:t>used</w:t>
      </w:r>
      <w:r w:rsidRPr="004456F1">
        <w:rPr>
          <w:lang w:eastAsia="en-GB"/>
        </w:rPr>
        <w:t xml:space="preserve"> </w:t>
      </w:r>
      <w:r>
        <w:rPr>
          <w:lang w:eastAsia="en-GB"/>
        </w:rPr>
        <w:t xml:space="preserve">and time spent researching products, the reasons for choosing a given website/app as well as the most popular devices, payment methods and delivery options used in online transactions. The data </w:t>
      </w:r>
      <w:r w:rsidR="005A1928" w:rsidRPr="004456F1">
        <w:rPr>
          <w:lang w:eastAsia="en-GB"/>
        </w:rPr>
        <w:t>c</w:t>
      </w:r>
      <w:r w:rsidR="005A1928">
        <w:rPr>
          <w:lang w:eastAsia="en-GB"/>
        </w:rPr>
        <w:t>o</w:t>
      </w:r>
      <w:r w:rsidR="005A1928" w:rsidRPr="004456F1">
        <w:rPr>
          <w:lang w:eastAsia="en-GB"/>
        </w:rPr>
        <w:t>me</w:t>
      </w:r>
      <w:r w:rsidR="005A1928">
        <w:rPr>
          <w:lang w:eastAsia="en-GB"/>
        </w:rPr>
        <w:t xml:space="preserve"> </w:t>
      </w:r>
      <w:r>
        <w:rPr>
          <w:lang w:eastAsia="en-GB"/>
        </w:rPr>
        <w:t>from the recent survey of online consumers.</w:t>
      </w:r>
      <w:r>
        <w:rPr>
          <w:rStyle w:val="FootnoteReference"/>
        </w:rPr>
        <w:footnoteReference w:id="41"/>
      </w:r>
    </w:p>
    <w:p w:rsidR="00821430" w:rsidRDefault="00821430" w:rsidP="0055096C">
      <w:pPr>
        <w:pStyle w:val="Heading3"/>
      </w:pPr>
      <w:r>
        <w:t xml:space="preserve">2.1 </w:t>
      </w:r>
      <w:r>
        <w:tab/>
        <w:t xml:space="preserve">Methods </w:t>
      </w:r>
      <w:r w:rsidR="006E1B09">
        <w:t>used</w:t>
      </w:r>
      <w:r w:rsidRPr="004456F1">
        <w:t xml:space="preserve"> </w:t>
      </w:r>
      <w:r>
        <w:t>and time spent researching online purchases</w:t>
      </w:r>
    </w:p>
    <w:p w:rsidR="00821430" w:rsidRDefault="00821430">
      <w:pPr>
        <w:spacing w:after="0"/>
        <w:rPr>
          <w:b/>
          <w:i/>
        </w:rPr>
      </w:pPr>
      <w:r>
        <w:rPr>
          <w:b/>
          <w:i/>
        </w:rPr>
        <w:t xml:space="preserve">Most online purchases are researched on the </w:t>
      </w:r>
      <w:r w:rsidR="006E1B09">
        <w:rPr>
          <w:b/>
          <w:i/>
        </w:rPr>
        <w:t>I</w:t>
      </w:r>
      <w:r>
        <w:rPr>
          <w:b/>
          <w:i/>
        </w:rPr>
        <w:t>nternet</w:t>
      </w:r>
    </w:p>
    <w:p w:rsidR="00821430" w:rsidRDefault="00821430">
      <w:pPr>
        <w:autoSpaceDE w:val="0"/>
        <w:autoSpaceDN w:val="0"/>
        <w:adjustRightInd w:val="0"/>
        <w:spacing w:after="0"/>
        <w:rPr>
          <w:lang w:eastAsia="en-GB"/>
        </w:rPr>
      </w:pPr>
      <w:r>
        <w:rPr>
          <w:lang w:eastAsia="en-GB"/>
        </w:rPr>
        <w:t>Online shoppers use a variety of, mainly online, research methods to inform their purchases. Prior to their last online purchase almost a fifth of respondents visited online marketplaces such as Amazon, eBay etc. (19</w:t>
      </w:r>
      <w:r w:rsidR="004456F1" w:rsidRPr="004456F1">
        <w:rPr>
          <w:w w:val="50"/>
          <w:lang w:eastAsia="en-GB"/>
        </w:rPr>
        <w:t> </w:t>
      </w:r>
      <w:r>
        <w:rPr>
          <w:lang w:eastAsia="en-GB"/>
        </w:rPr>
        <w:t>%)</w:t>
      </w:r>
      <w:r w:rsidR="00C823FA">
        <w:rPr>
          <w:lang w:eastAsia="en-GB"/>
        </w:rPr>
        <w:t xml:space="preserve"> </w:t>
      </w:r>
      <w:r>
        <w:rPr>
          <w:lang w:eastAsia="en-GB"/>
        </w:rPr>
        <w:t>or the website of the seller/provider (17</w:t>
      </w:r>
      <w:r w:rsidR="004456F1" w:rsidRPr="004456F1">
        <w:rPr>
          <w:w w:val="50"/>
          <w:lang w:eastAsia="en-GB"/>
        </w:rPr>
        <w:t> </w:t>
      </w:r>
      <w:r w:rsidRPr="004456F1">
        <w:rPr>
          <w:lang w:eastAsia="en-GB"/>
        </w:rPr>
        <w:t>%)</w:t>
      </w:r>
      <w:r w:rsidR="006E1B09">
        <w:rPr>
          <w:lang w:eastAsia="en-GB"/>
        </w:rPr>
        <w:t>,</w:t>
      </w:r>
      <w:r>
        <w:rPr>
          <w:lang w:eastAsia="en-GB"/>
        </w:rPr>
        <w:t xml:space="preserve"> while around one in ten </w:t>
      </w:r>
      <w:r w:rsidR="00CF230A">
        <w:rPr>
          <w:lang w:eastAsia="en-GB"/>
        </w:rPr>
        <w:t>used</w:t>
      </w:r>
      <w:r>
        <w:rPr>
          <w:lang w:eastAsia="en-GB"/>
        </w:rPr>
        <w:t xml:space="preserve"> a general search engine (13</w:t>
      </w:r>
      <w:r w:rsidR="004456F1" w:rsidRPr="004456F1">
        <w:rPr>
          <w:w w:val="50"/>
          <w:lang w:eastAsia="en-GB"/>
        </w:rPr>
        <w:t> </w:t>
      </w:r>
      <w:r>
        <w:rPr>
          <w:lang w:eastAsia="en-GB"/>
        </w:rPr>
        <w:t>%), visited manufacturer/brand websites (10</w:t>
      </w:r>
      <w:r w:rsidR="004456F1" w:rsidRPr="004456F1">
        <w:rPr>
          <w:w w:val="50"/>
          <w:lang w:eastAsia="en-GB"/>
        </w:rPr>
        <w:t> </w:t>
      </w:r>
      <w:r>
        <w:rPr>
          <w:lang w:eastAsia="en-GB"/>
        </w:rPr>
        <w:t>%) or searched via a price comparison website (8</w:t>
      </w:r>
      <w:r w:rsidR="004456F1" w:rsidRPr="004456F1">
        <w:rPr>
          <w:w w:val="50"/>
          <w:lang w:eastAsia="en-GB"/>
        </w:rPr>
        <w:t> </w:t>
      </w:r>
      <w:r>
        <w:rPr>
          <w:lang w:eastAsia="en-GB"/>
        </w:rPr>
        <w:t>%) as opposed to 6</w:t>
      </w:r>
      <w:r w:rsidR="004456F1" w:rsidRPr="004456F1">
        <w:rPr>
          <w:w w:val="50"/>
          <w:lang w:eastAsia="en-GB"/>
        </w:rPr>
        <w:t> </w:t>
      </w:r>
      <w:r>
        <w:rPr>
          <w:lang w:eastAsia="en-GB"/>
        </w:rPr>
        <w:t xml:space="preserve">% who </w:t>
      </w:r>
      <w:r w:rsidR="00CF230A">
        <w:rPr>
          <w:lang w:eastAsia="en-GB"/>
        </w:rPr>
        <w:t>consulted</w:t>
      </w:r>
      <w:r>
        <w:rPr>
          <w:lang w:eastAsia="en-GB"/>
        </w:rPr>
        <w:t xml:space="preserve"> friends/family and 4</w:t>
      </w:r>
      <w:r w:rsidR="004456F1" w:rsidRPr="004456F1">
        <w:rPr>
          <w:w w:val="50"/>
          <w:lang w:eastAsia="en-GB"/>
        </w:rPr>
        <w:t> </w:t>
      </w:r>
      <w:r>
        <w:rPr>
          <w:lang w:eastAsia="en-GB"/>
        </w:rPr>
        <w:t>% who visited shops in person</w:t>
      </w:r>
      <w:r w:rsidR="00C823FA">
        <w:rPr>
          <w:rStyle w:val="FootnoteReference"/>
        </w:rPr>
        <w:footnoteReference w:id="42"/>
      </w:r>
      <w:r>
        <w:rPr>
          <w:lang w:eastAsia="en-GB"/>
        </w:rPr>
        <w:t xml:space="preserve">.      </w:t>
      </w:r>
    </w:p>
    <w:p w:rsidR="00DB36F0" w:rsidRDefault="00ED08B2" w:rsidP="00ED08B2">
      <w:pPr>
        <w:pStyle w:val="Caption"/>
      </w:pPr>
      <w:r>
        <w:t xml:space="preserve">Figure </w:t>
      </w:r>
      <w:r w:rsidR="005269EB">
        <w:rPr>
          <w:noProof/>
        </w:rPr>
        <w:t>16</w:t>
      </w:r>
      <w:r w:rsidRPr="007704E4">
        <w:t>: Research steps before making the last online purchase, EU28 (</w:t>
      </w:r>
      <w:r w:rsidR="002A1D87">
        <w:t>first choice</w:t>
      </w:r>
      <w:r w:rsidRPr="007704E4">
        <w:t>)</w:t>
      </w:r>
      <w:r w:rsidR="00736094">
        <w:t xml:space="preserve"> (%)</w:t>
      </w:r>
      <w:r w:rsidR="00B66D8E">
        <w:rPr>
          <w:rStyle w:val="FootnoteReference"/>
        </w:rPr>
        <w:footnoteReference w:id="43"/>
      </w:r>
    </w:p>
    <w:p w:rsidR="00821430" w:rsidRDefault="008B418B" w:rsidP="005A3C77">
      <w:pPr>
        <w:pStyle w:val="Text1"/>
        <w:keepNext/>
        <w:spacing w:before="0" w:after="0"/>
        <w:ind w:left="0"/>
        <w:rPr>
          <w:noProof/>
          <w:lang w:eastAsia="en-GB"/>
        </w:rPr>
      </w:pPr>
      <w:r>
        <w:rPr>
          <w:noProof/>
          <w:lang w:eastAsia="en-GB"/>
        </w:rPr>
        <w:drawing>
          <wp:inline distT="0" distB="0" distL="0" distR="0" wp14:anchorId="3408CEE0" wp14:editId="50F533BA">
            <wp:extent cx="5534025" cy="3895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4025" cy="3895725"/>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2015 DSM survey: Which of the following did you do to RESEARCH THIS ONLINE PURCHASE? (EU28 N=21</w:t>
      </w:r>
      <w:r w:rsidR="004456F1" w:rsidRPr="002D4392">
        <w:rPr>
          <w:i/>
          <w:sz w:val="20"/>
          <w:szCs w:val="20"/>
        </w:rPr>
        <w:t> </w:t>
      </w:r>
      <w:r w:rsidRPr="002D4392">
        <w:rPr>
          <w:i/>
          <w:sz w:val="20"/>
          <w:szCs w:val="20"/>
        </w:rPr>
        <w:t>657)</w:t>
      </w:r>
    </w:p>
    <w:p w:rsidR="00821430" w:rsidRDefault="00821430">
      <w:pPr>
        <w:spacing w:after="0"/>
        <w:rPr>
          <w:b/>
          <w:i/>
        </w:rPr>
      </w:pPr>
      <w:r>
        <w:rPr>
          <w:b/>
          <w:i/>
        </w:rPr>
        <w:t>Four in ten online shoppers prefer online sellers who also have a physical shop</w:t>
      </w:r>
    </w:p>
    <w:p w:rsidR="00821430" w:rsidRPr="00AF792D" w:rsidRDefault="00821430">
      <w:pPr>
        <w:spacing w:after="0"/>
      </w:pPr>
      <w:r>
        <w:t xml:space="preserve">Asked specifically about purchasing online after first visiting a physical shop, online shoppers </w:t>
      </w:r>
      <w:r w:rsidR="001C101D">
        <w:t>say</w:t>
      </w:r>
      <w:r w:rsidRPr="00AF792D">
        <w:rPr>
          <w:rStyle w:val="FootnoteReference"/>
        </w:rPr>
        <w:footnoteReference w:id="44"/>
      </w:r>
      <w:r w:rsidRPr="00AF792D">
        <w:t xml:space="preserve"> </w:t>
      </w:r>
      <w:r w:rsidR="001C101D">
        <w:t>they</w:t>
      </w:r>
      <w:r w:rsidRPr="00AF792D">
        <w:t xml:space="preserve"> do this most often for ‘clothing, shoes and accessories’ (30</w:t>
      </w:r>
      <w:r w:rsidR="004456F1" w:rsidRPr="004456F1">
        <w:rPr>
          <w:w w:val="50"/>
        </w:rPr>
        <w:t> </w:t>
      </w:r>
      <w:r w:rsidRPr="00AF792D">
        <w:t>% often/always) and ‘cosmetics and healthcare products’ (28</w:t>
      </w:r>
      <w:r w:rsidR="004456F1" w:rsidRPr="004456F1">
        <w:rPr>
          <w:w w:val="50"/>
        </w:rPr>
        <w:t> </w:t>
      </w:r>
      <w:r w:rsidRPr="004456F1">
        <w:t>%)</w:t>
      </w:r>
      <w:r w:rsidR="001C101D">
        <w:t>,</w:t>
      </w:r>
      <w:r w:rsidRPr="00AF792D">
        <w:t xml:space="preserve"> and the least often for books (19</w:t>
      </w:r>
      <w:r w:rsidR="004456F1" w:rsidRPr="004456F1">
        <w:rPr>
          <w:w w:val="50"/>
        </w:rPr>
        <w:t> </w:t>
      </w:r>
      <w:r w:rsidRPr="00AF792D">
        <w:t>%) and non-electrical household goods &amp; interior design (20</w:t>
      </w:r>
      <w:r w:rsidR="004456F1" w:rsidRPr="004456F1">
        <w:rPr>
          <w:w w:val="50"/>
        </w:rPr>
        <w:t> </w:t>
      </w:r>
      <w:r w:rsidRPr="00AF792D">
        <w:t xml:space="preserve">%). Interestingly, frequent online shoppers are </w:t>
      </w:r>
      <w:r w:rsidR="001C101D">
        <w:t>much</w:t>
      </w:r>
      <w:r w:rsidR="001C101D" w:rsidRPr="004456F1">
        <w:t xml:space="preserve"> </w:t>
      </w:r>
      <w:r w:rsidRPr="00AF792D">
        <w:t xml:space="preserve">more likely to look at products in physical shops before purchasing them on the </w:t>
      </w:r>
      <w:r w:rsidR="001C101D">
        <w:t>I</w:t>
      </w:r>
      <w:r w:rsidRPr="00AF792D">
        <w:t>nternet than those who make fewer online purchases.</w:t>
      </w:r>
    </w:p>
    <w:p w:rsidR="00821430" w:rsidRPr="00AF792D" w:rsidRDefault="00821430">
      <w:pPr>
        <w:spacing w:after="0"/>
      </w:pPr>
      <w:r w:rsidRPr="00AF792D">
        <w:t>Overall, four in ten respondents who buy tangible goods online (38</w:t>
      </w:r>
      <w:r w:rsidR="004456F1" w:rsidRPr="004456F1">
        <w:rPr>
          <w:w w:val="50"/>
        </w:rPr>
        <w:t> </w:t>
      </w:r>
      <w:r w:rsidRPr="00AF792D">
        <w:t>%) indicated that they preferred online sellers who also have a physical shop. Among those</w:t>
      </w:r>
      <w:r w:rsidR="002663EA">
        <w:t>,</w:t>
      </w:r>
      <w:r w:rsidRPr="00AF792D">
        <w:t xml:space="preserve"> </w:t>
      </w:r>
      <w:r w:rsidR="006149BD" w:rsidRPr="00AF792D">
        <w:t>33</w:t>
      </w:r>
      <w:r w:rsidR="004456F1" w:rsidRPr="004456F1">
        <w:rPr>
          <w:w w:val="50"/>
        </w:rPr>
        <w:t> </w:t>
      </w:r>
      <w:r w:rsidRPr="00AF792D">
        <w:t xml:space="preserve">% mentioned that they have more trust in a seller with a physical shop while </w:t>
      </w:r>
      <w:r w:rsidR="006149BD" w:rsidRPr="00AF792D">
        <w:t>27</w:t>
      </w:r>
      <w:r w:rsidR="004456F1" w:rsidRPr="004456F1">
        <w:rPr>
          <w:w w:val="50"/>
        </w:rPr>
        <w:t> </w:t>
      </w:r>
      <w:r w:rsidRPr="00AF792D">
        <w:t>% preferred to see a product in a shop before eventually buying it online</w:t>
      </w:r>
      <w:r w:rsidR="001C101D">
        <w:t>,</w:t>
      </w:r>
      <w:r w:rsidRPr="00AF792D">
        <w:t xml:space="preserve"> </w:t>
      </w:r>
      <w:r w:rsidR="006149BD" w:rsidRPr="00AF792D">
        <w:t xml:space="preserve">and 25% </w:t>
      </w:r>
      <w:r w:rsidR="002663EA">
        <w:t>considered</w:t>
      </w:r>
      <w:r w:rsidRPr="00AF792D">
        <w:t xml:space="preserve"> it easier to return a product when an online seller has a physical shop. Only </w:t>
      </w:r>
      <w:r w:rsidR="006149BD" w:rsidRPr="00AF792D">
        <w:t>15</w:t>
      </w:r>
      <w:r w:rsidR="004456F1" w:rsidRPr="004456F1">
        <w:rPr>
          <w:w w:val="50"/>
        </w:rPr>
        <w:t> </w:t>
      </w:r>
      <w:r w:rsidRPr="00AF792D">
        <w:t xml:space="preserve">% </w:t>
      </w:r>
      <w:r w:rsidR="002663EA">
        <w:t>sai</w:t>
      </w:r>
      <w:r w:rsidR="002663EA" w:rsidRPr="004456F1">
        <w:t xml:space="preserve">d </w:t>
      </w:r>
      <w:r w:rsidRPr="00AF792D">
        <w:t>that they prefer to get advice in the shop before buying online.</w:t>
      </w:r>
    </w:p>
    <w:p w:rsidR="00821430" w:rsidRPr="00AF792D" w:rsidRDefault="00821430">
      <w:pPr>
        <w:spacing w:after="0"/>
      </w:pPr>
      <w:r w:rsidRPr="00AF792D">
        <w:t xml:space="preserve">All the </w:t>
      </w:r>
      <w:r w:rsidR="00507858" w:rsidRPr="004456F1">
        <w:t>above</w:t>
      </w:r>
      <w:r w:rsidR="00507858">
        <w:t>-</w:t>
      </w:r>
      <w:r w:rsidRPr="00AF792D">
        <w:t>mentioned reasons for preferring an online seller that also has a physical shop are much more important for frequent online shoppers. Also, consumers who also buy online outside the EU28 (45</w:t>
      </w:r>
      <w:r w:rsidR="004456F1" w:rsidRPr="004456F1">
        <w:rPr>
          <w:w w:val="50"/>
        </w:rPr>
        <w:t> </w:t>
      </w:r>
      <w:r w:rsidRPr="00AF792D">
        <w:t>%) find the presence of a physical shop more important than consumers who buy only domestically (36</w:t>
      </w:r>
      <w:r w:rsidR="004456F1" w:rsidRPr="004456F1">
        <w:rPr>
          <w:w w:val="50"/>
        </w:rPr>
        <w:t> </w:t>
      </w:r>
      <w:r w:rsidRPr="00AF792D">
        <w:t xml:space="preserve">%) or those who buy domestically and </w:t>
      </w:r>
      <w:r w:rsidR="00507858" w:rsidRPr="004456F1">
        <w:t>cross</w:t>
      </w:r>
      <w:r w:rsidR="00507858">
        <w:t>-</w:t>
      </w:r>
      <w:r w:rsidRPr="00AF792D">
        <w:t>border in the EU (39</w:t>
      </w:r>
      <w:r w:rsidR="004456F1" w:rsidRPr="004456F1">
        <w:rPr>
          <w:w w:val="50"/>
        </w:rPr>
        <w:t> </w:t>
      </w:r>
      <w:r w:rsidRPr="00AF792D">
        <w:t>%). At country level, preference for online sellers that also have a physical shop is the lowest in Luxembourg (21</w:t>
      </w:r>
      <w:r w:rsidR="004456F1" w:rsidRPr="004456F1">
        <w:rPr>
          <w:w w:val="50"/>
        </w:rPr>
        <w:t> </w:t>
      </w:r>
      <w:r w:rsidRPr="00AF792D">
        <w:t>%) and Malta (23</w:t>
      </w:r>
      <w:r w:rsidR="004456F1" w:rsidRPr="004456F1">
        <w:rPr>
          <w:w w:val="50"/>
        </w:rPr>
        <w:t> </w:t>
      </w:r>
      <w:r w:rsidRPr="00AF792D">
        <w:t>%), which could be linked to a much smaller presence of physical shops in these smaller countries. On the other hand, consumers from the Czech Republic (54</w:t>
      </w:r>
      <w:r w:rsidR="004456F1" w:rsidRPr="004456F1">
        <w:rPr>
          <w:w w:val="50"/>
        </w:rPr>
        <w:t> </w:t>
      </w:r>
      <w:r w:rsidRPr="00AF792D">
        <w:t>%), and Greece (54</w:t>
      </w:r>
      <w:r w:rsidR="004456F1" w:rsidRPr="004456F1">
        <w:rPr>
          <w:w w:val="50"/>
        </w:rPr>
        <w:t> </w:t>
      </w:r>
      <w:r w:rsidRPr="00AF792D">
        <w:t xml:space="preserve">%) </w:t>
      </w:r>
      <w:r w:rsidR="00507858">
        <w:t>a</w:t>
      </w:r>
      <w:r w:rsidR="00507858" w:rsidRPr="004456F1">
        <w:t xml:space="preserve">re </w:t>
      </w:r>
      <w:r w:rsidRPr="00AF792D">
        <w:t xml:space="preserve">the most likely to say that the presence of a physical shop </w:t>
      </w:r>
      <w:r w:rsidR="00507858">
        <w:t>i</w:t>
      </w:r>
      <w:r w:rsidR="00507858" w:rsidRPr="004456F1">
        <w:t>s</w:t>
      </w:r>
      <w:r w:rsidRPr="00AF792D">
        <w:t xml:space="preserve"> important for their online purchases.</w:t>
      </w:r>
    </w:p>
    <w:p w:rsidR="00821430" w:rsidRDefault="00821430">
      <w:pPr>
        <w:spacing w:after="0"/>
        <w:rPr>
          <w:b/>
          <w:i/>
        </w:rPr>
      </w:pPr>
      <w:r>
        <w:rPr>
          <w:b/>
          <w:i/>
        </w:rPr>
        <w:t>Time spent on online purchases decreases with age and financial situation</w:t>
      </w:r>
    </w:p>
    <w:p w:rsidR="00821430" w:rsidRDefault="00821430">
      <w:pPr>
        <w:spacing w:after="0"/>
      </w:pPr>
      <w:r>
        <w:t xml:space="preserve">In total, online shoppers in the EU reported spending roughly </w:t>
      </w:r>
      <w:r w:rsidR="002663EA">
        <w:t>three</w:t>
      </w:r>
      <w:r w:rsidR="002663EA" w:rsidRPr="004456F1">
        <w:t xml:space="preserve"> </w:t>
      </w:r>
      <w:r>
        <w:t>hours shopping for their latest purchase</w:t>
      </w:r>
      <w:r>
        <w:rPr>
          <w:rStyle w:val="FootnoteReference"/>
        </w:rPr>
        <w:footnoteReference w:id="45"/>
      </w:r>
      <w:r>
        <w:t xml:space="preserve">. </w:t>
      </w:r>
    </w:p>
    <w:p w:rsidR="00DB36F0" w:rsidRDefault="00821430" w:rsidP="00DB36F0">
      <w:pPr>
        <w:spacing w:after="0"/>
        <w:rPr>
          <w:b/>
          <w:sz w:val="20"/>
          <w:szCs w:val="20"/>
          <w:lang w:eastAsia="fr-FR"/>
        </w:rPr>
      </w:pPr>
      <w:r>
        <w:t xml:space="preserve">As seen in Figure </w:t>
      </w:r>
      <w:r w:rsidR="00E21668">
        <w:t>58</w:t>
      </w:r>
      <w:r>
        <w:t>, consumers in</w:t>
      </w:r>
      <w:r w:rsidR="00990C19">
        <w:t xml:space="preserve"> a</w:t>
      </w:r>
      <w:r>
        <w:t xml:space="preserve"> very difficult financial situation take much longer (4.9 hours), possibly searching for the </w:t>
      </w:r>
      <w:r w:rsidR="00E21668">
        <w:t>best price</w:t>
      </w:r>
      <w:r>
        <w:t xml:space="preserve">, than those for whom making ends meet is very or fairly easy (2.4 and 3 hours respectively). This coincides with the finding that time spent online decreases with age. </w:t>
      </w:r>
      <w:r w:rsidR="00990C19">
        <w:t>T</w:t>
      </w:r>
      <w:r w:rsidRPr="004456F1">
        <w:t>he</w:t>
      </w:r>
      <w:r>
        <w:t xml:space="preserve"> youngest age group (18-24) spends an average of 5.4 hours on their latest online purchase, which is more than double the time reported by online shoppers aged 35 years or older. </w:t>
      </w:r>
      <w:r w:rsidR="00382AC3">
        <w:t>In addition, online purchases from other EU countries are researched on average some three quarters of an hour longer than domestic purchases.</w:t>
      </w:r>
    </w:p>
    <w:p w:rsidR="00DB36F0" w:rsidRDefault="00DB36F0" w:rsidP="00DB36F0">
      <w:pPr>
        <w:pStyle w:val="Caption"/>
      </w:pPr>
      <w:r>
        <w:t xml:space="preserve">Figure </w:t>
      </w:r>
      <w:r w:rsidR="005269EB">
        <w:rPr>
          <w:noProof/>
        </w:rPr>
        <w:t>17</w:t>
      </w:r>
      <w:r>
        <w:t xml:space="preserve">: </w:t>
      </w:r>
      <w:r w:rsidRPr="005667D5">
        <w:t>Time spent on research before making a purchase</w:t>
      </w:r>
      <w:r w:rsidR="00E21668">
        <w:t xml:space="preserve"> </w:t>
      </w:r>
      <w:r w:rsidR="00E21668" w:rsidRPr="00A079D9">
        <w:rPr>
          <w:b w:val="0"/>
        </w:rPr>
        <w:t>(hours)</w:t>
      </w:r>
      <w:r w:rsidR="00736094">
        <w:rPr>
          <w:b w:val="0"/>
        </w:rPr>
        <w:t>, EU-28, 2015</w:t>
      </w:r>
    </w:p>
    <w:p w:rsidR="007C15BD" w:rsidRDefault="008B418B" w:rsidP="005A3C77">
      <w:pPr>
        <w:pStyle w:val="Text1"/>
        <w:keepNext/>
        <w:spacing w:before="0" w:after="0"/>
        <w:ind w:left="0"/>
        <w:rPr>
          <w:noProof/>
          <w:lang w:eastAsia="en-GB"/>
        </w:rPr>
      </w:pPr>
      <w:r>
        <w:rPr>
          <w:noProof/>
          <w:lang w:eastAsia="en-GB"/>
        </w:rPr>
        <w:drawing>
          <wp:inline distT="0" distB="0" distL="0" distR="0" wp14:anchorId="69CE43EE" wp14:editId="2910E7BD">
            <wp:extent cx="57531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2015 DSM consumer survey: Roughly how much TIME did you spend online IN TOTAL shopping for [insert answer from Q9] (from initial research through final purchase)? (EU28 N=21</w:t>
      </w:r>
      <w:r w:rsidR="004456F1" w:rsidRPr="002D4392">
        <w:rPr>
          <w:i/>
          <w:sz w:val="20"/>
          <w:szCs w:val="20"/>
        </w:rPr>
        <w:t> </w:t>
      </w:r>
      <w:r w:rsidRPr="002D4392">
        <w:rPr>
          <w:i/>
          <w:sz w:val="20"/>
          <w:szCs w:val="20"/>
        </w:rPr>
        <w:t>657)</w:t>
      </w:r>
    </w:p>
    <w:p w:rsidR="00821430" w:rsidRDefault="002663EA">
      <w:pPr>
        <w:spacing w:after="0"/>
      </w:pPr>
      <w:r>
        <w:t>C</w:t>
      </w:r>
      <w:r w:rsidR="00821430" w:rsidRPr="004456F1">
        <w:t>onsumers</w:t>
      </w:r>
      <w:r w:rsidR="00821430">
        <w:t xml:space="preserve"> from the </w:t>
      </w:r>
      <w:r w:rsidR="00990C19">
        <w:t>n</w:t>
      </w:r>
      <w:r w:rsidR="00821430">
        <w:t xml:space="preserve">orthern European countries spend the least amount of time on their online shopping (1.9 hours in Finland, 2.2 in Sweden, 2.4 in the Netherlands and 2.5 in Denmark), whereas consumers from certain EU13 countries appear to take the longest (6.1 hours in the Czech Republic, 4.6 in Bulgaria and 4.2 in Slovakia).  </w:t>
      </w:r>
    </w:p>
    <w:p w:rsidR="00821430" w:rsidRDefault="00821430" w:rsidP="0055096C">
      <w:pPr>
        <w:pStyle w:val="Heading3"/>
      </w:pPr>
      <w:r>
        <w:t>2.2</w:t>
      </w:r>
      <w:r>
        <w:tab/>
        <w:t xml:space="preserve"> Reasons for choosing the website/appstore/app</w:t>
      </w:r>
    </w:p>
    <w:p w:rsidR="00821430" w:rsidRDefault="00821430">
      <w:pPr>
        <w:spacing w:after="0"/>
      </w:pPr>
      <w:r>
        <w:t xml:space="preserve">Online shoppers were asked to indicate up to </w:t>
      </w:r>
      <w:r w:rsidR="00990C19">
        <w:t>five</w:t>
      </w:r>
      <w:r w:rsidR="00990C19" w:rsidRPr="004456F1">
        <w:t xml:space="preserve"> </w:t>
      </w:r>
      <w:r>
        <w:t>reasons for choosing a particular website/appstore/app from which they made their last purchase.</w:t>
      </w:r>
      <w:r>
        <w:rPr>
          <w:rStyle w:val="FootnoteReference"/>
        </w:rPr>
        <w:footnoteReference w:id="46"/>
      </w:r>
      <w:r w:rsidR="006A67DD">
        <w:t xml:space="preserve">  </w:t>
      </w:r>
    </w:p>
    <w:p w:rsidR="00821430" w:rsidRDefault="00821430">
      <w:pPr>
        <w:spacing w:after="0"/>
      </w:pPr>
      <w:r>
        <w:rPr>
          <w:b/>
          <w:i/>
        </w:rPr>
        <w:t>Price and previous experience are the main drivers for choosing a seller</w:t>
      </w:r>
    </w:p>
    <w:p w:rsidR="00821430" w:rsidRDefault="00821430">
      <w:pPr>
        <w:spacing w:after="0"/>
      </w:pPr>
      <w:r>
        <w:t xml:space="preserve">The two most often quoted reasons </w:t>
      </w:r>
      <w:r w:rsidR="00990C19">
        <w:t>are:</w:t>
      </w:r>
      <w:r>
        <w:t xml:space="preserve"> price being the lowest (45</w:t>
      </w:r>
      <w:r w:rsidR="004456F1" w:rsidRPr="004456F1">
        <w:rPr>
          <w:w w:val="50"/>
        </w:rPr>
        <w:t> </w:t>
      </w:r>
      <w:r>
        <w:t>%) and having had earlier experience with the site (44</w:t>
      </w:r>
      <w:r w:rsidR="004456F1" w:rsidRPr="004456F1">
        <w:rPr>
          <w:w w:val="50"/>
        </w:rPr>
        <w:t> </w:t>
      </w:r>
      <w:r>
        <w:t xml:space="preserve">%). </w:t>
      </w:r>
      <w:r w:rsidR="00E434BF">
        <w:t>A third of</w:t>
      </w:r>
      <w:r w:rsidR="00B92B2C">
        <w:t xml:space="preserve"> those whose latest purchase was a tangible good</w:t>
      </w:r>
      <w:r w:rsidR="00E434BF">
        <w:t xml:space="preserve"> mention low delivery costs while a quarter of online shoppers appreciate good reputation of a site (26</w:t>
      </w:r>
      <w:r w:rsidR="004456F1" w:rsidRPr="004456F1">
        <w:rPr>
          <w:w w:val="50"/>
        </w:rPr>
        <w:t> </w:t>
      </w:r>
      <w:r w:rsidR="00E434BF">
        <w:t>%)</w:t>
      </w:r>
      <w:r>
        <w:t xml:space="preserve"> and clear and complete product information (24</w:t>
      </w:r>
      <w:r w:rsidR="004456F1" w:rsidRPr="004456F1">
        <w:rPr>
          <w:w w:val="50"/>
        </w:rPr>
        <w:t> </w:t>
      </w:r>
      <w:r>
        <w:t>%).</w:t>
      </w:r>
    </w:p>
    <w:p w:rsidR="00821430" w:rsidRDefault="00DB36F0" w:rsidP="00DB36F0">
      <w:pPr>
        <w:pStyle w:val="Caption"/>
        <w:rPr>
          <w:b w:val="0"/>
          <w:lang w:eastAsia="fr-FR"/>
        </w:rPr>
      </w:pPr>
      <w:r>
        <w:t xml:space="preserve">Figure </w:t>
      </w:r>
      <w:r w:rsidR="005269EB">
        <w:rPr>
          <w:noProof/>
        </w:rPr>
        <w:t>18</w:t>
      </w:r>
      <w:r>
        <w:t xml:space="preserve">: </w:t>
      </w:r>
      <w:r w:rsidRPr="00974A57">
        <w:t>Reasons for choosing the website/appstore/app</w:t>
      </w:r>
      <w:r w:rsidR="007B5D12">
        <w:t xml:space="preserve">, EU-28, 2015 </w:t>
      </w:r>
      <w:r w:rsidRPr="00974A57">
        <w:t>(up to 5 answers)</w:t>
      </w:r>
      <w:r w:rsidR="00736094">
        <w:t xml:space="preserve"> (%)</w:t>
      </w:r>
      <w:r w:rsidR="00FE66FA">
        <w:rPr>
          <w:rStyle w:val="FootnoteReference"/>
          <w:b w:val="0"/>
          <w:lang w:eastAsia="fr-FR"/>
        </w:rPr>
        <w:footnoteReference w:id="47"/>
      </w:r>
    </w:p>
    <w:p w:rsidR="00A079D9" w:rsidRDefault="008B418B" w:rsidP="005A3C77">
      <w:pPr>
        <w:pStyle w:val="Text1"/>
        <w:keepNext/>
        <w:spacing w:before="0" w:after="0"/>
        <w:ind w:left="0"/>
        <w:rPr>
          <w:noProof/>
          <w:lang w:eastAsia="en-GB"/>
        </w:rPr>
      </w:pPr>
      <w:r>
        <w:rPr>
          <w:noProof/>
          <w:lang w:eastAsia="en-GB"/>
        </w:rPr>
        <w:drawing>
          <wp:inline distT="0" distB="0" distL="0" distR="0" wp14:anchorId="0897152E" wp14:editId="27143F2F">
            <wp:extent cx="5667375" cy="544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Pr>
          <w:i/>
          <w:sz w:val="20"/>
          <w:szCs w:val="20"/>
        </w:rPr>
        <w:t>Source: 2015 DSM consumer survey: Why did you choose the website/appstore/app from which you finally bought this product? (EU28 N=21</w:t>
      </w:r>
      <w:r w:rsidR="004456F1" w:rsidRPr="002D4392">
        <w:rPr>
          <w:i/>
          <w:sz w:val="20"/>
          <w:szCs w:val="20"/>
        </w:rPr>
        <w:t> </w:t>
      </w:r>
      <w:r>
        <w:rPr>
          <w:i/>
          <w:sz w:val="20"/>
          <w:szCs w:val="20"/>
        </w:rPr>
        <w:t>657)</w:t>
      </w:r>
    </w:p>
    <w:p w:rsidR="00821430" w:rsidRDefault="00821430" w:rsidP="0055096C">
      <w:pPr>
        <w:pStyle w:val="Heading3"/>
      </w:pPr>
      <w:r>
        <w:t xml:space="preserve">2.3 </w:t>
      </w:r>
      <w:r>
        <w:tab/>
        <w:t>Devices and payment methods used for online shopping</w:t>
      </w:r>
    </w:p>
    <w:p w:rsidR="00821430" w:rsidRDefault="00821430">
      <w:pPr>
        <w:spacing w:after="0"/>
      </w:pPr>
      <w:r>
        <w:t>Online shoppers were asked to list the devices and payment methods that they had used for online purchases in the past year.</w:t>
      </w:r>
    </w:p>
    <w:p w:rsidR="00821430" w:rsidRDefault="00821430">
      <w:pPr>
        <w:rPr>
          <w:b/>
          <w:bCs/>
          <w:i/>
          <w:szCs w:val="26"/>
        </w:rPr>
      </w:pPr>
      <w:r>
        <w:rPr>
          <w:b/>
          <w:bCs/>
          <w:i/>
          <w:szCs w:val="26"/>
        </w:rPr>
        <w:t xml:space="preserve">Laptop is the most popular device </w:t>
      </w:r>
      <w:r w:rsidR="00143FEF">
        <w:rPr>
          <w:b/>
          <w:bCs/>
          <w:i/>
          <w:szCs w:val="26"/>
        </w:rPr>
        <w:t>for</w:t>
      </w:r>
      <w:r w:rsidR="00143FEF" w:rsidRPr="004456F1">
        <w:rPr>
          <w:b/>
          <w:bCs/>
          <w:i/>
          <w:szCs w:val="26"/>
        </w:rPr>
        <w:t xml:space="preserve"> mak</w:t>
      </w:r>
      <w:r w:rsidR="00143FEF">
        <w:rPr>
          <w:b/>
          <w:bCs/>
          <w:i/>
          <w:szCs w:val="26"/>
        </w:rPr>
        <w:t>ing</w:t>
      </w:r>
      <w:r>
        <w:rPr>
          <w:b/>
          <w:bCs/>
          <w:i/>
          <w:szCs w:val="26"/>
        </w:rPr>
        <w:t xml:space="preserve"> online purchases</w:t>
      </w:r>
    </w:p>
    <w:p w:rsidR="00821430" w:rsidRDefault="00821430">
      <w:pPr>
        <w:spacing w:after="0"/>
      </w:pPr>
      <w:r>
        <w:t xml:space="preserve">Eight </w:t>
      </w:r>
      <w:r w:rsidR="00143FEF">
        <w:t>out</w:t>
      </w:r>
      <w:r w:rsidRPr="004456F1">
        <w:t xml:space="preserve"> </w:t>
      </w:r>
      <w:r>
        <w:t>of ten (80</w:t>
      </w:r>
      <w:r w:rsidR="004456F1" w:rsidRPr="004456F1">
        <w:rPr>
          <w:w w:val="50"/>
        </w:rPr>
        <w:t> </w:t>
      </w:r>
      <w:r>
        <w:t xml:space="preserve">%) online shoppers </w:t>
      </w:r>
      <w:r w:rsidR="00143FEF">
        <w:t>say they</w:t>
      </w:r>
      <w:r w:rsidR="00143FEF" w:rsidRPr="004456F1">
        <w:t xml:space="preserve"> us</w:t>
      </w:r>
      <w:r w:rsidR="00143FEF">
        <w:t>e</w:t>
      </w:r>
      <w:r w:rsidR="00143FEF" w:rsidRPr="004456F1">
        <w:t xml:space="preserve"> </w:t>
      </w:r>
      <w:r>
        <w:t>a laptop, followed by a desktop PC (73</w:t>
      </w:r>
      <w:r w:rsidR="004456F1" w:rsidRPr="004456F1">
        <w:rPr>
          <w:w w:val="50"/>
        </w:rPr>
        <w:t> </w:t>
      </w:r>
      <w:r>
        <w:t>%)</w:t>
      </w:r>
      <w:r w:rsidR="003D42E1">
        <w:t>,</w:t>
      </w:r>
      <w:r>
        <w:t xml:space="preserve"> a smartphone (59</w:t>
      </w:r>
      <w:r w:rsidR="004456F1" w:rsidRPr="004456F1">
        <w:rPr>
          <w:w w:val="50"/>
        </w:rPr>
        <w:t> </w:t>
      </w:r>
      <w:r>
        <w:t>%), a tablet (52</w:t>
      </w:r>
      <w:r w:rsidR="004456F1" w:rsidRPr="004456F1">
        <w:rPr>
          <w:w w:val="50"/>
        </w:rPr>
        <w:t> </w:t>
      </w:r>
      <w:r>
        <w:t>%), a TV (40</w:t>
      </w:r>
      <w:r w:rsidR="004456F1" w:rsidRPr="004456F1">
        <w:rPr>
          <w:w w:val="50"/>
        </w:rPr>
        <w:t> </w:t>
      </w:r>
      <w:r>
        <w:t>%) and other (unspecified) devices (38</w:t>
      </w:r>
      <w:r w:rsidR="004456F1" w:rsidRPr="004456F1">
        <w:rPr>
          <w:w w:val="50"/>
        </w:rPr>
        <w:t> </w:t>
      </w:r>
      <w:r>
        <w:t>%).</w:t>
      </w:r>
    </w:p>
    <w:p w:rsidR="00821430" w:rsidRPr="00ED08B2" w:rsidRDefault="00ED08B2" w:rsidP="00ED08B2">
      <w:pPr>
        <w:pStyle w:val="Caption"/>
      </w:pPr>
      <w:r>
        <w:t xml:space="preserve">Figure </w:t>
      </w:r>
      <w:r w:rsidR="005269EB">
        <w:rPr>
          <w:noProof/>
        </w:rPr>
        <w:t>19</w:t>
      </w:r>
      <w:r w:rsidRPr="00AE4C94">
        <w:t>: Devices used for online purchases over the last 12 months</w:t>
      </w:r>
      <w:r w:rsidR="007B5D12">
        <w:t>, EU-28, 2015</w:t>
      </w:r>
      <w:r w:rsidR="007B5D12" w:rsidRPr="00AE4C94">
        <w:t xml:space="preserve"> </w:t>
      </w:r>
      <w:r w:rsidRPr="00AE4C94">
        <w:t>(multiple answers possible)</w:t>
      </w:r>
      <w:r w:rsidR="00736094">
        <w:t xml:space="preserve"> (%)</w:t>
      </w:r>
    </w:p>
    <w:p w:rsidR="00821430" w:rsidRDefault="008B418B" w:rsidP="005A3C77">
      <w:pPr>
        <w:pStyle w:val="Text1"/>
        <w:keepNext/>
        <w:spacing w:before="0" w:after="0"/>
        <w:ind w:left="0"/>
        <w:rPr>
          <w:noProof/>
          <w:lang w:eastAsia="en-GB"/>
        </w:rPr>
      </w:pPr>
      <w:r>
        <w:rPr>
          <w:noProof/>
          <w:lang w:eastAsia="en-GB"/>
        </w:rPr>
        <w:drawing>
          <wp:inline distT="0" distB="0" distL="0" distR="0" wp14:anchorId="4EC8ADC3" wp14:editId="03BEFAD2">
            <wp:extent cx="462915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29150" cy="3219450"/>
                    </a:xfrm>
                    <a:prstGeom prst="rect">
                      <a:avLst/>
                    </a:prstGeom>
                    <a:noFill/>
                    <a:ln>
                      <a:noFill/>
                    </a:ln>
                  </pic:spPr>
                </pic:pic>
              </a:graphicData>
            </a:graphic>
          </wp:inline>
        </w:drawing>
      </w:r>
    </w:p>
    <w:p w:rsidR="00821430" w:rsidRPr="00FA309C" w:rsidRDefault="00821430" w:rsidP="002D4392">
      <w:pPr>
        <w:pStyle w:val="Text1"/>
        <w:spacing w:before="0" w:after="0"/>
        <w:ind w:left="0"/>
        <w:rPr>
          <w:i/>
          <w:sz w:val="20"/>
          <w:szCs w:val="20"/>
        </w:rPr>
      </w:pPr>
      <w:r w:rsidRPr="00FA309C">
        <w:rPr>
          <w:i/>
          <w:sz w:val="20"/>
          <w:szCs w:val="20"/>
        </w:rPr>
        <w:t xml:space="preserve">Source: 2015 DSM consumer survey: </w:t>
      </w:r>
      <w:r w:rsidRPr="00D05FAB">
        <w:rPr>
          <w:i/>
          <w:sz w:val="20"/>
          <w:szCs w:val="20"/>
        </w:rPr>
        <w:t xml:space="preserve">Which of the following DEVICES did you use to make your online purchases over the last 12 months? </w:t>
      </w:r>
      <w:r w:rsidRPr="00FA309C">
        <w:rPr>
          <w:i/>
          <w:sz w:val="20"/>
          <w:szCs w:val="20"/>
        </w:rPr>
        <w:t>(EU28 N=22</w:t>
      </w:r>
      <w:r w:rsidR="004456F1" w:rsidRPr="002D4392">
        <w:rPr>
          <w:i/>
          <w:sz w:val="20"/>
          <w:szCs w:val="20"/>
        </w:rPr>
        <w:t> </w:t>
      </w:r>
      <w:r w:rsidRPr="00FA309C">
        <w:rPr>
          <w:i/>
          <w:sz w:val="20"/>
          <w:szCs w:val="20"/>
        </w:rPr>
        <w:t>848)</w:t>
      </w:r>
    </w:p>
    <w:p w:rsidR="00821430" w:rsidRDefault="00821430">
      <w:pPr>
        <w:spacing w:after="0"/>
      </w:pPr>
      <w:r>
        <w:t xml:space="preserve">Younger respondents (aged 18-34) are by far the most likely to </w:t>
      </w:r>
      <w:r w:rsidR="008F6361">
        <w:t>make use of</w:t>
      </w:r>
      <w:r>
        <w:t xml:space="preserve"> all devices except for desktop computers (which are a more traditional device), which could be seen as a reflection of the wide range of media that young people </w:t>
      </w:r>
      <w:r w:rsidR="00572314">
        <w:t>interact with</w:t>
      </w:r>
      <w:r w:rsidR="00572314" w:rsidRPr="004456F1">
        <w:t xml:space="preserve"> </w:t>
      </w:r>
      <w:r>
        <w:t xml:space="preserve">and their greater propensity to purchase online. Likewise, </w:t>
      </w:r>
      <w:r w:rsidR="004A12DB">
        <w:t>those who frequently travel abroad are much more likely to use all devices</w:t>
      </w:r>
      <w:r>
        <w:t>, which also reflects their greater propensity to buy online.</w:t>
      </w:r>
    </w:p>
    <w:p w:rsidR="00821430" w:rsidRDefault="00821430">
      <w:pPr>
        <w:rPr>
          <w:b/>
          <w:bCs/>
          <w:i/>
          <w:szCs w:val="26"/>
        </w:rPr>
      </w:pPr>
      <w:r>
        <w:rPr>
          <w:b/>
          <w:bCs/>
          <w:i/>
          <w:szCs w:val="26"/>
        </w:rPr>
        <w:t>EU13 countries are more likely to use cash on delivery</w:t>
      </w:r>
    </w:p>
    <w:p w:rsidR="00821430" w:rsidRDefault="00821430">
      <w:pPr>
        <w:autoSpaceDE w:val="0"/>
        <w:autoSpaceDN w:val="0"/>
        <w:adjustRightInd w:val="0"/>
        <w:spacing w:after="0"/>
        <w:rPr>
          <w:lang w:eastAsia="en-GB"/>
        </w:rPr>
      </w:pPr>
      <w:r>
        <w:rPr>
          <w:lang w:eastAsia="en-GB"/>
        </w:rPr>
        <w:t>Electronic means of payment increase efficiency of online transactions and enhance customers</w:t>
      </w:r>
      <w:r w:rsidR="004456F1">
        <w:rPr>
          <w:lang w:eastAsia="en-GB"/>
        </w:rPr>
        <w:t>’</w:t>
      </w:r>
      <w:r>
        <w:rPr>
          <w:lang w:eastAsia="en-GB"/>
        </w:rPr>
        <w:t xml:space="preserve"> convenience. At EU level, the most commonly used payment methods in online transactions are credit/charge card (52</w:t>
      </w:r>
      <w:r w:rsidR="004456F1" w:rsidRPr="004456F1">
        <w:rPr>
          <w:w w:val="50"/>
          <w:lang w:eastAsia="en-GB"/>
        </w:rPr>
        <w:t> </w:t>
      </w:r>
      <w:r>
        <w:rPr>
          <w:lang w:eastAsia="en-GB"/>
        </w:rPr>
        <w:t>%), online payment systems, e.g. PayPal (47</w:t>
      </w:r>
      <w:r w:rsidR="004456F1" w:rsidRPr="004456F1">
        <w:rPr>
          <w:w w:val="50"/>
          <w:lang w:eastAsia="en-GB"/>
        </w:rPr>
        <w:t> </w:t>
      </w:r>
      <w:r>
        <w:rPr>
          <w:lang w:eastAsia="en-GB"/>
        </w:rPr>
        <w:t>%), bank/credit transfer (29</w:t>
      </w:r>
      <w:r w:rsidR="004456F1" w:rsidRPr="004456F1">
        <w:rPr>
          <w:w w:val="50"/>
          <w:lang w:eastAsia="en-GB"/>
        </w:rPr>
        <w:t> </w:t>
      </w:r>
      <w:r>
        <w:rPr>
          <w:lang w:eastAsia="en-GB"/>
        </w:rPr>
        <w:t>%), debit card (24</w:t>
      </w:r>
      <w:r w:rsidR="004456F1" w:rsidRPr="004456F1">
        <w:rPr>
          <w:w w:val="50"/>
          <w:lang w:eastAsia="en-GB"/>
        </w:rPr>
        <w:t> </w:t>
      </w:r>
      <w:r>
        <w:rPr>
          <w:lang w:eastAsia="en-GB"/>
        </w:rPr>
        <w:t>%) and cash on delivery (18</w:t>
      </w:r>
      <w:r w:rsidR="004456F1" w:rsidRPr="004456F1">
        <w:rPr>
          <w:w w:val="50"/>
          <w:lang w:eastAsia="en-GB"/>
        </w:rPr>
        <w:t> </w:t>
      </w:r>
      <w:r>
        <w:rPr>
          <w:lang w:eastAsia="en-GB"/>
        </w:rPr>
        <w:t>%).</w:t>
      </w:r>
    </w:p>
    <w:p w:rsidR="00ED08B2" w:rsidRDefault="00ED08B2" w:rsidP="00ED08B2">
      <w:pPr>
        <w:pStyle w:val="Caption"/>
        <w:rPr>
          <w:b w:val="0"/>
        </w:rPr>
      </w:pPr>
      <w:r>
        <w:t xml:space="preserve">Figure </w:t>
      </w:r>
      <w:r w:rsidR="005269EB">
        <w:rPr>
          <w:noProof/>
        </w:rPr>
        <w:t>20</w:t>
      </w:r>
      <w:r w:rsidRPr="00A8233E">
        <w:t>: Payment methods used for online purchases over the last 12 months</w:t>
      </w:r>
      <w:r w:rsidR="007B5D12">
        <w:t xml:space="preserve">, EU-28, 2015 </w:t>
      </w:r>
      <w:r w:rsidRPr="00A8233E">
        <w:t>(multiple answers possible)</w:t>
      </w:r>
      <w:r w:rsidR="00736094">
        <w:t xml:space="preserve"> (%)</w:t>
      </w:r>
    </w:p>
    <w:p w:rsidR="00821430" w:rsidRPr="005A3C77" w:rsidRDefault="008B418B" w:rsidP="005A3C77">
      <w:pPr>
        <w:pStyle w:val="Text1"/>
        <w:keepNext/>
        <w:spacing w:before="0" w:after="0"/>
        <w:ind w:left="0"/>
        <w:rPr>
          <w:noProof/>
          <w:lang w:eastAsia="en-GB"/>
        </w:rPr>
      </w:pPr>
      <w:r>
        <w:rPr>
          <w:noProof/>
          <w:lang w:eastAsia="en-GB"/>
        </w:rPr>
        <w:drawing>
          <wp:inline distT="0" distB="0" distL="0" distR="0" wp14:anchorId="50A8E9C2" wp14:editId="7B1C9C67">
            <wp:extent cx="5429250" cy="394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9250" cy="3943350"/>
                    </a:xfrm>
                    <a:prstGeom prst="rect">
                      <a:avLst/>
                    </a:prstGeom>
                    <a:noFill/>
                    <a:ln>
                      <a:noFill/>
                    </a:ln>
                  </pic:spPr>
                </pic:pic>
              </a:graphicData>
            </a:graphic>
          </wp:inline>
        </w:drawing>
      </w:r>
    </w:p>
    <w:p w:rsidR="00821430" w:rsidRDefault="00821430" w:rsidP="002D4392">
      <w:pPr>
        <w:pStyle w:val="Text1"/>
        <w:spacing w:before="0" w:after="0"/>
        <w:ind w:left="0"/>
        <w:rPr>
          <w:i/>
          <w:sz w:val="20"/>
          <w:szCs w:val="20"/>
        </w:rPr>
      </w:pPr>
      <w:r>
        <w:rPr>
          <w:i/>
          <w:sz w:val="20"/>
          <w:szCs w:val="20"/>
        </w:rPr>
        <w:t>Source: 2015 DSM consumer survey: Which of the following PAYMENT METHODS have you used for your online purchases over the last 12 months? (EU28 N=22</w:t>
      </w:r>
      <w:r w:rsidR="004456F1" w:rsidRPr="002D4392">
        <w:rPr>
          <w:i/>
          <w:sz w:val="20"/>
          <w:szCs w:val="20"/>
        </w:rPr>
        <w:t> </w:t>
      </w:r>
      <w:r>
        <w:rPr>
          <w:i/>
          <w:sz w:val="20"/>
          <w:szCs w:val="20"/>
        </w:rPr>
        <w:t>848)</w:t>
      </w:r>
    </w:p>
    <w:p w:rsidR="00821430" w:rsidRDefault="00821430">
      <w:pPr>
        <w:autoSpaceDE w:val="0"/>
        <w:autoSpaceDN w:val="0"/>
        <w:adjustRightInd w:val="0"/>
        <w:spacing w:after="0"/>
        <w:rPr>
          <w:lang w:eastAsia="en-GB"/>
        </w:rPr>
      </w:pPr>
      <w:r>
        <w:rPr>
          <w:lang w:eastAsia="en-GB"/>
        </w:rPr>
        <w:t>However, there are notable differences between EU15 and EU13. While EU15 respondents are more likely to use a credit/charge card (54</w:t>
      </w:r>
      <w:r w:rsidR="004456F1" w:rsidRPr="004456F1">
        <w:rPr>
          <w:w w:val="50"/>
          <w:lang w:eastAsia="en-GB"/>
        </w:rPr>
        <w:t> </w:t>
      </w:r>
      <w:r>
        <w:rPr>
          <w:lang w:eastAsia="en-GB"/>
        </w:rPr>
        <w:t>% vs 42</w:t>
      </w:r>
      <w:r w:rsidR="004456F1" w:rsidRPr="004456F1">
        <w:rPr>
          <w:w w:val="50"/>
          <w:lang w:eastAsia="en-GB"/>
        </w:rPr>
        <w:t> </w:t>
      </w:r>
      <w:r>
        <w:rPr>
          <w:lang w:eastAsia="en-GB"/>
        </w:rPr>
        <w:t>% in the EU13) or online payment systems (50</w:t>
      </w:r>
      <w:r w:rsidR="004456F1" w:rsidRPr="004456F1">
        <w:rPr>
          <w:w w:val="50"/>
          <w:lang w:eastAsia="en-GB"/>
        </w:rPr>
        <w:t> </w:t>
      </w:r>
      <w:r>
        <w:rPr>
          <w:lang w:eastAsia="en-GB"/>
        </w:rPr>
        <w:t>% vs 36</w:t>
      </w:r>
      <w:r w:rsidR="004456F1" w:rsidRPr="004456F1">
        <w:rPr>
          <w:w w:val="50"/>
          <w:lang w:eastAsia="en-GB"/>
        </w:rPr>
        <w:t> </w:t>
      </w:r>
      <w:r>
        <w:rPr>
          <w:lang w:eastAsia="en-GB"/>
        </w:rPr>
        <w:t>% in the EU13), EU13 respondents are more likely to use cash on delivery (47</w:t>
      </w:r>
      <w:r w:rsidR="004456F1" w:rsidRPr="004456F1">
        <w:rPr>
          <w:w w:val="50"/>
          <w:lang w:eastAsia="en-GB"/>
        </w:rPr>
        <w:t> </w:t>
      </w:r>
      <w:r>
        <w:rPr>
          <w:lang w:eastAsia="en-GB"/>
        </w:rPr>
        <w:t>% vs 12</w:t>
      </w:r>
      <w:r w:rsidR="004456F1" w:rsidRPr="004456F1">
        <w:rPr>
          <w:w w:val="50"/>
          <w:lang w:eastAsia="en-GB"/>
        </w:rPr>
        <w:t> </w:t>
      </w:r>
      <w:r>
        <w:rPr>
          <w:lang w:eastAsia="en-GB"/>
        </w:rPr>
        <w:t>% in the EU15) or bank/credit transfer (44</w:t>
      </w:r>
      <w:r w:rsidR="004456F1" w:rsidRPr="004456F1">
        <w:rPr>
          <w:w w:val="50"/>
          <w:lang w:eastAsia="en-GB"/>
        </w:rPr>
        <w:t> </w:t>
      </w:r>
      <w:r>
        <w:rPr>
          <w:lang w:eastAsia="en-GB"/>
        </w:rPr>
        <w:t>% vs 25</w:t>
      </w:r>
      <w:r w:rsidR="004456F1" w:rsidRPr="004456F1">
        <w:rPr>
          <w:w w:val="50"/>
          <w:lang w:eastAsia="en-GB"/>
        </w:rPr>
        <w:t> </w:t>
      </w:r>
      <w:r>
        <w:rPr>
          <w:lang w:eastAsia="en-GB"/>
        </w:rPr>
        <w:t xml:space="preserve">% in the EU15). For certain EU13 countries, cash on delivery appears to be by far the most commonly used payment method. </w:t>
      </w:r>
      <w:r w:rsidR="004A12DB">
        <w:rPr>
          <w:lang w:eastAsia="en-GB"/>
        </w:rPr>
        <w:t>C</w:t>
      </w:r>
      <w:r w:rsidRPr="004456F1">
        <w:rPr>
          <w:lang w:eastAsia="en-GB"/>
        </w:rPr>
        <w:t>ash</w:t>
      </w:r>
      <w:r>
        <w:rPr>
          <w:lang w:eastAsia="en-GB"/>
        </w:rPr>
        <w:t xml:space="preserve"> on delivery payments </w:t>
      </w:r>
      <w:r w:rsidR="004A12DB">
        <w:rPr>
          <w:lang w:eastAsia="en-GB"/>
        </w:rPr>
        <w:t>are most widespread</w:t>
      </w:r>
      <w:r>
        <w:rPr>
          <w:lang w:eastAsia="en-GB"/>
        </w:rPr>
        <w:t xml:space="preserve"> in Bulgaria (62</w:t>
      </w:r>
      <w:r w:rsidR="004456F1" w:rsidRPr="004456F1">
        <w:rPr>
          <w:w w:val="50"/>
          <w:lang w:eastAsia="en-GB"/>
        </w:rPr>
        <w:t> </w:t>
      </w:r>
      <w:r>
        <w:rPr>
          <w:lang w:eastAsia="en-GB"/>
        </w:rPr>
        <w:t>%), Romania (57</w:t>
      </w:r>
      <w:r w:rsidR="004456F1" w:rsidRPr="004456F1">
        <w:rPr>
          <w:w w:val="50"/>
          <w:lang w:eastAsia="en-GB"/>
        </w:rPr>
        <w:t> </w:t>
      </w:r>
      <w:r>
        <w:rPr>
          <w:lang w:eastAsia="en-GB"/>
        </w:rPr>
        <w:t>%), Slovakia (57</w:t>
      </w:r>
      <w:r w:rsidR="004456F1" w:rsidRPr="004456F1">
        <w:rPr>
          <w:w w:val="50"/>
          <w:lang w:eastAsia="en-GB"/>
        </w:rPr>
        <w:t> </w:t>
      </w:r>
      <w:r>
        <w:rPr>
          <w:lang w:eastAsia="en-GB"/>
        </w:rPr>
        <w:t>%), Slovenia (55</w:t>
      </w:r>
      <w:r w:rsidR="004456F1" w:rsidRPr="004456F1">
        <w:rPr>
          <w:w w:val="50"/>
          <w:lang w:eastAsia="en-GB"/>
        </w:rPr>
        <w:t> </w:t>
      </w:r>
      <w:r>
        <w:rPr>
          <w:lang w:eastAsia="en-GB"/>
        </w:rPr>
        <w:t>%), Greece (54</w:t>
      </w:r>
      <w:r w:rsidR="004456F1" w:rsidRPr="004456F1">
        <w:rPr>
          <w:w w:val="50"/>
          <w:lang w:eastAsia="en-GB"/>
        </w:rPr>
        <w:t> </w:t>
      </w:r>
      <w:r>
        <w:rPr>
          <w:lang w:eastAsia="en-GB"/>
        </w:rPr>
        <w:t>%) and the Czech Republic (53</w:t>
      </w:r>
      <w:r w:rsidR="004456F1" w:rsidRPr="004456F1">
        <w:rPr>
          <w:w w:val="50"/>
          <w:lang w:eastAsia="en-GB"/>
        </w:rPr>
        <w:t> </w:t>
      </w:r>
      <w:r>
        <w:rPr>
          <w:lang w:eastAsia="en-GB"/>
        </w:rPr>
        <w:t>%).</w:t>
      </w:r>
      <w:r w:rsidRPr="003F628A">
        <w:rPr>
          <w:rStyle w:val="FootnoteReference"/>
        </w:rPr>
        <w:footnoteReference w:id="48"/>
      </w:r>
    </w:p>
    <w:p w:rsidR="00821430" w:rsidRDefault="00821430">
      <w:pPr>
        <w:autoSpaceDE w:val="0"/>
        <w:autoSpaceDN w:val="0"/>
        <w:adjustRightInd w:val="0"/>
        <w:spacing w:after="0"/>
        <w:rPr>
          <w:rFonts w:cs="Arial"/>
          <w:lang w:eastAsia="en-GB"/>
        </w:rPr>
      </w:pPr>
    </w:p>
    <w:p w:rsidR="00821430" w:rsidRDefault="00ED08B2" w:rsidP="00ED08B2">
      <w:pPr>
        <w:pStyle w:val="Caption"/>
        <w:rPr>
          <w:b w:val="0"/>
        </w:rPr>
      </w:pPr>
      <w:r>
        <w:t xml:space="preserve">Figure </w:t>
      </w:r>
      <w:r w:rsidR="005269EB">
        <w:rPr>
          <w:noProof/>
        </w:rPr>
        <w:t>21</w:t>
      </w:r>
      <w:r w:rsidRPr="00DE77F4">
        <w:t xml:space="preserve">: </w:t>
      </w:r>
      <w:r w:rsidR="008F6361">
        <w:t>Proportion</w:t>
      </w:r>
      <w:r w:rsidRPr="00DE77F4">
        <w:t xml:space="preserve"> of respondents who have used cash on delivery for their online purchases over the last 12 months, 2015</w:t>
      </w:r>
      <w:r w:rsidR="00736094">
        <w:t xml:space="preserve"> (%)</w:t>
      </w:r>
      <w:r w:rsidR="00821430" w:rsidRPr="003F628A">
        <w:rPr>
          <w:rStyle w:val="FootnoteReference"/>
        </w:rPr>
        <w:footnoteReference w:id="49"/>
      </w:r>
    </w:p>
    <w:p w:rsidR="00821430" w:rsidRPr="005A3C77" w:rsidRDefault="008B418B" w:rsidP="005A3C77">
      <w:pPr>
        <w:pStyle w:val="Text1"/>
        <w:keepNext/>
        <w:spacing w:before="0" w:after="0"/>
        <w:ind w:left="0"/>
        <w:rPr>
          <w:noProof/>
          <w:lang w:eastAsia="en-GB"/>
        </w:rPr>
      </w:pPr>
      <w:r>
        <w:rPr>
          <w:noProof/>
          <w:lang w:eastAsia="en-GB"/>
        </w:rPr>
        <w:drawing>
          <wp:inline distT="0" distB="0" distL="0" distR="0" wp14:anchorId="13A90EF6" wp14:editId="57AFAA4A">
            <wp:extent cx="57531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Pr>
          <w:i/>
          <w:sz w:val="20"/>
          <w:szCs w:val="20"/>
        </w:rPr>
        <w:t xml:space="preserve">Source: 2015 DSM consumer survey: Which of the following payment methods have you used for your online purchases over the last 12 months? </w:t>
      </w:r>
      <w:r w:rsidR="00E21668">
        <w:rPr>
          <w:i/>
          <w:sz w:val="20"/>
          <w:szCs w:val="20"/>
        </w:rPr>
        <w:t xml:space="preserve">– cash on delivery </w:t>
      </w:r>
      <w:r>
        <w:rPr>
          <w:i/>
          <w:sz w:val="20"/>
          <w:szCs w:val="20"/>
        </w:rPr>
        <w:t>(EU28 N=22</w:t>
      </w:r>
      <w:r w:rsidR="004456F1" w:rsidRPr="002D4392">
        <w:rPr>
          <w:i/>
          <w:sz w:val="20"/>
          <w:szCs w:val="20"/>
        </w:rPr>
        <w:t> </w:t>
      </w:r>
      <w:r>
        <w:rPr>
          <w:i/>
          <w:sz w:val="20"/>
          <w:szCs w:val="20"/>
        </w:rPr>
        <w:t>848)</w:t>
      </w:r>
    </w:p>
    <w:p w:rsidR="00821430" w:rsidRDefault="00821430" w:rsidP="0055096C">
      <w:pPr>
        <w:pStyle w:val="Heading3"/>
      </w:pPr>
      <w:r>
        <w:t xml:space="preserve">2.4 </w:t>
      </w:r>
      <w:r>
        <w:tab/>
        <w:t>Delivery options</w:t>
      </w:r>
    </w:p>
    <w:p w:rsidR="00821430" w:rsidRDefault="00821430">
      <w:pPr>
        <w:spacing w:after="0"/>
      </w:pPr>
      <w:r>
        <w:t>Of those consumers whose last online purchase was a tangible good, the vast majority (83</w:t>
      </w:r>
      <w:r w:rsidR="004456F1" w:rsidRPr="004456F1">
        <w:rPr>
          <w:w w:val="50"/>
        </w:rPr>
        <w:t> </w:t>
      </w:r>
      <w:r>
        <w:t xml:space="preserve">%) had the </w:t>
      </w:r>
      <w:r w:rsidR="00CC7FAE">
        <w:t>item</w:t>
      </w:r>
      <w:r w:rsidR="00CC7FAE" w:rsidRPr="004456F1">
        <w:t xml:space="preserve"> </w:t>
      </w:r>
      <w:r>
        <w:t>delivered to their home or work address, 8</w:t>
      </w:r>
      <w:r w:rsidR="004456F1" w:rsidRPr="004456F1">
        <w:rPr>
          <w:w w:val="50"/>
        </w:rPr>
        <w:t> </w:t>
      </w:r>
      <w:r>
        <w:t>% picked it up in person in a shop, 5</w:t>
      </w:r>
      <w:r w:rsidR="004456F1" w:rsidRPr="004456F1">
        <w:rPr>
          <w:w w:val="50"/>
        </w:rPr>
        <w:t> </w:t>
      </w:r>
      <w:r>
        <w:t>% picked it up from a collecting point/safe box in a public location and 4</w:t>
      </w:r>
      <w:r w:rsidR="004456F1" w:rsidRPr="004456F1">
        <w:rPr>
          <w:w w:val="50"/>
        </w:rPr>
        <w:t> </w:t>
      </w:r>
      <w:r>
        <w:t>% from the local post office.</w:t>
      </w:r>
    </w:p>
    <w:p w:rsidR="00821430" w:rsidRDefault="00821430">
      <w:pPr>
        <w:spacing w:after="0"/>
      </w:pPr>
      <w:r>
        <w:t>The preference for home/work delivery increases with age, whereas younger consumers, those living in metropolitan areas and those who frequently travel abroad are more likely to pick up their order in a shop.</w:t>
      </w:r>
    </w:p>
    <w:p w:rsidR="00821430" w:rsidRDefault="00821430">
      <w:pPr>
        <w:spacing w:after="0"/>
      </w:pPr>
      <w:r>
        <w:t>Looking at regional differences, respondents from EU15 countries are more likely to have their goods delivered at home or at work (85</w:t>
      </w:r>
      <w:r w:rsidR="004456F1" w:rsidRPr="004456F1">
        <w:rPr>
          <w:w w:val="50"/>
        </w:rPr>
        <w:t> </w:t>
      </w:r>
      <w:r>
        <w:t>% vs 75</w:t>
      </w:r>
      <w:r w:rsidR="004456F1" w:rsidRPr="004456F1">
        <w:rPr>
          <w:w w:val="50"/>
        </w:rPr>
        <w:t> </w:t>
      </w:r>
      <w:r>
        <w:t xml:space="preserve">% in the EU13), while a considerably </w:t>
      </w:r>
      <w:r w:rsidR="00CC7FAE">
        <w:t>larg</w:t>
      </w:r>
      <w:r w:rsidR="00CC7FAE" w:rsidRPr="004456F1">
        <w:t xml:space="preserve">er </w:t>
      </w:r>
      <w:r>
        <w:t xml:space="preserve">proportion of EU13 consumers </w:t>
      </w:r>
      <w:r w:rsidR="00CC7FAE">
        <w:t>take delivery of</w:t>
      </w:r>
      <w:r w:rsidR="00CC7FAE" w:rsidRPr="004456F1">
        <w:t xml:space="preserve"> </w:t>
      </w:r>
      <w:r>
        <w:t>their goods in a local post office (8</w:t>
      </w:r>
      <w:r w:rsidR="004456F1" w:rsidRPr="004456F1">
        <w:rPr>
          <w:w w:val="50"/>
        </w:rPr>
        <w:t> </w:t>
      </w:r>
      <w:r>
        <w:t>% vs 3</w:t>
      </w:r>
      <w:r w:rsidR="004456F1" w:rsidRPr="004456F1">
        <w:rPr>
          <w:w w:val="50"/>
        </w:rPr>
        <w:t> </w:t>
      </w:r>
      <w:r>
        <w:t>% in the EU15). The differences between individual countries are even more pronounced. In Malta, Germany and Austria, almost 95</w:t>
      </w:r>
      <w:r w:rsidR="004456F1" w:rsidRPr="004456F1">
        <w:rPr>
          <w:w w:val="50"/>
        </w:rPr>
        <w:t> </w:t>
      </w:r>
      <w:r>
        <w:t>% of consumers had their latest online purchase delivered at home/work</w:t>
      </w:r>
      <w:r w:rsidR="00CC7FAE">
        <w:t>,</w:t>
      </w:r>
      <w:r>
        <w:t xml:space="preserve"> compared to less than 40</w:t>
      </w:r>
      <w:r w:rsidR="004456F1" w:rsidRPr="004456F1">
        <w:rPr>
          <w:w w:val="50"/>
        </w:rPr>
        <w:t> </w:t>
      </w:r>
      <w:r>
        <w:t>% in Estonia (where a third of respondents picked up their order from a collecting point/safe box), Latvia and Finland (where the same proportion picked it up from a local post office).</w:t>
      </w:r>
    </w:p>
    <w:p w:rsidR="00821430" w:rsidRDefault="00821430">
      <w:pPr>
        <w:spacing w:after="0"/>
      </w:pPr>
    </w:p>
    <w:p w:rsidR="00821430" w:rsidRDefault="00821430">
      <w:pPr>
        <w:pStyle w:val="Heading2"/>
        <w:numPr>
          <w:ilvl w:val="1"/>
          <w:numId w:val="34"/>
        </w:numPr>
      </w:pPr>
      <w:r>
        <w:t xml:space="preserve">Drivers </w:t>
      </w:r>
      <w:r w:rsidR="00CC7FAE">
        <w:t>of</w:t>
      </w:r>
      <w:r w:rsidRPr="004456F1">
        <w:t xml:space="preserve"> </w:t>
      </w:r>
      <w:r>
        <w:t>and barriers to e-commerce</w:t>
      </w:r>
    </w:p>
    <w:p w:rsidR="00821430" w:rsidRDefault="00821430">
      <w:pPr>
        <w:spacing w:after="240"/>
      </w:pPr>
      <w:r>
        <w:t xml:space="preserve">This section investigates both demand- and supply-side drivers </w:t>
      </w:r>
      <w:r w:rsidR="00CC7FAE">
        <w:t>of</w:t>
      </w:r>
      <w:r w:rsidRPr="004456F1">
        <w:t xml:space="preserve"> </w:t>
      </w:r>
      <w:r>
        <w:t xml:space="preserve">and barriers to (cross-border) e-commerce </w:t>
      </w:r>
      <w:r w:rsidR="00CC7FAE">
        <w:t>throughout</w:t>
      </w:r>
      <w:r w:rsidR="00CC7FAE" w:rsidRPr="004456F1">
        <w:t xml:space="preserve"> </w:t>
      </w:r>
      <w:r>
        <w:t>the EU.</w:t>
      </w:r>
    </w:p>
    <w:p w:rsidR="00821430" w:rsidRDefault="00821430" w:rsidP="0055096C">
      <w:pPr>
        <w:pStyle w:val="Heading3"/>
      </w:pPr>
      <w:r>
        <w:t xml:space="preserve">3.1 </w:t>
      </w:r>
      <w:r>
        <w:tab/>
        <w:t xml:space="preserve">On the demand side </w:t>
      </w:r>
    </w:p>
    <w:p w:rsidR="00821430" w:rsidRDefault="00821430">
      <w:pPr>
        <w:spacing w:after="0"/>
      </w:pPr>
      <w:r>
        <w:t>Consumers</w:t>
      </w:r>
      <w:r w:rsidR="004456F1">
        <w:t>’</w:t>
      </w:r>
      <w:r>
        <w:t xml:space="preserve"> propensity to engage in (cross-border) online transactions may be facilitated or hampered by a number of factors, including perceived benefits and risks of e-commerce, confidence in online transactions, awareness of key consumer rights online and the reliability of online comparison tools.</w:t>
      </w:r>
    </w:p>
    <w:p w:rsidR="00821430" w:rsidRDefault="00821430">
      <w:pPr>
        <w:keepNext/>
        <w:spacing w:before="0" w:after="0"/>
        <w:outlineLvl w:val="3"/>
        <w:rPr>
          <w:b/>
          <w:bCs/>
          <w:i/>
          <w:szCs w:val="28"/>
        </w:rPr>
      </w:pPr>
      <w:r>
        <w:rPr>
          <w:b/>
          <w:bCs/>
          <w:i/>
          <w:szCs w:val="28"/>
        </w:rPr>
        <w:t>3.1.1 Reasons to buy online</w:t>
      </w:r>
    </w:p>
    <w:p w:rsidR="00821430" w:rsidRDefault="00821430">
      <w:pPr>
        <w:spacing w:after="240"/>
      </w:pPr>
      <w:r>
        <w:t>In a recent survey of online consumers</w:t>
      </w:r>
      <w:r w:rsidRPr="003F628A">
        <w:rPr>
          <w:rStyle w:val="FootnoteReference"/>
        </w:rPr>
        <w:footnoteReference w:id="50"/>
      </w:r>
      <w:r>
        <w:t>, respondents were asked to indicate five main reasons why they buy products online.</w:t>
      </w:r>
    </w:p>
    <w:p w:rsidR="00821430" w:rsidRDefault="00821430">
      <w:pPr>
        <w:spacing w:after="240"/>
        <w:rPr>
          <w:b/>
          <w:i/>
        </w:rPr>
      </w:pPr>
      <w:r>
        <w:rPr>
          <w:b/>
          <w:i/>
        </w:rPr>
        <w:t xml:space="preserve">Convenience, price and choice are </w:t>
      </w:r>
      <w:r w:rsidR="002A422D">
        <w:rPr>
          <w:b/>
          <w:i/>
        </w:rPr>
        <w:t>the</w:t>
      </w:r>
      <w:r w:rsidRPr="004456F1">
        <w:rPr>
          <w:b/>
          <w:i/>
        </w:rPr>
        <w:t xml:space="preserve"> </w:t>
      </w:r>
      <w:r>
        <w:rPr>
          <w:b/>
          <w:i/>
        </w:rPr>
        <w:t>main reasons to shop online</w:t>
      </w:r>
    </w:p>
    <w:p w:rsidR="00821430" w:rsidRPr="003F628A" w:rsidRDefault="00821430">
      <w:pPr>
        <w:spacing w:after="240"/>
      </w:pPr>
      <w:r>
        <w:t>The</w:t>
      </w:r>
      <w:r w:rsidR="002A422D">
        <w:t xml:space="preserve"> reasons</w:t>
      </w:r>
      <w:r>
        <w:t xml:space="preserve"> most frequently quoted by online shoppers relate to convenience in terms of time (49</w:t>
      </w:r>
      <w:r w:rsidR="004456F1" w:rsidRPr="004456F1">
        <w:rPr>
          <w:w w:val="50"/>
        </w:rPr>
        <w:t> </w:t>
      </w:r>
      <w:r>
        <w:t>% being able to order at any time of the day/week, 42</w:t>
      </w:r>
      <w:r w:rsidR="004456F1" w:rsidRPr="004456F1">
        <w:rPr>
          <w:w w:val="50"/>
        </w:rPr>
        <w:t> </w:t>
      </w:r>
      <w:r>
        <w:t>% saving time by buying online), price (49</w:t>
      </w:r>
      <w:r w:rsidR="004456F1" w:rsidRPr="004456F1">
        <w:rPr>
          <w:w w:val="50"/>
        </w:rPr>
        <w:t> </w:t>
      </w:r>
      <w:r>
        <w:t>% finding cheaper products online, 37</w:t>
      </w:r>
      <w:r w:rsidR="004456F1" w:rsidRPr="004456F1">
        <w:rPr>
          <w:w w:val="50"/>
        </w:rPr>
        <w:t> </w:t>
      </w:r>
      <w:r>
        <w:t>% due to ease of comparing prices online) and choice (36</w:t>
      </w:r>
      <w:r w:rsidR="004456F1" w:rsidRPr="004456F1">
        <w:rPr>
          <w:w w:val="50"/>
        </w:rPr>
        <w:t> </w:t>
      </w:r>
      <w:r>
        <w:t>% more choice online, 25</w:t>
      </w:r>
      <w:r w:rsidR="004456F1" w:rsidRPr="004456F1">
        <w:rPr>
          <w:w w:val="50"/>
        </w:rPr>
        <w:t> </w:t>
      </w:r>
      <w:r>
        <w:t>% finding certain products only online). Around a quarter of online shoppers mention delivery to a convenient place (24</w:t>
      </w:r>
      <w:r w:rsidR="004456F1" w:rsidRPr="004456F1">
        <w:rPr>
          <w:w w:val="50"/>
        </w:rPr>
        <w:t> </w:t>
      </w:r>
      <w:r>
        <w:t xml:space="preserve">%). Next </w:t>
      </w:r>
      <w:r w:rsidR="002A422D">
        <w:t>ar</w:t>
      </w:r>
      <w:r w:rsidR="002A422D" w:rsidRPr="004456F1">
        <w:t xml:space="preserve">e </w:t>
      </w:r>
      <w:r>
        <w:t>information-related reasons: ability to find consumer reviews (21</w:t>
      </w:r>
      <w:r w:rsidR="004456F1" w:rsidRPr="004456F1">
        <w:rPr>
          <w:w w:val="50"/>
        </w:rPr>
        <w:t> </w:t>
      </w:r>
      <w:r>
        <w:t>%), ease of comparing products (20</w:t>
      </w:r>
      <w:r w:rsidR="004456F1" w:rsidRPr="004456F1">
        <w:rPr>
          <w:w w:val="50"/>
        </w:rPr>
        <w:t> </w:t>
      </w:r>
      <w:r>
        <w:t>%) and ability to find more information online (18</w:t>
      </w:r>
      <w:r w:rsidR="004456F1" w:rsidRPr="004456F1">
        <w:rPr>
          <w:w w:val="50"/>
        </w:rPr>
        <w:t> </w:t>
      </w:r>
      <w:r>
        <w:t>%). Smaller proportions of respondents selected the remaining answers: disliking going to shops (12</w:t>
      </w:r>
      <w:r w:rsidR="004456F1" w:rsidRPr="004456F1">
        <w:rPr>
          <w:w w:val="50"/>
        </w:rPr>
        <w:t> </w:t>
      </w:r>
      <w:r>
        <w:t>%), ability to return products easily (9</w:t>
      </w:r>
      <w:r w:rsidR="004456F1" w:rsidRPr="004456F1">
        <w:rPr>
          <w:w w:val="50"/>
        </w:rPr>
        <w:t> </w:t>
      </w:r>
      <w:r>
        <w:t>%) and ability to find better quality products (5</w:t>
      </w:r>
      <w:r w:rsidR="004456F1" w:rsidRPr="004456F1">
        <w:rPr>
          <w:w w:val="50"/>
        </w:rPr>
        <w:t> </w:t>
      </w:r>
      <w:r>
        <w:t>%).</w:t>
      </w:r>
    </w:p>
    <w:p w:rsidR="00ED08B2" w:rsidRDefault="00ED08B2" w:rsidP="00ED08B2">
      <w:pPr>
        <w:pStyle w:val="Caption"/>
      </w:pPr>
      <w:r>
        <w:t xml:space="preserve">Figure </w:t>
      </w:r>
      <w:r w:rsidR="005269EB">
        <w:rPr>
          <w:noProof/>
        </w:rPr>
        <w:t>22</w:t>
      </w:r>
      <w:r w:rsidRPr="00011C63">
        <w:t>: Main reasons for buying online (up to 5 answers)</w:t>
      </w:r>
      <w:r w:rsidR="00736094">
        <w:t>, EU-28, 2015 (%)</w:t>
      </w:r>
    </w:p>
    <w:p w:rsidR="00821430" w:rsidRDefault="008B418B" w:rsidP="005A3C77">
      <w:pPr>
        <w:pStyle w:val="Text1"/>
        <w:keepNext/>
        <w:spacing w:before="0" w:after="0"/>
        <w:ind w:left="0"/>
        <w:rPr>
          <w:noProof/>
          <w:lang w:eastAsia="en-GB"/>
        </w:rPr>
      </w:pPr>
      <w:r>
        <w:rPr>
          <w:noProof/>
          <w:lang w:eastAsia="en-GB"/>
        </w:rPr>
        <w:drawing>
          <wp:inline distT="0" distB="0" distL="0" distR="0" wp14:anchorId="0924B832" wp14:editId="60BB0B70">
            <wp:extent cx="5438775" cy="3381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8775" cy="3381375"/>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2015 DSM consumer survey</w:t>
      </w:r>
      <w:r w:rsidR="00EC7838">
        <w:rPr>
          <w:i/>
          <w:sz w:val="20"/>
          <w:szCs w:val="20"/>
        </w:rPr>
        <w:t>:</w:t>
      </w:r>
      <w:r w:rsidRPr="002D4392">
        <w:rPr>
          <w:i/>
          <w:sz w:val="20"/>
          <w:szCs w:val="20"/>
        </w:rPr>
        <w:t xml:space="preserve"> What are the main REASONS why you buy products online? (EU28 N=22</w:t>
      </w:r>
      <w:r w:rsidR="004456F1" w:rsidRPr="002D4392">
        <w:rPr>
          <w:i/>
          <w:sz w:val="20"/>
          <w:szCs w:val="20"/>
        </w:rPr>
        <w:t> </w:t>
      </w:r>
      <w:r w:rsidRPr="002D4392">
        <w:rPr>
          <w:i/>
          <w:sz w:val="20"/>
          <w:szCs w:val="20"/>
        </w:rPr>
        <w:t>646)</w:t>
      </w:r>
    </w:p>
    <w:p w:rsidR="00821430" w:rsidRDefault="00821430">
      <w:pPr>
        <w:spacing w:after="0"/>
      </w:pPr>
      <w:r>
        <w:t>The results of a regression analysis</w:t>
      </w:r>
      <w:r>
        <w:rPr>
          <w:rStyle w:val="FootnoteReference"/>
        </w:rPr>
        <w:footnoteReference w:id="51"/>
      </w:r>
      <w:r>
        <w:t xml:space="preserve"> confirm that price, choice and convenience in terms of time </w:t>
      </w:r>
      <w:r w:rsidR="00C011C4">
        <w:t>are the principal reasons why</w:t>
      </w:r>
      <w:r>
        <w:t xml:space="preserve"> consumers </w:t>
      </w:r>
      <w:r w:rsidR="00C011C4">
        <w:t>opt for</w:t>
      </w:r>
      <w:r>
        <w:t xml:space="preserve"> online purchase of tangible goods</w:t>
      </w:r>
      <w:r w:rsidRPr="004456F1">
        <w:t xml:space="preserve">, </w:t>
      </w:r>
      <w:r w:rsidR="00C839B0">
        <w:t xml:space="preserve">and are </w:t>
      </w:r>
      <w:r w:rsidR="00C839B0" w:rsidRPr="004456F1">
        <w:t>significant factors driv</w:t>
      </w:r>
      <w:r w:rsidR="00C839B0">
        <w:t>ing</w:t>
      </w:r>
      <w:r w:rsidR="00C839B0" w:rsidRPr="004456F1">
        <w:t xml:space="preserve"> the volume of online purchases</w:t>
      </w:r>
      <w:r>
        <w:t xml:space="preserve">, whereas for paid digital content quality appears to be the predominant factor. Cross-border purchases of goods appear to be driven mostly by reasons relating to quality and choice. </w:t>
      </w:r>
    </w:p>
    <w:p w:rsidR="00821430" w:rsidRDefault="00821430">
      <w:pPr>
        <w:spacing w:after="0"/>
      </w:pPr>
    </w:p>
    <w:p w:rsidR="00821430" w:rsidRDefault="00821430">
      <w:pPr>
        <w:keepNext/>
        <w:spacing w:before="0" w:after="0"/>
        <w:outlineLvl w:val="3"/>
        <w:rPr>
          <w:b/>
          <w:bCs/>
          <w:i/>
          <w:szCs w:val="28"/>
        </w:rPr>
      </w:pPr>
      <w:r>
        <w:rPr>
          <w:b/>
          <w:bCs/>
          <w:i/>
          <w:szCs w:val="28"/>
        </w:rPr>
        <w:t>3.1.2 Confidence to buy online domestically and cross-border</w:t>
      </w:r>
    </w:p>
    <w:p w:rsidR="00821430" w:rsidRDefault="00821430">
      <w:pPr>
        <w:spacing w:after="0"/>
        <w:rPr>
          <w:b/>
          <w:i/>
        </w:rPr>
      </w:pPr>
      <w:r>
        <w:rPr>
          <w:b/>
          <w:i/>
        </w:rPr>
        <w:t xml:space="preserve">Consumer concerns are </w:t>
      </w:r>
      <w:r w:rsidR="002C0CF3">
        <w:rPr>
          <w:b/>
          <w:i/>
        </w:rPr>
        <w:t>a significant</w:t>
      </w:r>
      <w:r>
        <w:rPr>
          <w:b/>
          <w:i/>
        </w:rPr>
        <w:t xml:space="preserve"> barrier to cross-border shopping</w:t>
      </w:r>
    </w:p>
    <w:p w:rsidR="00821430" w:rsidRDefault="00821430">
      <w:pPr>
        <w:spacing w:after="0"/>
      </w:pPr>
      <w:r>
        <w:t>Low levels of cross-border shopping may be explained,</w:t>
      </w:r>
      <w:r>
        <w:rPr>
          <w:b/>
        </w:rPr>
        <w:t xml:space="preserve"> </w:t>
      </w:r>
      <w:r>
        <w:t xml:space="preserve">at least in part, by </w:t>
      </w:r>
      <w:r w:rsidR="00B4077E">
        <w:t>a</w:t>
      </w:r>
      <w:r w:rsidR="00B4077E" w:rsidRPr="004456F1">
        <w:t xml:space="preserve"> </w:t>
      </w:r>
      <w:r>
        <w:t>persistent gap in consumer confidence. While 61</w:t>
      </w:r>
      <w:r w:rsidR="004456F1" w:rsidRPr="004456F1">
        <w:rPr>
          <w:w w:val="50"/>
        </w:rPr>
        <w:t> </w:t>
      </w:r>
      <w:r>
        <w:t>% of consumers feel confident buying online in their own country, only 38</w:t>
      </w:r>
      <w:r w:rsidR="004456F1" w:rsidRPr="004456F1">
        <w:rPr>
          <w:w w:val="50"/>
        </w:rPr>
        <w:t> </w:t>
      </w:r>
      <w:r>
        <w:t>% are confident purchasing goods or services via the Internet from retailers or providers in other EU countries (a 2-point increase in 2014 compared to 2012).</w:t>
      </w:r>
    </w:p>
    <w:p w:rsidR="00ED08B2" w:rsidRDefault="00ED08B2" w:rsidP="00ED08B2">
      <w:pPr>
        <w:pStyle w:val="Caption"/>
      </w:pPr>
      <w:r>
        <w:t xml:space="preserve">Figure </w:t>
      </w:r>
      <w:r w:rsidR="005269EB">
        <w:rPr>
          <w:noProof/>
        </w:rPr>
        <w:t>23</w:t>
      </w:r>
      <w:r w:rsidRPr="00AC047C">
        <w:t>: Confidence in domestic and EU cross-border online purchases, EU28, 2014 (% of consumers)</w:t>
      </w:r>
    </w:p>
    <w:p w:rsidR="00821430" w:rsidRDefault="008B418B" w:rsidP="00A01729">
      <w:pPr>
        <w:pStyle w:val="Text1"/>
        <w:keepNext/>
        <w:spacing w:before="0" w:after="0"/>
        <w:ind w:left="0"/>
        <w:rPr>
          <w:noProof/>
          <w:lang w:eastAsia="en-GB"/>
        </w:rPr>
      </w:pPr>
      <w:r>
        <w:rPr>
          <w:noProof/>
          <w:lang w:eastAsia="en-GB"/>
        </w:rPr>
        <w:drawing>
          <wp:inline distT="0" distB="0" distL="0" distR="0" wp14:anchorId="02B2A726" wp14:editId="1AC32005">
            <wp:extent cx="5762625"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8956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Flash Eurobarometer397: How strongly do you agree or disagree with each of the following statements? Base: all respondents (n=26</w:t>
      </w:r>
      <w:r w:rsidR="002C0CF3" w:rsidRPr="002D4392">
        <w:rPr>
          <w:i/>
          <w:sz w:val="20"/>
          <w:szCs w:val="20"/>
        </w:rPr>
        <w:t> </w:t>
      </w:r>
      <w:r w:rsidRPr="002D4392">
        <w:rPr>
          <w:i/>
          <w:sz w:val="20"/>
          <w:szCs w:val="20"/>
        </w:rPr>
        <w:t>590)</w:t>
      </w:r>
    </w:p>
    <w:p w:rsidR="00821430" w:rsidRDefault="00821430">
      <w:pPr>
        <w:autoSpaceDE w:val="0"/>
        <w:autoSpaceDN w:val="0"/>
        <w:adjustRightInd w:val="0"/>
        <w:spacing w:after="0"/>
        <w:rPr>
          <w:lang w:eastAsia="en-GB"/>
        </w:rPr>
      </w:pPr>
      <w:r>
        <w:rPr>
          <w:lang w:eastAsia="en-GB"/>
        </w:rPr>
        <w:t>The percentage of consumers who feel confident buying online in their own country ranges from 80</w:t>
      </w:r>
      <w:r w:rsidR="004456F1" w:rsidRPr="004456F1">
        <w:rPr>
          <w:w w:val="50"/>
          <w:lang w:eastAsia="en-GB"/>
        </w:rPr>
        <w:t> </w:t>
      </w:r>
      <w:r>
        <w:rPr>
          <w:lang w:eastAsia="en-GB"/>
        </w:rPr>
        <w:t>% in Denmark and the UK to 32</w:t>
      </w:r>
      <w:r w:rsidR="004456F1" w:rsidRPr="004456F1">
        <w:rPr>
          <w:w w:val="50"/>
          <w:lang w:eastAsia="en-GB"/>
        </w:rPr>
        <w:t> </w:t>
      </w:r>
      <w:r>
        <w:rPr>
          <w:lang w:eastAsia="en-GB"/>
        </w:rPr>
        <w:t>% in Bulgaria and Croatia. At least half of consumers in Ireland (62</w:t>
      </w:r>
      <w:r w:rsidR="004456F1" w:rsidRPr="004456F1">
        <w:rPr>
          <w:w w:val="50"/>
          <w:lang w:eastAsia="en-GB"/>
        </w:rPr>
        <w:t> </w:t>
      </w:r>
      <w:r>
        <w:rPr>
          <w:lang w:eastAsia="en-GB"/>
        </w:rPr>
        <w:t>%), Luxembourg (56</w:t>
      </w:r>
      <w:r w:rsidR="004456F1" w:rsidRPr="004456F1">
        <w:rPr>
          <w:w w:val="50"/>
          <w:lang w:eastAsia="en-GB"/>
        </w:rPr>
        <w:t> </w:t>
      </w:r>
      <w:r>
        <w:rPr>
          <w:lang w:eastAsia="en-GB"/>
        </w:rPr>
        <w:t>%), Malta (55</w:t>
      </w:r>
      <w:r w:rsidR="004456F1" w:rsidRPr="004456F1">
        <w:rPr>
          <w:w w:val="50"/>
          <w:lang w:eastAsia="en-GB"/>
        </w:rPr>
        <w:t> </w:t>
      </w:r>
      <w:r>
        <w:rPr>
          <w:lang w:eastAsia="en-GB"/>
        </w:rPr>
        <w:t>%) and Denmark (51</w:t>
      </w:r>
      <w:r w:rsidR="004456F1" w:rsidRPr="004456F1">
        <w:rPr>
          <w:w w:val="50"/>
          <w:lang w:eastAsia="en-GB"/>
        </w:rPr>
        <w:t> </w:t>
      </w:r>
      <w:r>
        <w:rPr>
          <w:lang w:eastAsia="en-GB"/>
        </w:rPr>
        <w:t>%) feel confident when making online purchases from other EU countries, compared to 27</w:t>
      </w:r>
      <w:r w:rsidR="004456F1" w:rsidRPr="004456F1">
        <w:rPr>
          <w:w w:val="50"/>
          <w:lang w:eastAsia="en-GB"/>
        </w:rPr>
        <w:t> </w:t>
      </w:r>
      <w:r>
        <w:rPr>
          <w:lang w:eastAsia="en-GB"/>
        </w:rPr>
        <w:t>% in Croatia, 28</w:t>
      </w:r>
      <w:r w:rsidR="004456F1" w:rsidRPr="004456F1">
        <w:rPr>
          <w:w w:val="50"/>
          <w:lang w:eastAsia="en-GB"/>
        </w:rPr>
        <w:t> </w:t>
      </w:r>
      <w:r>
        <w:rPr>
          <w:lang w:eastAsia="en-GB"/>
        </w:rPr>
        <w:t>% in Hungary, 29</w:t>
      </w:r>
      <w:r w:rsidR="004456F1" w:rsidRPr="004456F1">
        <w:rPr>
          <w:w w:val="50"/>
          <w:lang w:eastAsia="en-GB"/>
        </w:rPr>
        <w:t> </w:t>
      </w:r>
      <w:r>
        <w:rPr>
          <w:lang w:eastAsia="en-GB"/>
        </w:rPr>
        <w:t>% in Bulgaria and 30</w:t>
      </w:r>
      <w:r w:rsidR="004456F1" w:rsidRPr="004456F1">
        <w:rPr>
          <w:w w:val="50"/>
          <w:lang w:eastAsia="en-GB"/>
        </w:rPr>
        <w:t> </w:t>
      </w:r>
      <w:r>
        <w:rPr>
          <w:lang w:eastAsia="en-GB"/>
        </w:rPr>
        <w:t>% in Germany.</w:t>
      </w:r>
    </w:p>
    <w:p w:rsidR="00ED08B2" w:rsidRDefault="00ED08B2" w:rsidP="00ED08B2">
      <w:pPr>
        <w:pStyle w:val="Caption"/>
      </w:pPr>
      <w:r>
        <w:t xml:space="preserve">Figure </w:t>
      </w:r>
      <w:r w:rsidR="005269EB">
        <w:rPr>
          <w:noProof/>
        </w:rPr>
        <w:t>24</w:t>
      </w:r>
      <w:r w:rsidRPr="00790C94">
        <w:t>: Confidence in domestic and EU cross-border online purchases in different countries, 2014 (% of consumers)</w:t>
      </w:r>
    </w:p>
    <w:p w:rsidR="00821430" w:rsidRDefault="008B418B" w:rsidP="00A01729">
      <w:pPr>
        <w:pStyle w:val="Text1"/>
        <w:keepNext/>
        <w:spacing w:before="0" w:after="0"/>
        <w:ind w:left="0"/>
        <w:rPr>
          <w:noProof/>
          <w:lang w:eastAsia="en-GB"/>
        </w:rPr>
      </w:pPr>
      <w:r>
        <w:rPr>
          <w:noProof/>
          <w:lang w:eastAsia="en-GB"/>
        </w:rPr>
        <w:drawing>
          <wp:inline distT="0" distB="0" distL="0" distR="0" wp14:anchorId="4AB010AC" wp14:editId="5F7C7172">
            <wp:extent cx="57531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Flash Eurobarometer397: How strongly do you agree or disagree with each of the following statements? Base: all respondents (n=26</w:t>
      </w:r>
      <w:r w:rsidR="002C0CF3" w:rsidRPr="002D4392">
        <w:rPr>
          <w:i/>
          <w:sz w:val="20"/>
          <w:szCs w:val="20"/>
        </w:rPr>
        <w:t> </w:t>
      </w:r>
      <w:r w:rsidRPr="002D4392">
        <w:rPr>
          <w:i/>
          <w:sz w:val="20"/>
          <w:szCs w:val="20"/>
        </w:rPr>
        <w:t>590)</w:t>
      </w:r>
    </w:p>
    <w:p w:rsidR="00821430" w:rsidRDefault="00821430">
      <w:pPr>
        <w:spacing w:after="0"/>
      </w:pPr>
      <w:r>
        <w:t>Consumers</w:t>
      </w:r>
      <w:r w:rsidR="004456F1">
        <w:t>’</w:t>
      </w:r>
      <w:r>
        <w:t xml:space="preserve"> confidence in online purchases both domestically and cross-border is strongly correlated with the actual experience of such purchases (correlation of around 0.7 in both cases). Among consumers who have made at least one cross-border online purchase, confidence </w:t>
      </w:r>
      <w:r w:rsidR="00B4077E">
        <w:t>about</w:t>
      </w:r>
      <w:r w:rsidR="00B4077E" w:rsidRPr="004456F1">
        <w:t xml:space="preserve"> </w:t>
      </w:r>
      <w:r w:rsidRPr="004456F1">
        <w:t>buy</w:t>
      </w:r>
      <w:r w:rsidR="00B4077E">
        <w:t>ing</w:t>
      </w:r>
      <w:r>
        <w:t xml:space="preserve"> from online sellers in other EU countries is more than </w:t>
      </w:r>
      <w:r w:rsidR="00E21668">
        <w:t>twice as high as</w:t>
      </w:r>
      <w:r>
        <w:t xml:space="preserve"> </w:t>
      </w:r>
      <w:r w:rsidR="00E554CD">
        <w:t xml:space="preserve">among </w:t>
      </w:r>
      <w:r w:rsidR="002E2815">
        <w:t xml:space="preserve">those </w:t>
      </w:r>
      <w:r w:rsidR="00E554CD">
        <w:t>who have never done so</w:t>
      </w:r>
      <w:r>
        <w:t xml:space="preserve"> (78</w:t>
      </w:r>
      <w:r w:rsidR="004456F1" w:rsidRPr="004456F1">
        <w:rPr>
          <w:w w:val="50"/>
        </w:rPr>
        <w:t> </w:t>
      </w:r>
      <w:r>
        <w:t xml:space="preserve">% vs </w:t>
      </w:r>
      <w:r w:rsidR="002E2815">
        <w:t>36</w:t>
      </w:r>
      <w:r w:rsidR="004456F1" w:rsidRPr="004456F1">
        <w:rPr>
          <w:w w:val="50"/>
        </w:rPr>
        <w:t> </w:t>
      </w:r>
      <w:r>
        <w:t xml:space="preserve">%). As for the influence of different socio-demographic characteristics, internet use has, not surprisingly, the greatest positive impact on confidence </w:t>
      </w:r>
      <w:r w:rsidR="00B4077E">
        <w:t>in</w:t>
      </w:r>
      <w:r w:rsidR="00B4077E" w:rsidRPr="004456F1">
        <w:t xml:space="preserve"> mak</w:t>
      </w:r>
      <w:r w:rsidR="00B4077E">
        <w:t>ing</w:t>
      </w:r>
      <w:r w:rsidR="00B4077E" w:rsidRPr="004456F1">
        <w:t xml:space="preserve"> </w:t>
      </w:r>
      <w:r>
        <w:t>online purchases. It is also higher amon</w:t>
      </w:r>
      <w:r w:rsidR="00E1276B">
        <w:t>g younger, male, better-off and</w:t>
      </w:r>
      <w:r>
        <w:t xml:space="preserve"> better-educated consumers, those who comfortably use at least </w:t>
      </w:r>
      <w:r w:rsidR="006A430A">
        <w:t>four</w:t>
      </w:r>
      <w:r w:rsidR="006A430A" w:rsidRPr="004456F1">
        <w:t xml:space="preserve"> </w:t>
      </w:r>
      <w:r>
        <w:t>languages and respondent</w:t>
      </w:r>
      <w:r w:rsidR="007A6A84">
        <w:t>s with higher numerical skills.</w:t>
      </w:r>
    </w:p>
    <w:p w:rsidR="00821430" w:rsidRDefault="00821430" w:rsidP="007A6A84">
      <w:pPr>
        <w:keepNext/>
        <w:outlineLvl w:val="3"/>
        <w:rPr>
          <w:b/>
          <w:bCs/>
          <w:i/>
          <w:szCs w:val="28"/>
        </w:rPr>
      </w:pPr>
      <w:r>
        <w:rPr>
          <w:b/>
          <w:bCs/>
          <w:i/>
          <w:szCs w:val="28"/>
        </w:rPr>
        <w:t>3.1.3 Awareness of consumer online rights</w:t>
      </w:r>
    </w:p>
    <w:p w:rsidR="00821430" w:rsidRDefault="00821430" w:rsidP="007A6A84">
      <w:pPr>
        <w:autoSpaceDE w:val="0"/>
        <w:autoSpaceDN w:val="0"/>
        <w:adjustRightInd w:val="0"/>
        <w:rPr>
          <w:lang w:eastAsia="en-GB"/>
        </w:rPr>
      </w:pPr>
      <w:r>
        <w:rPr>
          <w:lang w:eastAsia="en-GB"/>
        </w:rPr>
        <w:t xml:space="preserve">Consumers should be aware of their rights in online transactions so they can confidently use them when shopping online. In online transactions, where consumers cannot try or see </w:t>
      </w:r>
      <w:r w:rsidR="006A430A">
        <w:rPr>
          <w:lang w:eastAsia="en-GB"/>
        </w:rPr>
        <w:t>the item</w:t>
      </w:r>
      <w:r w:rsidR="006A430A" w:rsidRPr="004456F1">
        <w:rPr>
          <w:lang w:eastAsia="en-GB"/>
        </w:rPr>
        <w:t xml:space="preserve"> </w:t>
      </w:r>
      <w:r>
        <w:rPr>
          <w:lang w:eastAsia="en-GB"/>
        </w:rPr>
        <w:t xml:space="preserve">first-hand, the opportunity to reconsider a purchase during the cooling-off period </w:t>
      </w:r>
      <w:r w:rsidR="006A430A">
        <w:rPr>
          <w:lang w:eastAsia="en-GB"/>
        </w:rPr>
        <w:t>provide</w:t>
      </w:r>
      <w:r w:rsidR="006A430A" w:rsidRPr="004456F1">
        <w:rPr>
          <w:lang w:eastAsia="en-GB"/>
        </w:rPr>
        <w:t xml:space="preserve">s </w:t>
      </w:r>
      <w:r>
        <w:rPr>
          <w:lang w:eastAsia="en-GB"/>
        </w:rPr>
        <w:t>an important safeguard</w:t>
      </w:r>
      <w:r>
        <w:rPr>
          <w:rStyle w:val="FootnoteReference"/>
        </w:rPr>
        <w:footnoteReference w:id="52"/>
      </w:r>
      <w:r>
        <w:rPr>
          <w:lang w:eastAsia="en-GB"/>
        </w:rPr>
        <w:t xml:space="preserve">. Yet, </w:t>
      </w:r>
      <w:r w:rsidR="00E21668">
        <w:rPr>
          <w:lang w:eastAsia="en-GB"/>
        </w:rPr>
        <w:t xml:space="preserve">just </w:t>
      </w:r>
      <w:r>
        <w:rPr>
          <w:lang w:eastAsia="en-GB"/>
        </w:rPr>
        <w:t>slightly over half of the respondents (56</w:t>
      </w:r>
      <w:r w:rsidR="004456F1" w:rsidRPr="004456F1">
        <w:rPr>
          <w:w w:val="50"/>
          <w:lang w:eastAsia="en-GB"/>
        </w:rPr>
        <w:t> </w:t>
      </w:r>
      <w:r>
        <w:rPr>
          <w:lang w:eastAsia="en-GB"/>
        </w:rPr>
        <w:t xml:space="preserve">%) in the EU correctly answered that they have the right to return a new electronic product ordered by post, phone or the </w:t>
      </w:r>
      <w:r w:rsidR="006A430A">
        <w:rPr>
          <w:lang w:eastAsia="en-GB"/>
        </w:rPr>
        <w:t>I</w:t>
      </w:r>
      <w:r>
        <w:rPr>
          <w:lang w:eastAsia="en-GB"/>
        </w:rPr>
        <w:t>nternet 4 days after its delivery, without giving any reason; 14</w:t>
      </w:r>
      <w:r w:rsidR="004456F1" w:rsidRPr="004456F1">
        <w:rPr>
          <w:w w:val="50"/>
          <w:lang w:eastAsia="en-GB"/>
        </w:rPr>
        <w:t> </w:t>
      </w:r>
      <w:r>
        <w:rPr>
          <w:lang w:eastAsia="en-GB"/>
        </w:rPr>
        <w:t>% incorrectly said that they do not have such right and a quarter (26</w:t>
      </w:r>
      <w:r w:rsidR="004456F1" w:rsidRPr="004456F1">
        <w:rPr>
          <w:w w:val="50"/>
          <w:lang w:eastAsia="en-GB"/>
        </w:rPr>
        <w:t> </w:t>
      </w:r>
      <w:r>
        <w:rPr>
          <w:lang w:eastAsia="en-GB"/>
        </w:rPr>
        <w:t xml:space="preserve">%) </w:t>
      </w:r>
      <w:r w:rsidR="00B4077E">
        <w:rPr>
          <w:lang w:eastAsia="en-GB"/>
        </w:rPr>
        <w:t>thought</w:t>
      </w:r>
      <w:r w:rsidR="00B4077E" w:rsidRPr="004456F1">
        <w:rPr>
          <w:lang w:eastAsia="en-GB"/>
        </w:rPr>
        <w:t xml:space="preserve"> </w:t>
      </w:r>
      <w:r>
        <w:rPr>
          <w:lang w:eastAsia="en-GB"/>
        </w:rPr>
        <w:t>that it depends on the product. The percentage of correct answers ranges from 72</w:t>
      </w:r>
      <w:r w:rsidR="004456F1" w:rsidRPr="004456F1">
        <w:rPr>
          <w:w w:val="50"/>
          <w:lang w:eastAsia="en-GB"/>
        </w:rPr>
        <w:t> </w:t>
      </w:r>
      <w:r>
        <w:rPr>
          <w:lang w:eastAsia="en-GB"/>
        </w:rPr>
        <w:t>% in the Czech Republic, 69</w:t>
      </w:r>
      <w:r w:rsidR="004456F1" w:rsidRPr="004456F1">
        <w:rPr>
          <w:w w:val="50"/>
          <w:lang w:eastAsia="en-GB"/>
        </w:rPr>
        <w:t> </w:t>
      </w:r>
      <w:r>
        <w:rPr>
          <w:lang w:eastAsia="en-GB"/>
        </w:rPr>
        <w:t>% in Germany and 66</w:t>
      </w:r>
      <w:r w:rsidR="004456F1" w:rsidRPr="004456F1">
        <w:rPr>
          <w:w w:val="50"/>
          <w:lang w:eastAsia="en-GB"/>
        </w:rPr>
        <w:t> </w:t>
      </w:r>
      <w:r>
        <w:rPr>
          <w:lang w:eastAsia="en-GB"/>
        </w:rPr>
        <w:t>% in Slovakia to 23</w:t>
      </w:r>
      <w:r w:rsidR="004456F1" w:rsidRPr="004456F1">
        <w:rPr>
          <w:w w:val="50"/>
          <w:lang w:eastAsia="en-GB"/>
        </w:rPr>
        <w:t> </w:t>
      </w:r>
      <w:r>
        <w:rPr>
          <w:lang w:eastAsia="en-GB"/>
        </w:rPr>
        <w:t>% in Greece, 35</w:t>
      </w:r>
      <w:r w:rsidR="004456F1" w:rsidRPr="004456F1">
        <w:rPr>
          <w:w w:val="50"/>
          <w:lang w:eastAsia="en-GB"/>
        </w:rPr>
        <w:t> </w:t>
      </w:r>
      <w:r>
        <w:rPr>
          <w:lang w:eastAsia="en-GB"/>
        </w:rPr>
        <w:t>% in Cyprus and 36</w:t>
      </w:r>
      <w:r w:rsidR="004456F1" w:rsidRPr="004456F1">
        <w:rPr>
          <w:w w:val="50"/>
          <w:lang w:eastAsia="en-GB"/>
        </w:rPr>
        <w:t> </w:t>
      </w:r>
      <w:r>
        <w:rPr>
          <w:lang w:eastAsia="en-GB"/>
        </w:rPr>
        <w:t>% in Portugal.</w:t>
      </w:r>
    </w:p>
    <w:p w:rsidR="00821430" w:rsidRDefault="00ED08B2" w:rsidP="00ED08B2">
      <w:pPr>
        <w:pStyle w:val="Caption"/>
      </w:pPr>
      <w:r>
        <w:t xml:space="preserve">Figure </w:t>
      </w:r>
      <w:r w:rsidR="005269EB">
        <w:rPr>
          <w:noProof/>
        </w:rPr>
        <w:t>25</w:t>
      </w:r>
      <w:r w:rsidRPr="00913B9D">
        <w:t>: Awareness of the right to</w:t>
      </w:r>
      <w:r w:rsidR="006A430A">
        <w:t xml:space="preserve"> a</w:t>
      </w:r>
      <w:r w:rsidRPr="00913B9D">
        <w:t xml:space="preserve"> cooling-off period in distance purchases</w:t>
      </w:r>
      <w:r w:rsidR="00D367A5">
        <w:t>, 2014</w:t>
      </w:r>
      <w:r w:rsidRPr="00913B9D">
        <w:t xml:space="preserve"> (% of consumers)</w:t>
      </w:r>
    </w:p>
    <w:p w:rsidR="00821430" w:rsidRPr="003F628A" w:rsidRDefault="008B418B" w:rsidP="00A01729">
      <w:pPr>
        <w:pStyle w:val="Text1"/>
        <w:keepNext/>
        <w:spacing w:before="0" w:after="0"/>
        <w:ind w:left="0"/>
        <w:rPr>
          <w:noProof/>
          <w:lang w:eastAsia="en-GB"/>
        </w:rPr>
      </w:pPr>
      <w:r>
        <w:rPr>
          <w:noProof/>
          <w:lang w:eastAsia="en-GB"/>
        </w:rPr>
        <w:drawing>
          <wp:inline distT="0" distB="0" distL="0" distR="0" wp14:anchorId="44190FE2" wp14:editId="10833968">
            <wp:extent cx="5686425"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2838450"/>
                    </a:xfrm>
                    <a:prstGeom prst="rect">
                      <a:avLst/>
                    </a:prstGeom>
                    <a:noFill/>
                    <a:ln>
                      <a:noFill/>
                    </a:ln>
                  </pic:spPr>
                </pic:pic>
              </a:graphicData>
            </a:graphic>
          </wp:inline>
        </w:drawing>
      </w:r>
    </w:p>
    <w:p w:rsidR="00821430" w:rsidRPr="002D4392" w:rsidRDefault="00795277" w:rsidP="002D4392">
      <w:pPr>
        <w:pStyle w:val="Text1"/>
        <w:spacing w:before="0" w:after="0"/>
        <w:ind w:left="0"/>
        <w:rPr>
          <w:i/>
          <w:sz w:val="20"/>
          <w:szCs w:val="20"/>
        </w:rPr>
      </w:pPr>
      <w:r w:rsidRPr="002D4392">
        <w:rPr>
          <w:i/>
          <w:sz w:val="20"/>
          <w:szCs w:val="20"/>
        </w:rPr>
        <w:t>Source: Flash Eurobarometer 397</w:t>
      </w:r>
      <w:r w:rsidR="00EC7838">
        <w:rPr>
          <w:i/>
          <w:sz w:val="20"/>
          <w:szCs w:val="20"/>
        </w:rPr>
        <w:t>:</w:t>
      </w:r>
      <w:r w:rsidR="00612B8E">
        <w:rPr>
          <w:i/>
          <w:sz w:val="20"/>
          <w:szCs w:val="20"/>
        </w:rPr>
        <w:t xml:space="preserve"> </w:t>
      </w:r>
      <w:r w:rsidR="00821430" w:rsidRPr="002D4392">
        <w:rPr>
          <w:i/>
          <w:sz w:val="20"/>
          <w:szCs w:val="20"/>
        </w:rPr>
        <w:t>How strongly do you agree or disagree with ea</w:t>
      </w:r>
      <w:r w:rsidR="002D4392">
        <w:rPr>
          <w:i/>
          <w:sz w:val="20"/>
          <w:szCs w:val="20"/>
        </w:rPr>
        <w:t xml:space="preserve">ch of the following statements? </w:t>
      </w:r>
    </w:p>
    <w:p w:rsidR="00821430" w:rsidRDefault="00821430">
      <w:pPr>
        <w:autoSpaceDE w:val="0"/>
        <w:autoSpaceDN w:val="0"/>
        <w:spacing w:after="0"/>
        <w:rPr>
          <w:lang w:eastAsia="en-GB"/>
        </w:rPr>
      </w:pPr>
      <w:r>
        <w:rPr>
          <w:lang w:eastAsia="en-GB"/>
        </w:rPr>
        <w:t>Consumers</w:t>
      </w:r>
      <w:r w:rsidR="004456F1">
        <w:rPr>
          <w:lang w:eastAsia="en-GB"/>
        </w:rPr>
        <w:t>’</w:t>
      </w:r>
      <w:r>
        <w:rPr>
          <w:lang w:eastAsia="en-GB"/>
        </w:rPr>
        <w:t xml:space="preserve"> awareness of their right to a cooling-off period appears even lower when it comes to purchasing digital content. A recent survey of online consumers asked respondents about the latest stage up to which they have the right to withdraw from such purchase and get their money back. At EU28 level, 30</w:t>
      </w:r>
      <w:r w:rsidR="004456F1" w:rsidRPr="004456F1">
        <w:rPr>
          <w:w w:val="50"/>
          <w:lang w:eastAsia="en-GB"/>
        </w:rPr>
        <w:t> </w:t>
      </w:r>
      <w:r>
        <w:rPr>
          <w:lang w:eastAsia="en-GB"/>
        </w:rPr>
        <w:t xml:space="preserve">% of respondents reported that they </w:t>
      </w:r>
      <w:r w:rsidR="00ED01F0" w:rsidRPr="004456F1">
        <w:rPr>
          <w:lang w:eastAsia="en-GB"/>
        </w:rPr>
        <w:t>c</w:t>
      </w:r>
      <w:r w:rsidR="00ED01F0">
        <w:rPr>
          <w:lang w:eastAsia="en-GB"/>
        </w:rPr>
        <w:t>ould</w:t>
      </w:r>
      <w:r w:rsidR="00ED01F0" w:rsidRPr="004456F1">
        <w:rPr>
          <w:lang w:eastAsia="en-GB"/>
        </w:rPr>
        <w:t xml:space="preserve"> </w:t>
      </w:r>
      <w:r>
        <w:rPr>
          <w:lang w:eastAsia="en-GB"/>
        </w:rPr>
        <w:t xml:space="preserve">do so </w:t>
      </w:r>
      <w:r w:rsidR="004456F1">
        <w:rPr>
          <w:lang w:eastAsia="en-GB"/>
        </w:rPr>
        <w:t>‘</w:t>
      </w:r>
      <w:r w:rsidRPr="004456F1">
        <w:rPr>
          <w:lang w:eastAsia="en-GB"/>
        </w:rPr>
        <w:t>before</w:t>
      </w:r>
      <w:r>
        <w:rPr>
          <w:lang w:eastAsia="en-GB"/>
        </w:rPr>
        <w:t xml:space="preserve"> they actually paid for the product</w:t>
      </w:r>
      <w:r w:rsidR="004456F1">
        <w:rPr>
          <w:lang w:eastAsia="en-GB"/>
        </w:rPr>
        <w:t>’</w:t>
      </w:r>
      <w:r>
        <w:rPr>
          <w:lang w:eastAsia="en-GB"/>
        </w:rPr>
        <w:t>, 7</w:t>
      </w:r>
      <w:r w:rsidR="004456F1" w:rsidRPr="004456F1">
        <w:rPr>
          <w:w w:val="50"/>
          <w:lang w:eastAsia="en-GB"/>
        </w:rPr>
        <w:t> </w:t>
      </w:r>
      <w:r>
        <w:rPr>
          <w:lang w:eastAsia="en-GB"/>
        </w:rPr>
        <w:t xml:space="preserve">% reported </w:t>
      </w:r>
      <w:r w:rsidR="004456F1">
        <w:rPr>
          <w:lang w:eastAsia="en-GB"/>
        </w:rPr>
        <w:t>‘</w:t>
      </w:r>
      <w:r w:rsidRPr="004456F1">
        <w:rPr>
          <w:lang w:eastAsia="en-GB"/>
        </w:rPr>
        <w:t>within</w:t>
      </w:r>
      <w:r>
        <w:rPr>
          <w:lang w:eastAsia="en-GB"/>
        </w:rPr>
        <w:t xml:space="preserve"> 14 days after completing the download/streaming</w:t>
      </w:r>
      <w:r w:rsidR="004456F1">
        <w:rPr>
          <w:lang w:eastAsia="en-GB"/>
        </w:rPr>
        <w:t>’</w:t>
      </w:r>
      <w:r>
        <w:rPr>
          <w:lang w:eastAsia="en-GB"/>
        </w:rPr>
        <w:t>, 4</w:t>
      </w:r>
      <w:r w:rsidR="004456F1" w:rsidRPr="004456F1">
        <w:rPr>
          <w:w w:val="50"/>
          <w:lang w:eastAsia="en-GB"/>
        </w:rPr>
        <w:t> </w:t>
      </w:r>
      <w:r>
        <w:rPr>
          <w:lang w:eastAsia="en-GB"/>
        </w:rPr>
        <w:t xml:space="preserve">% answered </w:t>
      </w:r>
      <w:r w:rsidR="004456F1">
        <w:rPr>
          <w:lang w:eastAsia="en-GB"/>
        </w:rPr>
        <w:t>‘</w:t>
      </w:r>
      <w:r w:rsidRPr="004456F1">
        <w:rPr>
          <w:lang w:eastAsia="en-GB"/>
        </w:rPr>
        <w:t>within</w:t>
      </w:r>
      <w:r>
        <w:rPr>
          <w:lang w:eastAsia="en-GB"/>
        </w:rPr>
        <w:t xml:space="preserve"> 24 hours after the download/streaming was completed</w:t>
      </w:r>
      <w:r w:rsidR="004456F1">
        <w:rPr>
          <w:lang w:eastAsia="en-GB"/>
        </w:rPr>
        <w:t>’</w:t>
      </w:r>
      <w:r>
        <w:rPr>
          <w:lang w:eastAsia="en-GB"/>
        </w:rPr>
        <w:t xml:space="preserve"> and 3</w:t>
      </w:r>
      <w:r w:rsidR="004456F1" w:rsidRPr="004456F1">
        <w:rPr>
          <w:w w:val="50"/>
          <w:lang w:eastAsia="en-GB"/>
        </w:rPr>
        <w:t> </w:t>
      </w:r>
      <w:r>
        <w:rPr>
          <w:lang w:eastAsia="en-GB"/>
        </w:rPr>
        <w:t xml:space="preserve">% mentioned </w:t>
      </w:r>
      <w:r w:rsidR="004456F1">
        <w:rPr>
          <w:lang w:eastAsia="en-GB"/>
        </w:rPr>
        <w:t>‘</w:t>
      </w:r>
      <w:r w:rsidRPr="004456F1">
        <w:rPr>
          <w:lang w:eastAsia="en-GB"/>
        </w:rPr>
        <w:t>before</w:t>
      </w:r>
      <w:r>
        <w:rPr>
          <w:lang w:eastAsia="en-GB"/>
        </w:rPr>
        <w:t xml:space="preserve"> the download or streaming was completed</w:t>
      </w:r>
      <w:r w:rsidR="004456F1">
        <w:rPr>
          <w:lang w:eastAsia="en-GB"/>
        </w:rPr>
        <w:t>’</w:t>
      </w:r>
      <w:r>
        <w:rPr>
          <w:lang w:eastAsia="en-GB"/>
        </w:rPr>
        <w:t>. Almost half of respondents (47</w:t>
      </w:r>
      <w:r w:rsidR="004456F1" w:rsidRPr="004456F1">
        <w:rPr>
          <w:w w:val="50"/>
          <w:lang w:eastAsia="en-GB"/>
        </w:rPr>
        <w:t> </w:t>
      </w:r>
      <w:r>
        <w:rPr>
          <w:lang w:eastAsia="en-GB"/>
        </w:rPr>
        <w:t>%) admitted that they did not know the answer to this question, whereas a mere 9</w:t>
      </w:r>
      <w:r w:rsidR="004456F1" w:rsidRPr="004456F1">
        <w:rPr>
          <w:w w:val="50"/>
          <w:lang w:eastAsia="en-GB"/>
        </w:rPr>
        <w:t> </w:t>
      </w:r>
      <w:r>
        <w:rPr>
          <w:lang w:eastAsia="en-GB"/>
        </w:rPr>
        <w:t xml:space="preserve">% correctly identified that they could do so </w:t>
      </w:r>
      <w:r w:rsidR="004456F1">
        <w:rPr>
          <w:lang w:eastAsia="en-GB"/>
        </w:rPr>
        <w:t>‘</w:t>
      </w:r>
      <w:r w:rsidRPr="004456F1">
        <w:rPr>
          <w:lang w:eastAsia="en-GB"/>
        </w:rPr>
        <w:t>before</w:t>
      </w:r>
      <w:r>
        <w:rPr>
          <w:lang w:eastAsia="en-GB"/>
        </w:rPr>
        <w:t xml:space="preserve"> the download/streaming was started</w:t>
      </w:r>
      <w:r w:rsidR="004456F1">
        <w:rPr>
          <w:lang w:eastAsia="en-GB"/>
        </w:rPr>
        <w:t>’</w:t>
      </w:r>
      <w:r>
        <w:rPr>
          <w:lang w:eastAsia="en-GB"/>
        </w:rPr>
        <w:t>.  </w:t>
      </w:r>
    </w:p>
    <w:p w:rsidR="00821430" w:rsidRDefault="00ED08B2" w:rsidP="00ED08B2">
      <w:pPr>
        <w:pStyle w:val="Caption"/>
      </w:pPr>
      <w:r>
        <w:t xml:space="preserve">Figure </w:t>
      </w:r>
      <w:r w:rsidR="005269EB">
        <w:rPr>
          <w:noProof/>
        </w:rPr>
        <w:t>26</w:t>
      </w:r>
      <w:r w:rsidRPr="003E555A">
        <w:t>: Awareness of the right to withdraw from digital content purchases</w:t>
      </w:r>
      <w:r w:rsidR="00D367A5">
        <w:t>, EU-28, 2015 (%)</w:t>
      </w:r>
    </w:p>
    <w:p w:rsidR="00821430" w:rsidRDefault="008B418B" w:rsidP="00A01729">
      <w:pPr>
        <w:pStyle w:val="Text1"/>
        <w:keepNext/>
        <w:spacing w:before="0" w:after="0"/>
        <w:ind w:left="0"/>
        <w:rPr>
          <w:noProof/>
          <w:lang w:eastAsia="en-GB"/>
        </w:rPr>
      </w:pPr>
      <w:r>
        <w:rPr>
          <w:noProof/>
          <w:lang w:eastAsia="en-GB"/>
        </w:rPr>
        <w:drawing>
          <wp:inline distT="0" distB="0" distL="0" distR="0" wp14:anchorId="153DF844" wp14:editId="056A0600">
            <wp:extent cx="5429250" cy="280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9250" cy="280035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 xml:space="preserve">Source: 2015 DSM consumer survey: When purchasing digital content, what is the latest stage up to which you have the right to withdraw from the purchase and get your money back? </w:t>
      </w:r>
      <w:r w:rsidR="00612B8E">
        <w:rPr>
          <w:i/>
          <w:sz w:val="20"/>
          <w:szCs w:val="20"/>
        </w:rPr>
        <w:t>b</w:t>
      </w:r>
      <w:r w:rsidRPr="002D4392">
        <w:rPr>
          <w:i/>
          <w:sz w:val="20"/>
          <w:szCs w:val="20"/>
        </w:rPr>
        <w:t xml:space="preserve">ase: all respondents, </w:t>
      </w:r>
      <w:r w:rsidR="00612B8E">
        <w:rPr>
          <w:i/>
          <w:sz w:val="20"/>
          <w:szCs w:val="20"/>
        </w:rPr>
        <w:t>n</w:t>
      </w:r>
      <w:r w:rsidRPr="002D4392">
        <w:rPr>
          <w:i/>
          <w:sz w:val="20"/>
          <w:szCs w:val="20"/>
        </w:rPr>
        <w:t>=22</w:t>
      </w:r>
      <w:r w:rsidR="004456F1" w:rsidRPr="002D4392">
        <w:rPr>
          <w:i/>
          <w:sz w:val="20"/>
          <w:szCs w:val="20"/>
        </w:rPr>
        <w:t> </w:t>
      </w:r>
      <w:r w:rsidRPr="002D4392">
        <w:rPr>
          <w:i/>
          <w:sz w:val="20"/>
          <w:szCs w:val="20"/>
        </w:rPr>
        <w:t>848</w:t>
      </w:r>
    </w:p>
    <w:p w:rsidR="00821430" w:rsidRDefault="00821430">
      <w:pPr>
        <w:autoSpaceDE w:val="0"/>
        <w:autoSpaceDN w:val="0"/>
        <w:spacing w:after="0"/>
        <w:rPr>
          <w:lang w:eastAsia="en-GB"/>
        </w:rPr>
      </w:pPr>
      <w:r>
        <w:rPr>
          <w:lang w:eastAsia="en-GB"/>
        </w:rPr>
        <w:t xml:space="preserve">The proportion of respondents </w:t>
      </w:r>
      <w:r w:rsidR="00E21668">
        <w:rPr>
          <w:lang w:eastAsia="en-GB"/>
        </w:rPr>
        <w:t xml:space="preserve">who </w:t>
      </w:r>
      <w:r>
        <w:rPr>
          <w:lang w:eastAsia="en-GB"/>
        </w:rPr>
        <w:t>identified the correct answer ranged from as low as 3</w:t>
      </w:r>
      <w:r w:rsidR="004456F1" w:rsidRPr="004456F1">
        <w:rPr>
          <w:w w:val="50"/>
          <w:lang w:eastAsia="en-GB"/>
        </w:rPr>
        <w:t> </w:t>
      </w:r>
      <w:r>
        <w:rPr>
          <w:lang w:eastAsia="en-GB"/>
        </w:rPr>
        <w:t>% in Bulgaria and Cyprus to 11</w:t>
      </w:r>
      <w:r w:rsidR="004456F1" w:rsidRPr="004456F1">
        <w:rPr>
          <w:w w:val="50"/>
          <w:lang w:eastAsia="en-GB"/>
        </w:rPr>
        <w:t> </w:t>
      </w:r>
      <w:r>
        <w:rPr>
          <w:lang w:eastAsia="en-GB"/>
        </w:rPr>
        <w:t xml:space="preserve">% in the UK. </w:t>
      </w:r>
      <w:r w:rsidRPr="004456F1">
        <w:rPr>
          <w:lang w:eastAsia="en-GB"/>
        </w:rPr>
        <w:t>The</w:t>
      </w:r>
      <w:r w:rsidR="00C81F03">
        <w:rPr>
          <w:lang w:eastAsia="en-GB"/>
        </w:rPr>
        <w:t>re were</w:t>
      </w:r>
      <w:r>
        <w:rPr>
          <w:lang w:eastAsia="en-GB"/>
        </w:rPr>
        <w:t xml:space="preserve"> </w:t>
      </w:r>
      <w:r w:rsidR="00C81F03">
        <w:rPr>
          <w:lang w:eastAsia="en-GB"/>
        </w:rPr>
        <w:t>fewer</w:t>
      </w:r>
      <w:r>
        <w:rPr>
          <w:lang w:eastAsia="en-GB"/>
        </w:rPr>
        <w:t xml:space="preserve"> correct answers among older consumers, those who find it very difficult to make ends meet, those who rarely or never travel to another country and those who purchase digital content only domestically.  </w:t>
      </w:r>
    </w:p>
    <w:p w:rsidR="00821430" w:rsidRDefault="00821430">
      <w:pPr>
        <w:autoSpaceDE w:val="0"/>
        <w:autoSpaceDN w:val="0"/>
        <w:spacing w:after="0"/>
        <w:rPr>
          <w:lang w:eastAsia="en-GB"/>
        </w:rPr>
      </w:pPr>
    </w:p>
    <w:p w:rsidR="00821430" w:rsidRDefault="00821430">
      <w:pPr>
        <w:keepNext/>
        <w:spacing w:before="0" w:after="0"/>
        <w:outlineLvl w:val="3"/>
        <w:rPr>
          <w:b/>
          <w:bCs/>
          <w:i/>
          <w:szCs w:val="28"/>
        </w:rPr>
      </w:pPr>
      <w:r>
        <w:rPr>
          <w:b/>
          <w:bCs/>
          <w:i/>
          <w:szCs w:val="28"/>
        </w:rPr>
        <w:t>3.1.4</w:t>
      </w:r>
      <w:r>
        <w:rPr>
          <w:b/>
          <w:bCs/>
          <w:i/>
          <w:szCs w:val="28"/>
        </w:rPr>
        <w:tab/>
        <w:t xml:space="preserve"> Reliability of online comparison tools</w:t>
      </w:r>
    </w:p>
    <w:p w:rsidR="00821430" w:rsidRDefault="00821430">
      <w:pPr>
        <w:autoSpaceDE w:val="0"/>
        <w:autoSpaceDN w:val="0"/>
        <w:adjustRightInd w:val="0"/>
      </w:pPr>
      <w:r>
        <w:t xml:space="preserve">Given the growing importance of online </w:t>
      </w:r>
      <w:r>
        <w:rPr>
          <w:lang w:eastAsia="en-GB"/>
        </w:rPr>
        <w:t xml:space="preserve">comparison tools, </w:t>
      </w:r>
      <w:r>
        <w:t>a recent market study</w:t>
      </w:r>
      <w:r>
        <w:rPr>
          <w:rStyle w:val="FootnoteReference"/>
        </w:rPr>
        <w:footnoteReference w:id="53"/>
      </w:r>
      <w:r>
        <w:rPr>
          <w:lang w:eastAsia="en-GB"/>
        </w:rPr>
        <w:t xml:space="preserve"> </w:t>
      </w:r>
      <w:r>
        <w:t>examined how various types of comparison tools function for consumers.</w:t>
      </w:r>
    </w:p>
    <w:p w:rsidR="00821430" w:rsidRDefault="00821430">
      <w:pPr>
        <w:spacing w:after="0"/>
      </w:pPr>
      <w:r>
        <w:t>The study found that three quarters (74</w:t>
      </w:r>
      <w:r w:rsidR="004456F1" w:rsidRPr="004456F1">
        <w:rPr>
          <w:w w:val="50"/>
        </w:rPr>
        <w:t> </w:t>
      </w:r>
      <w:r>
        <w:t xml:space="preserve">%) of EU online consumers have used price comparison </w:t>
      </w:r>
      <w:r w:rsidRPr="004456F1">
        <w:t>website</w:t>
      </w:r>
      <w:r w:rsidR="00C81F03">
        <w:t>s</w:t>
      </w:r>
      <w:r>
        <w:t xml:space="preserve"> </w:t>
      </w:r>
      <w:r w:rsidR="00B87EC1">
        <w:t>and apps over the past year</w:t>
      </w:r>
      <w:r w:rsidR="00B87EC1" w:rsidRPr="005E1B81">
        <w:t xml:space="preserve"> </w:t>
      </w:r>
      <w:r>
        <w:t>and four in ten (40</w:t>
      </w:r>
      <w:r w:rsidR="004456F1" w:rsidRPr="004456F1">
        <w:rPr>
          <w:w w:val="50"/>
        </w:rPr>
        <w:t> </w:t>
      </w:r>
      <w:r>
        <w:t xml:space="preserve">%) are using them at least once a month. At the same time, two </w:t>
      </w:r>
      <w:r w:rsidRPr="004456F1">
        <w:t>third</w:t>
      </w:r>
      <w:r w:rsidR="00C81F03">
        <w:t>s</w:t>
      </w:r>
      <w:r>
        <w:t xml:space="preserve"> of comparison tool</w:t>
      </w:r>
      <w:r w:rsidRPr="003F628A">
        <w:t xml:space="preserve"> users (65</w:t>
      </w:r>
      <w:r w:rsidR="004456F1" w:rsidRPr="004456F1">
        <w:rPr>
          <w:w w:val="50"/>
          <w:lang w:eastAsia="en-GB"/>
        </w:rPr>
        <w:t> </w:t>
      </w:r>
      <w:r w:rsidRPr="003F628A">
        <w:t xml:space="preserve">%) had experienced at least one problem when using such tools (e.g. unavailability of the product on the </w:t>
      </w:r>
      <w:r w:rsidRPr="004456F1">
        <w:rPr>
          <w:lang w:eastAsia="en-GB"/>
        </w:rPr>
        <w:t>seller</w:t>
      </w:r>
      <w:r w:rsidR="004456F1">
        <w:rPr>
          <w:lang w:eastAsia="en-GB"/>
        </w:rPr>
        <w:t>’</w:t>
      </w:r>
      <w:r w:rsidRPr="004456F1">
        <w:rPr>
          <w:lang w:eastAsia="en-GB"/>
        </w:rPr>
        <w:t>s</w:t>
      </w:r>
      <w:r w:rsidRPr="003F628A">
        <w:t xml:space="preserve"> website in 54</w:t>
      </w:r>
      <w:r w:rsidR="004456F1" w:rsidRPr="004456F1">
        <w:rPr>
          <w:w w:val="50"/>
          <w:lang w:eastAsia="en-GB"/>
        </w:rPr>
        <w:t> </w:t>
      </w:r>
      <w:r w:rsidRPr="003F628A">
        <w:t>% of the cases or incorrect prices in 21</w:t>
      </w:r>
      <w:r w:rsidR="004456F1" w:rsidRPr="004456F1">
        <w:rPr>
          <w:w w:val="50"/>
          <w:lang w:eastAsia="en-GB"/>
        </w:rPr>
        <w:t> </w:t>
      </w:r>
      <w:r w:rsidRPr="003F628A">
        <w:t>% of the cases). Less than half of the comparison tools tested disclosed details on their relationship with suppliers or described their business model (e.g. whether retailers had to pay to have their products listed). Only a third (34</w:t>
      </w:r>
      <w:r w:rsidR="004456F1" w:rsidRPr="004456F1">
        <w:rPr>
          <w:w w:val="50"/>
          <w:lang w:eastAsia="en-GB"/>
        </w:rPr>
        <w:t> </w:t>
      </w:r>
      <w:r w:rsidRPr="003F628A">
        <w:t>%) provided information on how to file a complaint.</w:t>
      </w:r>
    </w:p>
    <w:p w:rsidR="00821430" w:rsidRDefault="00821430">
      <w:pPr>
        <w:autoSpaceDE w:val="0"/>
        <w:autoSpaceDN w:val="0"/>
        <w:adjustRightInd w:val="0"/>
        <w:rPr>
          <w:lang w:eastAsia="en-GB"/>
        </w:rPr>
      </w:pPr>
      <w:r>
        <w:rPr>
          <w:lang w:eastAsia="en-GB"/>
        </w:rPr>
        <w:t>As for consumers</w:t>
      </w:r>
      <w:r w:rsidR="004456F1">
        <w:rPr>
          <w:lang w:eastAsia="en-GB"/>
        </w:rPr>
        <w:t>’</w:t>
      </w:r>
      <w:r>
        <w:rPr>
          <w:lang w:eastAsia="en-GB"/>
        </w:rPr>
        <w:t xml:space="preserve"> own assessment of different types of comparison tools, although virtually all users agreed that price comparison tools allowed customers to compare prices, just 34</w:t>
      </w:r>
      <w:r w:rsidR="004456F1" w:rsidRPr="004456F1">
        <w:rPr>
          <w:w w:val="50"/>
          <w:lang w:eastAsia="en-GB"/>
        </w:rPr>
        <w:t> </w:t>
      </w:r>
      <w:r>
        <w:rPr>
          <w:lang w:eastAsia="en-GB"/>
        </w:rPr>
        <w:t>% said they could also be used to find unbiased product information. A very different result was found for search engines; while just 38</w:t>
      </w:r>
      <w:r w:rsidR="004456F1" w:rsidRPr="004456F1">
        <w:rPr>
          <w:w w:val="50"/>
          <w:lang w:eastAsia="en-GB"/>
        </w:rPr>
        <w:t> </w:t>
      </w:r>
      <w:r>
        <w:rPr>
          <w:lang w:eastAsia="en-GB"/>
        </w:rPr>
        <w:t>% of users agreed they could be used to compare prices, almost twice as many (66</w:t>
      </w:r>
      <w:r w:rsidR="004456F1" w:rsidRPr="004456F1">
        <w:rPr>
          <w:w w:val="50"/>
          <w:lang w:eastAsia="en-GB"/>
        </w:rPr>
        <w:t> </w:t>
      </w:r>
      <w:r>
        <w:rPr>
          <w:lang w:eastAsia="en-GB"/>
        </w:rPr>
        <w:t xml:space="preserve">%) said they could be used to find unbiased product information. A majority of users (62%) </w:t>
      </w:r>
      <w:r w:rsidR="00C81F03">
        <w:rPr>
          <w:lang w:eastAsia="en-GB"/>
        </w:rPr>
        <w:t>took the view</w:t>
      </w:r>
      <w:r w:rsidR="00C81F03" w:rsidRPr="004456F1">
        <w:rPr>
          <w:lang w:eastAsia="en-GB"/>
        </w:rPr>
        <w:t xml:space="preserve"> </w:t>
      </w:r>
      <w:r>
        <w:rPr>
          <w:lang w:eastAsia="en-GB"/>
        </w:rPr>
        <w:t xml:space="preserve">that multi-trader e-commerce platforms were mainly </w:t>
      </w:r>
      <w:r w:rsidR="00C81F03">
        <w:rPr>
          <w:lang w:eastAsia="en-GB"/>
        </w:rPr>
        <w:t>about</w:t>
      </w:r>
      <w:r>
        <w:rPr>
          <w:lang w:eastAsia="en-GB"/>
        </w:rPr>
        <w:t xml:space="preserve"> buying products.</w:t>
      </w:r>
    </w:p>
    <w:p w:rsidR="00ED08B2" w:rsidRDefault="00ED08B2" w:rsidP="00ED08B2">
      <w:pPr>
        <w:pStyle w:val="Caption"/>
        <w:rPr>
          <w:rFonts w:ascii="Arial" w:hAnsi="Arial" w:cs="Arial"/>
          <w:noProof/>
          <w:lang w:eastAsia="en-GB"/>
        </w:rPr>
      </w:pPr>
      <w:r>
        <w:t xml:space="preserve">Figure </w:t>
      </w:r>
      <w:r w:rsidR="005269EB">
        <w:rPr>
          <w:noProof/>
        </w:rPr>
        <w:t>27</w:t>
      </w:r>
      <w:r w:rsidRPr="009E550B">
        <w:t>: Perceived functionalities of online comparison tools, EU28, 2014</w:t>
      </w:r>
      <w:r w:rsidR="00D367A5">
        <w:t xml:space="preserve"> (%)</w:t>
      </w:r>
    </w:p>
    <w:p w:rsidR="00821430" w:rsidRPr="00A01729" w:rsidRDefault="008B418B" w:rsidP="00A01729">
      <w:pPr>
        <w:pStyle w:val="Text1"/>
        <w:keepNext/>
        <w:spacing w:before="0" w:after="0"/>
        <w:ind w:left="0"/>
        <w:rPr>
          <w:noProof/>
          <w:lang w:eastAsia="en-GB"/>
        </w:rPr>
      </w:pPr>
      <w:r>
        <w:rPr>
          <w:noProof/>
          <w:lang w:eastAsia="en-GB"/>
        </w:rPr>
        <w:drawing>
          <wp:inline distT="0" distB="0" distL="0" distR="0" wp14:anchorId="4F74D171" wp14:editId="4F93B2AB">
            <wp:extent cx="5591175" cy="2066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1175" cy="2066925"/>
                    </a:xfrm>
                    <a:prstGeom prst="rect">
                      <a:avLst/>
                    </a:prstGeom>
                    <a:noFill/>
                    <a:ln>
                      <a:noFill/>
                    </a:ln>
                  </pic:spPr>
                </pic:pic>
              </a:graphicData>
            </a:graphic>
          </wp:inline>
        </w:drawing>
      </w:r>
    </w:p>
    <w:p w:rsidR="002501D9" w:rsidRDefault="00821430" w:rsidP="002D4392">
      <w:pPr>
        <w:pStyle w:val="Text1"/>
        <w:spacing w:before="0" w:after="0"/>
        <w:ind w:left="0"/>
        <w:rPr>
          <w:i/>
          <w:sz w:val="20"/>
          <w:szCs w:val="20"/>
        </w:rPr>
      </w:pPr>
      <w:r w:rsidRPr="00D05FAB">
        <w:rPr>
          <w:i/>
          <w:sz w:val="20"/>
          <w:szCs w:val="20"/>
        </w:rPr>
        <w:t>Source: Comparison tools study, 2014: Do you think that the following tools allow customers to</w:t>
      </w:r>
      <w:r w:rsidR="004456F1">
        <w:rPr>
          <w:i/>
          <w:sz w:val="20"/>
          <w:szCs w:val="20"/>
        </w:rPr>
        <w:t> </w:t>
      </w:r>
      <w:r w:rsidR="00612B8E">
        <w:rPr>
          <w:i/>
          <w:sz w:val="20"/>
          <w:szCs w:val="20"/>
        </w:rPr>
        <w:t>…</w:t>
      </w:r>
      <w:r w:rsidRPr="00D05FAB">
        <w:rPr>
          <w:i/>
          <w:sz w:val="20"/>
          <w:szCs w:val="20"/>
        </w:rPr>
        <w:t xml:space="preserve">? </w:t>
      </w:r>
      <w:r w:rsidR="00612B8E">
        <w:rPr>
          <w:i/>
          <w:sz w:val="20"/>
          <w:szCs w:val="20"/>
        </w:rPr>
        <w:t>b</w:t>
      </w:r>
      <w:r w:rsidRPr="00D05FAB">
        <w:rPr>
          <w:i/>
          <w:sz w:val="20"/>
          <w:szCs w:val="20"/>
        </w:rPr>
        <w:t xml:space="preserve">ase: respondents who have heard about comparison </w:t>
      </w:r>
      <w:r w:rsidR="00612B8E">
        <w:rPr>
          <w:i/>
          <w:sz w:val="20"/>
          <w:szCs w:val="20"/>
        </w:rPr>
        <w:t>tools (n</w:t>
      </w:r>
      <w:r w:rsidRPr="00D05FAB">
        <w:rPr>
          <w:i/>
          <w:sz w:val="20"/>
          <w:szCs w:val="20"/>
        </w:rPr>
        <w:t>=</w:t>
      </w:r>
      <w:r w:rsidR="00B87EC1" w:rsidRPr="00D05FAB">
        <w:rPr>
          <w:i/>
          <w:sz w:val="20"/>
          <w:szCs w:val="20"/>
        </w:rPr>
        <w:t>18583</w:t>
      </w:r>
      <w:r w:rsidRPr="00D05FAB">
        <w:rPr>
          <w:i/>
          <w:sz w:val="20"/>
          <w:szCs w:val="20"/>
        </w:rPr>
        <w:t>)</w:t>
      </w:r>
    </w:p>
    <w:p w:rsidR="002501D9" w:rsidRPr="00D05FAB" w:rsidRDefault="002501D9">
      <w:pPr>
        <w:spacing w:after="0"/>
        <w:rPr>
          <w:i/>
          <w:sz w:val="20"/>
          <w:szCs w:val="20"/>
        </w:rPr>
      </w:pPr>
    </w:p>
    <w:p w:rsidR="00B87EC1" w:rsidRDefault="00B87EC1" w:rsidP="00B87EC1">
      <w:pPr>
        <w:spacing w:after="0"/>
      </w:pPr>
      <w:r>
        <w:t>The study also shows that t</w:t>
      </w:r>
      <w:r w:rsidRPr="00311CB3">
        <w:t xml:space="preserve">he way products are ranked </w:t>
      </w:r>
      <w:r w:rsidR="00C81F03">
        <w:t>by a</w:t>
      </w:r>
      <w:r w:rsidRPr="00311CB3">
        <w:t xml:space="preserve"> comparison tool </w:t>
      </w:r>
      <w:r w:rsidR="003F7B0B">
        <w:t xml:space="preserve">(e.g. position of the product in the ranking or the criteria used for ranking) </w:t>
      </w:r>
      <w:r w:rsidRPr="00311CB3">
        <w:t>influences the final choice of the consumer</w:t>
      </w:r>
      <w:r w:rsidR="003F7B0B">
        <w:t>.</w:t>
      </w:r>
    </w:p>
    <w:p w:rsidR="00B87EC1" w:rsidRDefault="00821430" w:rsidP="00B87EC1">
      <w:pPr>
        <w:spacing w:after="0"/>
      </w:pPr>
      <w:r>
        <w:t>The study confirms that the enforcement of existing legislation (</w:t>
      </w:r>
      <w:r w:rsidR="00597669">
        <w:t>e.g.</w:t>
      </w:r>
      <w:r>
        <w:t xml:space="preserve"> Unfair Commercial Practices Directive and Consumer Rights Directive) with regard to comparison tools should be stepped</w:t>
      </w:r>
      <w:r w:rsidR="00597669">
        <w:t xml:space="preserve"> </w:t>
      </w:r>
      <w:r>
        <w:t xml:space="preserve">up and that there is room for further guidance and/or </w:t>
      </w:r>
      <w:r w:rsidR="001F11A1" w:rsidRPr="001F11A1">
        <w:t>collaboration be</w:t>
      </w:r>
      <w:r w:rsidR="001F11A1">
        <w:t xml:space="preserve">tween operators and regulators </w:t>
      </w:r>
      <w:r>
        <w:t xml:space="preserve">to improve the reliability and transparency of these tools. The study also lists a series of </w:t>
      </w:r>
      <w:r w:rsidR="00B87EC1">
        <w:t>recommendations to improve the transparency and reliability of comparison tools</w:t>
      </w:r>
      <w:r w:rsidR="00B87EC1" w:rsidRPr="005E1B81">
        <w:t>.</w:t>
      </w:r>
    </w:p>
    <w:p w:rsidR="00B87EC1" w:rsidRDefault="00B87EC1" w:rsidP="00B87EC1">
      <w:pPr>
        <w:spacing w:after="0"/>
      </w:pPr>
      <w:r w:rsidRPr="005E1B81">
        <w:t xml:space="preserve">These findings </w:t>
      </w:r>
      <w:r>
        <w:t>are</w:t>
      </w:r>
      <w:r w:rsidRPr="005E1B81">
        <w:t xml:space="preserve"> used </w:t>
      </w:r>
      <w:r>
        <w:t xml:space="preserve">by the Commission to develop a series of principles to help comparison tool operators comply with the relevant legislation, such as the Unfair Commercial Practices Directive, and </w:t>
      </w:r>
      <w:r w:rsidRPr="005E1B81">
        <w:t xml:space="preserve">to further </w:t>
      </w:r>
      <w:r>
        <w:t>improve their</w:t>
      </w:r>
      <w:r w:rsidRPr="005E1B81">
        <w:t xml:space="preserve"> transparen</w:t>
      </w:r>
      <w:r>
        <w:t>cy and user-friendliness</w:t>
      </w:r>
      <w:r w:rsidRPr="005E1B81">
        <w:t>.</w:t>
      </w:r>
    </w:p>
    <w:p w:rsidR="0017483B" w:rsidRDefault="0017483B">
      <w:pPr>
        <w:keepNext/>
        <w:spacing w:before="0" w:after="0"/>
        <w:outlineLvl w:val="3"/>
        <w:rPr>
          <w:b/>
          <w:bCs/>
          <w:i/>
          <w:szCs w:val="28"/>
        </w:rPr>
      </w:pPr>
    </w:p>
    <w:p w:rsidR="00821430" w:rsidRDefault="00821430">
      <w:pPr>
        <w:keepNext/>
        <w:spacing w:before="0" w:after="0"/>
        <w:outlineLvl w:val="3"/>
        <w:rPr>
          <w:b/>
          <w:bCs/>
          <w:i/>
          <w:szCs w:val="28"/>
        </w:rPr>
      </w:pPr>
      <w:r>
        <w:rPr>
          <w:b/>
          <w:bCs/>
          <w:i/>
          <w:szCs w:val="28"/>
        </w:rPr>
        <w:t>3.1.5. Concerns about buying online domestically and cross-border</w:t>
      </w:r>
    </w:p>
    <w:p w:rsidR="00821430" w:rsidRDefault="00821430">
      <w:pPr>
        <w:spacing w:after="0"/>
      </w:pPr>
      <w:r>
        <w:t xml:space="preserve">In </w:t>
      </w:r>
      <w:r w:rsidR="00A56C4C">
        <w:t>a</w:t>
      </w:r>
      <w:r>
        <w:t xml:space="preserve"> recent survey of online consumers, respondents were asked about their greatest concerns about buying products online in their own country and in other EU countries.</w:t>
      </w:r>
      <w:r>
        <w:rPr>
          <w:rStyle w:val="FootnoteReference"/>
        </w:rPr>
        <w:footnoteReference w:id="54"/>
      </w:r>
    </w:p>
    <w:p w:rsidR="00821430" w:rsidRDefault="00821430">
      <w:pPr>
        <w:spacing w:after="0"/>
        <w:rPr>
          <w:b/>
          <w:i/>
        </w:rPr>
      </w:pPr>
      <w:r>
        <w:rPr>
          <w:b/>
          <w:i/>
        </w:rPr>
        <w:t>Data protection, payment security and consumer rights are key concerns in domestic e-commerce</w:t>
      </w:r>
    </w:p>
    <w:p w:rsidR="00821430" w:rsidRDefault="00821430">
      <w:pPr>
        <w:spacing w:after="0"/>
      </w:pPr>
      <w:r>
        <w:t xml:space="preserve">The main consumer concerns about purchasing products online domestically </w:t>
      </w:r>
      <w:r w:rsidR="00CC1E73">
        <w:t>have to do with</w:t>
      </w:r>
      <w:r>
        <w:t xml:space="preserve"> data protection and payment security (30</w:t>
      </w:r>
      <w:r w:rsidR="004456F1" w:rsidRPr="004456F1">
        <w:rPr>
          <w:w w:val="50"/>
        </w:rPr>
        <w:t> </w:t>
      </w:r>
      <w:r>
        <w:t>% of respondents were concerned that personal data may be misused and 2</w:t>
      </w:r>
      <w:r w:rsidR="00281322">
        <w:t>6</w:t>
      </w:r>
      <w:r w:rsidR="004456F1" w:rsidRPr="004456F1">
        <w:rPr>
          <w:w w:val="50"/>
        </w:rPr>
        <w:t> </w:t>
      </w:r>
      <w:r>
        <w:t>% that payment card details may be stolen) and consumer rights (26</w:t>
      </w:r>
      <w:r w:rsidR="004456F1" w:rsidRPr="004456F1">
        <w:rPr>
          <w:w w:val="50"/>
        </w:rPr>
        <w:t> </w:t>
      </w:r>
      <w:r>
        <w:t xml:space="preserve">% </w:t>
      </w:r>
      <w:r w:rsidR="00260A3A">
        <w:t>we</w:t>
      </w:r>
      <w:r w:rsidR="00CC1E73">
        <w:t>re afraid</w:t>
      </w:r>
      <w:r>
        <w:t xml:space="preserve"> of receiving wrong or damaged products, 25% were concerned that it is not easy to replace or repair a faulty product and 22</w:t>
      </w:r>
      <w:r w:rsidR="004456F1" w:rsidRPr="004456F1">
        <w:rPr>
          <w:w w:val="50"/>
        </w:rPr>
        <w:t> </w:t>
      </w:r>
      <w:r>
        <w:t xml:space="preserve">% that it is not easy to return a product they did not like and get reimbursement). Just under a fifth of online consumers </w:t>
      </w:r>
      <w:r w:rsidR="00CC1E73">
        <w:t>believe</w:t>
      </w:r>
      <w:r w:rsidR="00CC1E73" w:rsidRPr="004456F1">
        <w:t xml:space="preserve"> </w:t>
      </w:r>
      <w:r>
        <w:t>that goods bought online may be unsafe or counterfeit (19</w:t>
      </w:r>
      <w:r w:rsidR="004456F1" w:rsidRPr="004456F1">
        <w:rPr>
          <w:w w:val="50"/>
        </w:rPr>
        <w:t> </w:t>
      </w:r>
      <w:r>
        <w:t>%), delivery times may be long (18</w:t>
      </w:r>
      <w:r w:rsidR="004456F1" w:rsidRPr="004456F1">
        <w:rPr>
          <w:w w:val="50"/>
        </w:rPr>
        <w:t> </w:t>
      </w:r>
      <w:r>
        <w:t xml:space="preserve">%) or that products </w:t>
      </w:r>
      <w:r w:rsidR="00E21668">
        <w:t xml:space="preserve">would </w:t>
      </w:r>
      <w:r>
        <w:t>not be delivered at all (17</w:t>
      </w:r>
      <w:r w:rsidR="004456F1" w:rsidRPr="004456F1">
        <w:rPr>
          <w:w w:val="50"/>
        </w:rPr>
        <w:t> </w:t>
      </w:r>
      <w:r>
        <w:t xml:space="preserve">%). Smaller numbers </w:t>
      </w:r>
      <w:r w:rsidR="00CC1E73">
        <w:t>have</w:t>
      </w:r>
      <w:r w:rsidRPr="004456F1">
        <w:t xml:space="preserve"> </w:t>
      </w:r>
      <w:r>
        <w:t xml:space="preserve">expressed concerns </w:t>
      </w:r>
      <w:r w:rsidR="00CC1E73" w:rsidRPr="004456F1">
        <w:t>a</w:t>
      </w:r>
      <w:r w:rsidR="00CC1E73">
        <w:t>bout</w:t>
      </w:r>
      <w:r w:rsidR="00CC1E73" w:rsidRPr="004456F1">
        <w:t xml:space="preserve"> </w:t>
      </w:r>
      <w:r>
        <w:t>the delivery cost or price being higher than the one displayed (13</w:t>
      </w:r>
      <w:r w:rsidR="004456F1" w:rsidRPr="004456F1">
        <w:rPr>
          <w:w w:val="50"/>
        </w:rPr>
        <w:t> </w:t>
      </w:r>
      <w:r>
        <w:t>%), the customer service being poor (13</w:t>
      </w:r>
      <w:r w:rsidR="004456F1" w:rsidRPr="004456F1">
        <w:rPr>
          <w:w w:val="50"/>
        </w:rPr>
        <w:t> </w:t>
      </w:r>
      <w:r>
        <w:t>%) and their preferred payment method not being available (11</w:t>
      </w:r>
      <w:r w:rsidR="004456F1" w:rsidRPr="004456F1">
        <w:rPr>
          <w:w w:val="50"/>
        </w:rPr>
        <w:t> </w:t>
      </w:r>
      <w:r>
        <w:t>%). Fewer than one in ten mention a lower level of consumer protection (9</w:t>
      </w:r>
      <w:r w:rsidR="004456F1" w:rsidRPr="004456F1">
        <w:rPr>
          <w:w w:val="50"/>
        </w:rPr>
        <w:t> </w:t>
      </w:r>
      <w:r>
        <w:t>%) or not knowing their consumer rights online (7</w:t>
      </w:r>
      <w:r w:rsidR="004456F1" w:rsidRPr="004456F1">
        <w:rPr>
          <w:w w:val="50"/>
        </w:rPr>
        <w:t> </w:t>
      </w:r>
      <w:r>
        <w:t xml:space="preserve">%). Finally, </w:t>
      </w:r>
      <w:r w:rsidR="00E21668">
        <w:t xml:space="preserve">concerns related to </w:t>
      </w:r>
      <w:r>
        <w:t>trust in or understanding of the terms and conditions were mentioned by 6</w:t>
      </w:r>
      <w:r w:rsidR="004456F1" w:rsidRPr="004456F1">
        <w:rPr>
          <w:w w:val="50"/>
        </w:rPr>
        <w:t> </w:t>
      </w:r>
      <w:r>
        <w:t>% and 3</w:t>
      </w:r>
      <w:r w:rsidR="004456F1" w:rsidRPr="004456F1">
        <w:rPr>
          <w:w w:val="50"/>
        </w:rPr>
        <w:t> </w:t>
      </w:r>
      <w:r>
        <w:t>% of respondents, respectively.</w:t>
      </w:r>
    </w:p>
    <w:p w:rsidR="00ED08B2" w:rsidRDefault="00ED08B2" w:rsidP="00ED08B2">
      <w:pPr>
        <w:pStyle w:val="Caption"/>
      </w:pPr>
      <w:r>
        <w:t xml:space="preserve">Figure </w:t>
      </w:r>
      <w:r w:rsidR="005269EB">
        <w:rPr>
          <w:noProof/>
        </w:rPr>
        <w:t>28</w:t>
      </w:r>
      <w:r>
        <w:t>: Main concerns about buying online in own country, EU28, 2015 (up to 5 answers)</w:t>
      </w:r>
      <w:r w:rsidR="00156334">
        <w:t xml:space="preserve"> (%)</w:t>
      </w:r>
    </w:p>
    <w:p w:rsidR="00B705D1" w:rsidRDefault="008B418B" w:rsidP="00A01729">
      <w:pPr>
        <w:pStyle w:val="Text1"/>
        <w:keepNext/>
        <w:spacing w:before="0" w:after="0"/>
        <w:ind w:left="0"/>
        <w:rPr>
          <w:noProof/>
          <w:lang w:eastAsia="en-GB"/>
        </w:rPr>
      </w:pPr>
      <w:r>
        <w:rPr>
          <w:noProof/>
          <w:lang w:eastAsia="en-GB"/>
        </w:rPr>
        <w:drawing>
          <wp:inline distT="0" distB="0" distL="0" distR="0" wp14:anchorId="703A230F" wp14:editId="015FE798">
            <wp:extent cx="4248150"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48150" cy="5133975"/>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 xml:space="preserve">Source: 2015 DSM consumer survey: What are your greatest CONCERNS about buying products online in your country? (EU28 </w:t>
      </w:r>
      <w:r w:rsidR="00612B8E">
        <w:rPr>
          <w:i/>
          <w:sz w:val="20"/>
          <w:szCs w:val="20"/>
        </w:rPr>
        <w:t>n</w:t>
      </w:r>
      <w:r w:rsidRPr="002D4392">
        <w:rPr>
          <w:i/>
          <w:sz w:val="20"/>
          <w:szCs w:val="20"/>
        </w:rPr>
        <w:t>=22</w:t>
      </w:r>
      <w:r w:rsidR="004456F1" w:rsidRPr="002D4392">
        <w:rPr>
          <w:i/>
          <w:sz w:val="20"/>
          <w:szCs w:val="20"/>
        </w:rPr>
        <w:t> </w:t>
      </w:r>
      <w:r w:rsidRPr="002D4392">
        <w:rPr>
          <w:i/>
          <w:sz w:val="20"/>
          <w:szCs w:val="20"/>
        </w:rPr>
        <w:t>848)</w:t>
      </w:r>
    </w:p>
    <w:p w:rsidR="007A6A84" w:rsidRPr="005724E3" w:rsidRDefault="007A6A84" w:rsidP="00D05FAB">
      <w:pPr>
        <w:spacing w:before="0" w:after="0"/>
        <w:rPr>
          <w:i/>
          <w:sz w:val="20"/>
        </w:rPr>
      </w:pPr>
    </w:p>
    <w:p w:rsidR="00821430" w:rsidRPr="005724E3" w:rsidRDefault="00821430">
      <w:pPr>
        <w:pStyle w:val="ListParagraph"/>
        <w:ind w:left="0"/>
        <w:rPr>
          <w:rFonts w:ascii="Times New Roman" w:hAnsi="Times New Roman"/>
          <w:color w:val="auto"/>
          <w:sz w:val="24"/>
        </w:rPr>
      </w:pPr>
      <w:r>
        <w:rPr>
          <w:rFonts w:ascii="Times New Roman" w:hAnsi="Times New Roman"/>
          <w:color w:val="auto"/>
          <w:sz w:val="24"/>
        </w:rPr>
        <w:t>Overall, a fifth (19</w:t>
      </w:r>
      <w:r w:rsidR="004456F1" w:rsidRPr="004456F1">
        <w:rPr>
          <w:rFonts w:ascii="Times New Roman" w:hAnsi="Times New Roman"/>
          <w:color w:val="auto"/>
          <w:w w:val="50"/>
          <w:sz w:val="24"/>
        </w:rPr>
        <w:t> </w:t>
      </w:r>
      <w:r>
        <w:rPr>
          <w:rFonts w:ascii="Times New Roman" w:hAnsi="Times New Roman"/>
          <w:color w:val="auto"/>
          <w:sz w:val="24"/>
        </w:rPr>
        <w:t xml:space="preserve">%) of online consumers </w:t>
      </w:r>
      <w:r w:rsidR="00CC1E73" w:rsidRPr="004456F1">
        <w:rPr>
          <w:rFonts w:ascii="Times New Roman" w:hAnsi="Times New Roman"/>
          <w:color w:val="auto"/>
          <w:sz w:val="24"/>
        </w:rPr>
        <w:t>sa</w:t>
      </w:r>
      <w:r w:rsidR="00CC1E73">
        <w:rPr>
          <w:rFonts w:ascii="Times New Roman" w:hAnsi="Times New Roman"/>
          <w:color w:val="auto"/>
          <w:sz w:val="24"/>
        </w:rPr>
        <w:t>y</w:t>
      </w:r>
      <w:r>
        <w:rPr>
          <w:rFonts w:ascii="Times New Roman" w:hAnsi="Times New Roman"/>
          <w:color w:val="auto"/>
          <w:sz w:val="24"/>
        </w:rPr>
        <w:t xml:space="preserve"> they do not have any concerns about buying products online in their country. Consumer groups that </w:t>
      </w:r>
      <w:r w:rsidRPr="005724E3">
        <w:rPr>
          <w:rFonts w:ascii="Times New Roman" w:hAnsi="Times New Roman"/>
          <w:color w:val="auto"/>
          <w:sz w:val="24"/>
        </w:rPr>
        <w:t xml:space="preserve">appear in general to have fewer concerns include older respondents (except for concerns about the misuse of personal data and payment security), respondents with low education, consumers who make ends meet very easily, consumers who rarely or never travel abroad, those who live in rural areas and respondents who least often buy/use products on the </w:t>
      </w:r>
      <w:r w:rsidR="00CC1E73">
        <w:rPr>
          <w:rFonts w:ascii="Times New Roman" w:hAnsi="Times New Roman"/>
          <w:color w:val="auto"/>
          <w:sz w:val="24"/>
        </w:rPr>
        <w:t>I</w:t>
      </w:r>
      <w:r w:rsidRPr="005724E3">
        <w:rPr>
          <w:rFonts w:ascii="Times New Roman" w:hAnsi="Times New Roman"/>
          <w:color w:val="auto"/>
          <w:sz w:val="24"/>
        </w:rPr>
        <w:t xml:space="preserve">nternet.   </w:t>
      </w:r>
    </w:p>
    <w:p w:rsidR="00821430" w:rsidRPr="005724E3" w:rsidRDefault="00821430">
      <w:pPr>
        <w:pStyle w:val="ListParagraph"/>
        <w:ind w:left="0"/>
        <w:rPr>
          <w:rFonts w:ascii="Times New Roman" w:hAnsi="Times New Roman"/>
          <w:color w:val="auto"/>
          <w:sz w:val="24"/>
        </w:rPr>
      </w:pPr>
    </w:p>
    <w:p w:rsidR="00821430" w:rsidRPr="005724E3" w:rsidRDefault="00821430" w:rsidP="007A6A84">
      <w:pPr>
        <w:pStyle w:val="ListParagraph"/>
        <w:ind w:left="0"/>
        <w:rPr>
          <w:rFonts w:ascii="Times New Roman" w:hAnsi="Times New Roman"/>
          <w:color w:val="auto"/>
          <w:sz w:val="24"/>
        </w:rPr>
      </w:pPr>
      <w:r w:rsidRPr="005724E3">
        <w:rPr>
          <w:rFonts w:ascii="Times New Roman" w:hAnsi="Times New Roman"/>
          <w:color w:val="auto"/>
          <w:sz w:val="24"/>
        </w:rPr>
        <w:t>As for regional differences, concerns linked to domestic e-commerce appear to be higher amongst EU13 consumers (87</w:t>
      </w:r>
      <w:r w:rsidR="004456F1" w:rsidRPr="004456F1">
        <w:rPr>
          <w:rFonts w:ascii="Times New Roman" w:hAnsi="Times New Roman"/>
          <w:color w:val="auto"/>
          <w:w w:val="50"/>
          <w:sz w:val="24"/>
        </w:rPr>
        <w:t> </w:t>
      </w:r>
      <w:r w:rsidRPr="005724E3">
        <w:rPr>
          <w:rFonts w:ascii="Times New Roman" w:hAnsi="Times New Roman"/>
          <w:color w:val="auto"/>
          <w:sz w:val="24"/>
        </w:rPr>
        <w:t>% at least one concern vs 80</w:t>
      </w:r>
      <w:r w:rsidR="004456F1" w:rsidRPr="004456F1">
        <w:rPr>
          <w:rFonts w:ascii="Times New Roman" w:hAnsi="Times New Roman"/>
          <w:color w:val="auto"/>
          <w:w w:val="50"/>
          <w:sz w:val="24"/>
        </w:rPr>
        <w:t> </w:t>
      </w:r>
      <w:r w:rsidRPr="005724E3">
        <w:rPr>
          <w:rFonts w:ascii="Times New Roman" w:hAnsi="Times New Roman"/>
          <w:color w:val="auto"/>
          <w:sz w:val="24"/>
        </w:rPr>
        <w:t>% in EU15), in particular as regards product safety/authenticity (28</w:t>
      </w:r>
      <w:r w:rsidR="004456F1" w:rsidRPr="004456F1">
        <w:rPr>
          <w:rFonts w:ascii="Times New Roman" w:hAnsi="Times New Roman"/>
          <w:color w:val="auto"/>
          <w:w w:val="50"/>
          <w:sz w:val="24"/>
        </w:rPr>
        <w:t> </w:t>
      </w:r>
      <w:r w:rsidRPr="005724E3">
        <w:rPr>
          <w:rFonts w:ascii="Times New Roman" w:hAnsi="Times New Roman"/>
          <w:color w:val="auto"/>
          <w:sz w:val="24"/>
        </w:rPr>
        <w:t>% concerned vs 17</w:t>
      </w:r>
      <w:r w:rsidR="004456F1" w:rsidRPr="004456F1">
        <w:rPr>
          <w:rFonts w:ascii="Times New Roman" w:hAnsi="Times New Roman"/>
          <w:color w:val="auto"/>
          <w:w w:val="50"/>
          <w:sz w:val="24"/>
        </w:rPr>
        <w:t> </w:t>
      </w:r>
      <w:r w:rsidRPr="005724E3">
        <w:rPr>
          <w:rFonts w:ascii="Times New Roman" w:hAnsi="Times New Roman"/>
          <w:color w:val="auto"/>
          <w:sz w:val="24"/>
        </w:rPr>
        <w:t>% in EU15) and key consumer rights, i.e. fear that wrong or damaged products would be delivered (36</w:t>
      </w:r>
      <w:r w:rsidR="004456F1" w:rsidRPr="004456F1">
        <w:rPr>
          <w:rFonts w:ascii="Times New Roman" w:hAnsi="Times New Roman"/>
          <w:color w:val="auto"/>
          <w:w w:val="50"/>
          <w:sz w:val="24"/>
        </w:rPr>
        <w:t> </w:t>
      </w:r>
      <w:r w:rsidRPr="005724E3">
        <w:rPr>
          <w:rFonts w:ascii="Times New Roman" w:hAnsi="Times New Roman"/>
          <w:color w:val="auto"/>
          <w:sz w:val="24"/>
        </w:rPr>
        <w:t>% vs 24</w:t>
      </w:r>
      <w:r w:rsidR="004456F1" w:rsidRPr="004456F1">
        <w:rPr>
          <w:rFonts w:ascii="Times New Roman" w:hAnsi="Times New Roman"/>
          <w:color w:val="auto"/>
          <w:w w:val="50"/>
          <w:sz w:val="24"/>
        </w:rPr>
        <w:t> </w:t>
      </w:r>
      <w:r w:rsidRPr="005724E3">
        <w:rPr>
          <w:rFonts w:ascii="Times New Roman" w:hAnsi="Times New Roman"/>
          <w:color w:val="auto"/>
          <w:sz w:val="24"/>
        </w:rPr>
        <w:t>%) or that it would not be easy to replace or repair a faulty product (32</w:t>
      </w:r>
      <w:r w:rsidR="004456F1" w:rsidRPr="004456F1">
        <w:rPr>
          <w:rFonts w:ascii="Times New Roman" w:hAnsi="Times New Roman"/>
          <w:color w:val="auto"/>
          <w:w w:val="50"/>
          <w:sz w:val="24"/>
        </w:rPr>
        <w:t> </w:t>
      </w:r>
      <w:r w:rsidRPr="005724E3">
        <w:rPr>
          <w:rFonts w:ascii="Times New Roman" w:hAnsi="Times New Roman"/>
          <w:color w:val="auto"/>
          <w:sz w:val="24"/>
        </w:rPr>
        <w:t>% vs 23</w:t>
      </w:r>
      <w:r w:rsidR="004456F1" w:rsidRPr="004456F1">
        <w:rPr>
          <w:rFonts w:ascii="Times New Roman" w:hAnsi="Times New Roman"/>
          <w:color w:val="auto"/>
          <w:w w:val="50"/>
          <w:sz w:val="24"/>
        </w:rPr>
        <w:t> </w:t>
      </w:r>
      <w:r w:rsidRPr="005724E3">
        <w:rPr>
          <w:rFonts w:ascii="Times New Roman" w:hAnsi="Times New Roman"/>
          <w:color w:val="auto"/>
          <w:sz w:val="24"/>
        </w:rPr>
        <w:t xml:space="preserve">%) and </w:t>
      </w:r>
      <w:r w:rsidR="00CC1E73">
        <w:rPr>
          <w:rFonts w:ascii="Times New Roman" w:hAnsi="Times New Roman"/>
          <w:color w:val="auto"/>
          <w:sz w:val="24"/>
        </w:rPr>
        <w:t>to</w:t>
      </w:r>
      <w:r w:rsidRPr="004456F1">
        <w:rPr>
          <w:rFonts w:ascii="Times New Roman" w:hAnsi="Times New Roman"/>
          <w:color w:val="auto"/>
          <w:sz w:val="24"/>
        </w:rPr>
        <w:t xml:space="preserve"> </w:t>
      </w:r>
      <w:r w:rsidRPr="005724E3">
        <w:rPr>
          <w:rFonts w:ascii="Times New Roman" w:hAnsi="Times New Roman"/>
          <w:color w:val="auto"/>
          <w:sz w:val="24"/>
        </w:rPr>
        <w:t xml:space="preserve">return a product </w:t>
      </w:r>
      <w:r w:rsidR="00BF040D" w:rsidRPr="005724E3">
        <w:rPr>
          <w:rFonts w:ascii="Times New Roman" w:hAnsi="Times New Roman"/>
          <w:color w:val="auto"/>
          <w:sz w:val="24"/>
        </w:rPr>
        <w:t xml:space="preserve">the </w:t>
      </w:r>
      <w:r w:rsidRPr="005724E3">
        <w:rPr>
          <w:rFonts w:ascii="Times New Roman" w:hAnsi="Times New Roman"/>
          <w:color w:val="auto"/>
          <w:sz w:val="24"/>
        </w:rPr>
        <w:t>consumer did not like and get</w:t>
      </w:r>
      <w:r w:rsidR="007A6A84" w:rsidRPr="005724E3">
        <w:rPr>
          <w:rFonts w:ascii="Times New Roman" w:hAnsi="Times New Roman"/>
          <w:color w:val="auto"/>
          <w:sz w:val="24"/>
        </w:rPr>
        <w:t xml:space="preserve"> reimbursed (27</w:t>
      </w:r>
      <w:r w:rsidR="004456F1" w:rsidRPr="004456F1">
        <w:rPr>
          <w:rFonts w:ascii="Times New Roman" w:hAnsi="Times New Roman"/>
          <w:color w:val="auto"/>
          <w:w w:val="50"/>
          <w:sz w:val="24"/>
        </w:rPr>
        <w:t> </w:t>
      </w:r>
      <w:r w:rsidR="007A6A84" w:rsidRPr="005724E3">
        <w:rPr>
          <w:rFonts w:ascii="Times New Roman" w:hAnsi="Times New Roman"/>
          <w:color w:val="auto"/>
          <w:sz w:val="24"/>
        </w:rPr>
        <w:t>% vs 21</w:t>
      </w:r>
      <w:r w:rsidR="004456F1" w:rsidRPr="004456F1">
        <w:rPr>
          <w:rFonts w:ascii="Times New Roman" w:hAnsi="Times New Roman"/>
          <w:color w:val="auto"/>
          <w:w w:val="50"/>
          <w:sz w:val="24"/>
        </w:rPr>
        <w:t> </w:t>
      </w:r>
      <w:r w:rsidR="007A6A84" w:rsidRPr="005724E3">
        <w:rPr>
          <w:rFonts w:ascii="Times New Roman" w:hAnsi="Times New Roman"/>
          <w:color w:val="auto"/>
          <w:sz w:val="24"/>
        </w:rPr>
        <w:t xml:space="preserve">%).   </w:t>
      </w:r>
    </w:p>
    <w:p w:rsidR="00821430" w:rsidRDefault="00821430">
      <w:pPr>
        <w:rPr>
          <w:b/>
          <w:i/>
        </w:rPr>
      </w:pPr>
      <w:r>
        <w:rPr>
          <w:b/>
          <w:i/>
        </w:rPr>
        <w:t>Concerns about cross-border e-commerce are linked to delivery, redress and consumer rights</w:t>
      </w:r>
    </w:p>
    <w:p w:rsidR="00821430" w:rsidRDefault="00CC1E73">
      <w:pPr>
        <w:spacing w:after="0"/>
      </w:pPr>
      <w:r>
        <w:t>D</w:t>
      </w:r>
      <w:r w:rsidR="00821430" w:rsidRPr="004456F1">
        <w:t>elivery</w:t>
      </w:r>
      <w:r>
        <w:t>-related issues</w:t>
      </w:r>
      <w:r w:rsidR="00821430">
        <w:t xml:space="preserve"> predominate when it comes to the main concerns about online purchases from other EU countries. Around a quarter of online consumer</w:t>
      </w:r>
      <w:r w:rsidR="005C3DA4">
        <w:t>s</w:t>
      </w:r>
      <w:r w:rsidR="00821430">
        <w:t xml:space="preserve"> </w:t>
      </w:r>
      <w:r w:rsidRPr="004456F1">
        <w:t>ha</w:t>
      </w:r>
      <w:r>
        <w:t>ve</w:t>
      </w:r>
      <w:r w:rsidRPr="004456F1">
        <w:t xml:space="preserve"> </w:t>
      </w:r>
      <w:r w:rsidR="00821430">
        <w:t>concerns about high delivery costs (27</w:t>
      </w:r>
      <w:r w:rsidR="004456F1" w:rsidRPr="004456F1">
        <w:rPr>
          <w:w w:val="50"/>
        </w:rPr>
        <w:t> </w:t>
      </w:r>
      <w:r w:rsidR="00821430">
        <w:t>%), high return shipping costs (24</w:t>
      </w:r>
      <w:r w:rsidR="004456F1" w:rsidRPr="004456F1">
        <w:rPr>
          <w:w w:val="50"/>
        </w:rPr>
        <w:t> </w:t>
      </w:r>
      <w:r w:rsidR="00821430">
        <w:t>%), and long delivery times (23</w:t>
      </w:r>
      <w:r w:rsidR="004456F1" w:rsidRPr="004456F1">
        <w:rPr>
          <w:w w:val="50"/>
        </w:rPr>
        <w:t> </w:t>
      </w:r>
      <w:r w:rsidR="00821430">
        <w:t>%), in addition to non-delivery (15</w:t>
      </w:r>
      <w:r w:rsidR="004456F1" w:rsidRPr="004456F1">
        <w:rPr>
          <w:w w:val="50"/>
        </w:rPr>
        <w:t> </w:t>
      </w:r>
      <w:r w:rsidR="00821430">
        <w:t>%). A quarter of respondents (23</w:t>
      </w:r>
      <w:r w:rsidR="004456F1" w:rsidRPr="004456F1">
        <w:rPr>
          <w:w w:val="50"/>
        </w:rPr>
        <w:t> </w:t>
      </w:r>
      <w:r w:rsidR="00821430">
        <w:t xml:space="preserve">%) </w:t>
      </w:r>
      <w:r>
        <w:t>express</w:t>
      </w:r>
      <w:r w:rsidRPr="004456F1">
        <w:t>ed</w:t>
      </w:r>
      <w:r w:rsidR="00821430">
        <w:t xml:space="preserve"> concerns related to redress (i.e. the difficulty of solving problems if something goes wrong) and a fifth (20</w:t>
      </w:r>
      <w:r w:rsidR="004456F1" w:rsidRPr="004456F1">
        <w:rPr>
          <w:w w:val="50"/>
        </w:rPr>
        <w:t> </w:t>
      </w:r>
      <w:r w:rsidR="00821430">
        <w:t>%) were concerned about key consumer rights</w:t>
      </w:r>
      <w:r>
        <w:t xml:space="preserve"> in</w:t>
      </w:r>
      <w:r w:rsidR="00821430">
        <w:t xml:space="preserve"> getting a faulty product replaced or repaired, and returning a product they did not like and getting reimbursed). Compared to domestic e-commerce, smaller proportions of respondents expressed concerns about personal data being misused (19</w:t>
      </w:r>
      <w:r w:rsidR="004456F1" w:rsidRPr="004456F1">
        <w:rPr>
          <w:w w:val="50"/>
        </w:rPr>
        <w:t> </w:t>
      </w:r>
      <w:r w:rsidR="00821430">
        <w:t>%), payment details being stolen (17</w:t>
      </w:r>
      <w:r w:rsidR="004456F1" w:rsidRPr="004456F1">
        <w:rPr>
          <w:w w:val="50"/>
        </w:rPr>
        <w:t> </w:t>
      </w:r>
      <w:r w:rsidR="00821430">
        <w:t xml:space="preserve">%), wrong or damaged </w:t>
      </w:r>
      <w:r w:rsidR="00821430" w:rsidRPr="004456F1">
        <w:t>product</w:t>
      </w:r>
      <w:r>
        <w:t>s</w:t>
      </w:r>
      <w:r w:rsidR="00821430">
        <w:t xml:space="preserve"> being delivered (15</w:t>
      </w:r>
      <w:r w:rsidR="004456F1" w:rsidRPr="004456F1">
        <w:rPr>
          <w:w w:val="50"/>
        </w:rPr>
        <w:t> </w:t>
      </w:r>
      <w:r w:rsidR="00821430">
        <w:t>%) and goods sold online being unsafe or counterfeit (14</w:t>
      </w:r>
      <w:r w:rsidR="004456F1" w:rsidRPr="004456F1">
        <w:rPr>
          <w:w w:val="50"/>
        </w:rPr>
        <w:t> </w:t>
      </w:r>
      <w:r w:rsidR="00821430">
        <w:t xml:space="preserve">%). In contrast, concerns </w:t>
      </w:r>
      <w:r w:rsidR="00041924">
        <w:t>stemming from</w:t>
      </w:r>
      <w:r w:rsidR="00821430">
        <w:t xml:space="preserve"> not knowing their consumer rights when buying from another EU country (11%), or </w:t>
      </w:r>
      <w:r w:rsidR="00041924">
        <w:t>to do</w:t>
      </w:r>
      <w:r w:rsidR="00821430" w:rsidRPr="004456F1">
        <w:t xml:space="preserve"> </w:t>
      </w:r>
      <w:r w:rsidR="00821430">
        <w:t>with trust and understanding of the terms and conditions (9</w:t>
      </w:r>
      <w:r w:rsidR="004456F1" w:rsidRPr="004456F1">
        <w:rPr>
          <w:w w:val="50"/>
        </w:rPr>
        <w:t> </w:t>
      </w:r>
      <w:r w:rsidR="00821430">
        <w:t>% and 6</w:t>
      </w:r>
      <w:r w:rsidR="004456F1" w:rsidRPr="004456F1">
        <w:rPr>
          <w:w w:val="50"/>
        </w:rPr>
        <w:t> </w:t>
      </w:r>
      <w:r w:rsidR="00821430">
        <w:t>% respectively</w:t>
      </w:r>
      <w:r w:rsidR="00821430" w:rsidRPr="004456F1">
        <w:t>)</w:t>
      </w:r>
      <w:r>
        <w:t>,</w:t>
      </w:r>
      <w:r w:rsidR="00821430">
        <w:t xml:space="preserve"> were </w:t>
      </w:r>
      <w:r w:rsidR="00BF040D">
        <w:t xml:space="preserve">more </w:t>
      </w:r>
      <w:r w:rsidR="00260A3A">
        <w:t>preval</w:t>
      </w:r>
      <w:r w:rsidR="00260A3A" w:rsidRPr="004456F1">
        <w:t>ent</w:t>
      </w:r>
      <w:r w:rsidR="00BF040D">
        <w:t xml:space="preserve"> </w:t>
      </w:r>
      <w:r w:rsidR="00821430">
        <w:t>than in the case of domestic purchases.</w:t>
      </w:r>
    </w:p>
    <w:p w:rsidR="00A079D9" w:rsidRDefault="00ED08B2" w:rsidP="00ED08B2">
      <w:pPr>
        <w:pStyle w:val="Caption"/>
      </w:pPr>
      <w:r>
        <w:t xml:space="preserve">Figure </w:t>
      </w:r>
      <w:r w:rsidR="005269EB">
        <w:rPr>
          <w:noProof/>
        </w:rPr>
        <w:t>29</w:t>
      </w:r>
      <w:r w:rsidRPr="00A13750">
        <w:t>: Main concerns about buying online in another EU country, EU28, 2015 (up to 5 answers)</w:t>
      </w:r>
      <w:r w:rsidR="00156334">
        <w:t xml:space="preserve"> (%)</w:t>
      </w:r>
    </w:p>
    <w:p w:rsidR="00821430" w:rsidRPr="00CE6AAD" w:rsidRDefault="008B418B" w:rsidP="00A01729">
      <w:pPr>
        <w:pStyle w:val="Text1"/>
        <w:keepNext/>
        <w:spacing w:before="0" w:after="0"/>
        <w:ind w:left="0"/>
        <w:rPr>
          <w:noProof/>
          <w:lang w:eastAsia="en-GB"/>
        </w:rPr>
      </w:pPr>
      <w:r>
        <w:rPr>
          <w:noProof/>
          <w:lang w:eastAsia="en-GB"/>
        </w:rPr>
        <w:drawing>
          <wp:inline distT="0" distB="0" distL="0" distR="0" wp14:anchorId="57447055" wp14:editId="77965CF8">
            <wp:extent cx="5762625" cy="670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670560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 xml:space="preserve">Source: 2015 DSM consumer survey: What are your greatest CONCERNS about buying products online in another EU country? (EU28 </w:t>
      </w:r>
      <w:r w:rsidR="00612B8E">
        <w:rPr>
          <w:i/>
          <w:sz w:val="20"/>
          <w:szCs w:val="20"/>
        </w:rPr>
        <w:t>n</w:t>
      </w:r>
      <w:r w:rsidRPr="002D4392">
        <w:rPr>
          <w:i/>
          <w:sz w:val="20"/>
          <w:szCs w:val="20"/>
        </w:rPr>
        <w:t>=22</w:t>
      </w:r>
      <w:r w:rsidR="004456F1" w:rsidRPr="002D4392">
        <w:rPr>
          <w:i/>
          <w:sz w:val="20"/>
          <w:szCs w:val="20"/>
        </w:rPr>
        <w:t> </w:t>
      </w:r>
      <w:r w:rsidRPr="002D4392">
        <w:rPr>
          <w:i/>
          <w:sz w:val="20"/>
          <w:szCs w:val="20"/>
        </w:rPr>
        <w:t>848)</w:t>
      </w:r>
    </w:p>
    <w:p w:rsidR="00821430" w:rsidRPr="005724E3" w:rsidRDefault="00821430" w:rsidP="007A6A84">
      <w:pPr>
        <w:tabs>
          <w:tab w:val="left" w:pos="0"/>
        </w:tabs>
        <w:spacing w:after="0"/>
      </w:pPr>
      <w:r>
        <w:t>Overall, 14</w:t>
      </w:r>
      <w:r w:rsidR="004456F1" w:rsidRPr="004456F1">
        <w:rPr>
          <w:w w:val="50"/>
        </w:rPr>
        <w:t> </w:t>
      </w:r>
      <w:r>
        <w:t xml:space="preserve">% of consumers </w:t>
      </w:r>
      <w:r w:rsidR="003243FC">
        <w:t>say</w:t>
      </w:r>
      <w:r>
        <w:t xml:space="preserve"> that they do not have any concerns about buying online in other EU countries. As in the case of domestic e-commerce, </w:t>
      </w:r>
      <w:r w:rsidRPr="005724E3">
        <w:t xml:space="preserve">concerns regarding cross-border e-commerce </w:t>
      </w:r>
      <w:r w:rsidR="003243FC">
        <w:t>a</w:t>
      </w:r>
      <w:r w:rsidR="003243FC" w:rsidRPr="004456F1">
        <w:t xml:space="preserve">re </w:t>
      </w:r>
      <w:r w:rsidRPr="005724E3">
        <w:t>lower among older respondents (55+), except for trust issues</w:t>
      </w:r>
      <w:r w:rsidR="003243FC">
        <w:t xml:space="preserve"> to do</w:t>
      </w:r>
      <w:r w:rsidRPr="005724E3">
        <w:t xml:space="preserve"> with personal data misuse and unsafe online payments. Differences in consumers’ concerns between EU15 and EU13 </w:t>
      </w:r>
      <w:r w:rsidR="003243FC">
        <w:t>a</w:t>
      </w:r>
      <w:r w:rsidR="003243FC" w:rsidRPr="004456F1">
        <w:t xml:space="preserve">re </w:t>
      </w:r>
      <w:r w:rsidRPr="005724E3">
        <w:t>less pronounced than in the case of domestic transactions, though still present (88</w:t>
      </w:r>
      <w:r w:rsidR="004456F1" w:rsidRPr="004456F1">
        <w:rPr>
          <w:w w:val="50"/>
        </w:rPr>
        <w:t> </w:t>
      </w:r>
      <w:r w:rsidRPr="005724E3">
        <w:t>% at least one conc</w:t>
      </w:r>
      <w:r w:rsidR="007A6A84" w:rsidRPr="005724E3">
        <w:t>ern in EU13 vs 86</w:t>
      </w:r>
      <w:r w:rsidR="004456F1" w:rsidRPr="004456F1">
        <w:rPr>
          <w:w w:val="50"/>
        </w:rPr>
        <w:t> </w:t>
      </w:r>
      <w:r w:rsidR="007A6A84" w:rsidRPr="005724E3">
        <w:t xml:space="preserve">% in EU15).  </w:t>
      </w:r>
    </w:p>
    <w:p w:rsidR="00821430" w:rsidRDefault="00821430">
      <w:pPr>
        <w:spacing w:after="80"/>
      </w:pPr>
      <w:r>
        <w:t>The results of a regression analysis</w:t>
      </w:r>
      <w:r>
        <w:rPr>
          <w:rStyle w:val="FootnoteReference"/>
        </w:rPr>
        <w:footnoteReference w:id="55"/>
      </w:r>
      <w:r>
        <w:t xml:space="preserve"> indicate that </w:t>
      </w:r>
      <w:r w:rsidR="00D80690">
        <w:t>out of</w:t>
      </w:r>
      <w:r w:rsidR="00D80690" w:rsidRPr="004456F1">
        <w:t xml:space="preserve"> </w:t>
      </w:r>
      <w:r>
        <w:t xml:space="preserve">all the </w:t>
      </w:r>
      <w:r w:rsidR="003243FC" w:rsidRPr="004456F1">
        <w:t>above</w:t>
      </w:r>
      <w:r w:rsidR="003243FC">
        <w:t>-</w:t>
      </w:r>
      <w:r>
        <w:t>mentioned consumer concerns with online purchasing, those relating to trust and consumer rights clearly have a considerable negative impact on consumers</w:t>
      </w:r>
      <w:r w:rsidR="004456F1">
        <w:t>’</w:t>
      </w:r>
      <w:r>
        <w:t xml:space="preserve"> propensity to engage in online trade</w:t>
      </w:r>
      <w:r w:rsidR="00A5766E">
        <w:t>, when tangible goods are concerned</w:t>
      </w:r>
      <w:r>
        <w:t xml:space="preserve">. Somewhat surprisingly, digital content buyers </w:t>
      </w:r>
      <w:r w:rsidR="00A5766E">
        <w:t xml:space="preserve">purchasing cross-border </w:t>
      </w:r>
      <w:r>
        <w:t xml:space="preserve">report significant concerns about </w:t>
      </w:r>
      <w:r w:rsidR="00A5766E">
        <w:t xml:space="preserve">wrong or </w:t>
      </w:r>
      <w:r>
        <w:t>damaged</w:t>
      </w:r>
      <w:r w:rsidR="00A5766E">
        <w:t xml:space="preserve"> products</w:t>
      </w:r>
      <w:r>
        <w:t xml:space="preserve"> and replacement</w:t>
      </w:r>
      <w:r w:rsidR="00A5766E">
        <w:t xml:space="preserve">/repair </w:t>
      </w:r>
      <w:r w:rsidR="003243FC">
        <w:t>as well as</w:t>
      </w:r>
      <w:r w:rsidR="003243FC" w:rsidRPr="004456F1">
        <w:t xml:space="preserve"> </w:t>
      </w:r>
      <w:r w:rsidR="00A5766E">
        <w:t>return/reimbursement issues</w:t>
      </w:r>
      <w:r>
        <w:t xml:space="preserve">. Concerns about payment card details being stolen </w:t>
      </w:r>
      <w:r w:rsidR="004678BE">
        <w:t xml:space="preserve">also </w:t>
      </w:r>
      <w:r>
        <w:t>mainly affect consumers who consciously download digital content cross-border or pay for this service.</w:t>
      </w:r>
    </w:p>
    <w:p w:rsidR="00821430" w:rsidRDefault="00821430" w:rsidP="0055096C">
      <w:pPr>
        <w:pStyle w:val="Heading3"/>
      </w:pPr>
      <w:r>
        <w:t xml:space="preserve">3.2. </w:t>
      </w:r>
      <w:r>
        <w:tab/>
        <w:t>On the supply side</w:t>
      </w:r>
    </w:p>
    <w:p w:rsidR="00821430" w:rsidRDefault="00821430">
      <w:pPr>
        <w:keepNext/>
        <w:spacing w:before="0" w:after="0"/>
        <w:outlineLvl w:val="3"/>
        <w:rPr>
          <w:b/>
          <w:bCs/>
          <w:i/>
          <w:szCs w:val="28"/>
        </w:rPr>
      </w:pPr>
      <w:r>
        <w:rPr>
          <w:b/>
          <w:bCs/>
          <w:i/>
          <w:szCs w:val="28"/>
        </w:rPr>
        <w:t>3.</w:t>
      </w:r>
      <w:r w:rsidR="00AA56A8">
        <w:rPr>
          <w:b/>
          <w:bCs/>
          <w:i/>
          <w:szCs w:val="28"/>
        </w:rPr>
        <w:t>2</w:t>
      </w:r>
      <w:r>
        <w:rPr>
          <w:b/>
          <w:bCs/>
          <w:i/>
          <w:szCs w:val="28"/>
        </w:rPr>
        <w:t>.</w:t>
      </w:r>
      <w:r w:rsidR="00AA56A8">
        <w:rPr>
          <w:b/>
          <w:bCs/>
          <w:i/>
          <w:szCs w:val="28"/>
        </w:rPr>
        <w:t>1</w:t>
      </w:r>
      <w:r>
        <w:rPr>
          <w:b/>
          <w:bCs/>
          <w:i/>
          <w:szCs w:val="28"/>
        </w:rPr>
        <w:t xml:space="preserve"> Confidence to sell online domestically and cross-border</w:t>
      </w:r>
    </w:p>
    <w:p w:rsidR="00821430" w:rsidRDefault="00821430">
      <w:pPr>
        <w:pStyle w:val="ListParagraph"/>
        <w:ind w:left="0"/>
        <w:rPr>
          <w:rFonts w:ascii="Times New Roman" w:hAnsi="Times New Roman"/>
          <w:color w:val="auto"/>
          <w:sz w:val="24"/>
        </w:rPr>
      </w:pPr>
      <w:r>
        <w:rPr>
          <w:rFonts w:ascii="Times New Roman" w:hAnsi="Times New Roman"/>
          <w:color w:val="auto"/>
          <w:sz w:val="24"/>
        </w:rPr>
        <w:t>Overall, 59</w:t>
      </w:r>
      <w:r w:rsidR="004456F1" w:rsidRPr="004456F1">
        <w:rPr>
          <w:rFonts w:ascii="Times New Roman" w:hAnsi="Times New Roman"/>
          <w:color w:val="auto"/>
          <w:w w:val="50"/>
          <w:sz w:val="24"/>
        </w:rPr>
        <w:t> </w:t>
      </w:r>
      <w:r>
        <w:rPr>
          <w:rFonts w:ascii="Times New Roman" w:hAnsi="Times New Roman"/>
          <w:color w:val="auto"/>
          <w:sz w:val="24"/>
        </w:rPr>
        <w:t xml:space="preserve">% of all retailers – whether currently </w:t>
      </w:r>
      <w:r w:rsidR="00901997">
        <w:rPr>
          <w:rFonts w:ascii="Times New Roman" w:hAnsi="Times New Roman"/>
          <w:color w:val="auto"/>
          <w:sz w:val="24"/>
        </w:rPr>
        <w:t xml:space="preserve">engaged in </w:t>
      </w:r>
      <w:r>
        <w:rPr>
          <w:rFonts w:ascii="Times New Roman" w:hAnsi="Times New Roman"/>
          <w:color w:val="auto"/>
          <w:sz w:val="24"/>
        </w:rPr>
        <w:t xml:space="preserve">online </w:t>
      </w:r>
      <w:r w:rsidR="00901997">
        <w:rPr>
          <w:rFonts w:ascii="Times New Roman" w:hAnsi="Times New Roman"/>
          <w:color w:val="auto"/>
          <w:sz w:val="24"/>
        </w:rPr>
        <w:t xml:space="preserve">sales </w:t>
      </w:r>
      <w:r>
        <w:rPr>
          <w:rFonts w:ascii="Times New Roman" w:hAnsi="Times New Roman"/>
          <w:color w:val="auto"/>
          <w:sz w:val="24"/>
        </w:rPr>
        <w:t xml:space="preserve">or not – say they are confident </w:t>
      </w:r>
      <w:r w:rsidR="00901997">
        <w:rPr>
          <w:rFonts w:ascii="Times New Roman" w:hAnsi="Times New Roman"/>
          <w:color w:val="auto"/>
          <w:sz w:val="24"/>
        </w:rPr>
        <w:t>to sell</w:t>
      </w:r>
      <w:r>
        <w:rPr>
          <w:rFonts w:ascii="Times New Roman" w:hAnsi="Times New Roman"/>
          <w:color w:val="auto"/>
          <w:sz w:val="24"/>
        </w:rPr>
        <w:t xml:space="preserve"> online while almost a third (32</w:t>
      </w:r>
      <w:r w:rsidR="004456F1" w:rsidRPr="004456F1">
        <w:rPr>
          <w:rFonts w:ascii="Times New Roman" w:hAnsi="Times New Roman"/>
          <w:color w:val="auto"/>
          <w:w w:val="50"/>
          <w:sz w:val="24"/>
        </w:rPr>
        <w:t> </w:t>
      </w:r>
      <w:r>
        <w:rPr>
          <w:rFonts w:ascii="Times New Roman" w:hAnsi="Times New Roman"/>
          <w:color w:val="auto"/>
          <w:sz w:val="24"/>
        </w:rPr>
        <w:t>%) say this is not the case. Three in ten (30</w:t>
      </w:r>
      <w:r w:rsidR="004456F1" w:rsidRPr="004456F1">
        <w:rPr>
          <w:rFonts w:ascii="Times New Roman" w:hAnsi="Times New Roman"/>
          <w:color w:val="auto"/>
          <w:w w:val="50"/>
          <w:sz w:val="24"/>
        </w:rPr>
        <w:t> </w:t>
      </w:r>
      <w:r>
        <w:rPr>
          <w:rFonts w:ascii="Times New Roman" w:hAnsi="Times New Roman"/>
          <w:color w:val="auto"/>
          <w:sz w:val="24"/>
        </w:rPr>
        <w:t>%) companies are confident selling online to consumers in their own as well as in other EU countries, while 28</w:t>
      </w:r>
      <w:r w:rsidR="004456F1" w:rsidRPr="004456F1">
        <w:rPr>
          <w:rFonts w:ascii="Times New Roman" w:hAnsi="Times New Roman"/>
          <w:color w:val="auto"/>
          <w:w w:val="50"/>
          <w:sz w:val="24"/>
        </w:rPr>
        <w:t> </w:t>
      </w:r>
      <w:r>
        <w:rPr>
          <w:rFonts w:ascii="Times New Roman" w:hAnsi="Times New Roman"/>
          <w:color w:val="auto"/>
          <w:sz w:val="24"/>
        </w:rPr>
        <w:t>% are confident only when selling to consumers in their own country. Just 1</w:t>
      </w:r>
      <w:r w:rsidR="004456F1" w:rsidRPr="004456F1">
        <w:rPr>
          <w:rFonts w:ascii="Times New Roman" w:hAnsi="Times New Roman"/>
          <w:color w:val="auto"/>
          <w:w w:val="50"/>
          <w:sz w:val="24"/>
        </w:rPr>
        <w:t> </w:t>
      </w:r>
      <w:r>
        <w:rPr>
          <w:rFonts w:ascii="Times New Roman" w:hAnsi="Times New Roman"/>
          <w:color w:val="auto"/>
          <w:sz w:val="24"/>
        </w:rPr>
        <w:t>% are confident only when selling to consumers in other EU countries</w:t>
      </w:r>
      <w:r>
        <w:rPr>
          <w:rStyle w:val="FootnoteReference"/>
          <w:rFonts w:ascii="Times New Roman" w:hAnsi="Times New Roman"/>
          <w:color w:val="auto"/>
          <w:sz w:val="24"/>
        </w:rPr>
        <w:footnoteReference w:id="56"/>
      </w:r>
      <w:r>
        <w:rPr>
          <w:rFonts w:ascii="Times New Roman" w:hAnsi="Times New Roman"/>
          <w:color w:val="auto"/>
          <w:sz w:val="24"/>
        </w:rPr>
        <w:t>.</w:t>
      </w:r>
    </w:p>
    <w:p w:rsidR="00821430" w:rsidRDefault="00ED08B2" w:rsidP="00ED08B2">
      <w:pPr>
        <w:pStyle w:val="Caption"/>
        <w:rPr>
          <w:b w:val="0"/>
        </w:rPr>
      </w:pPr>
      <w:r>
        <w:t xml:space="preserve">Figure </w:t>
      </w:r>
      <w:r w:rsidR="005269EB">
        <w:rPr>
          <w:noProof/>
        </w:rPr>
        <w:t>30</w:t>
      </w:r>
      <w:r w:rsidRPr="00032635">
        <w:t xml:space="preserve">: </w:t>
      </w:r>
      <w:r w:rsidRPr="004456F1">
        <w:t>Retailers</w:t>
      </w:r>
      <w:r w:rsidR="003243FC">
        <w:t>’</w:t>
      </w:r>
      <w:r w:rsidRPr="00032635">
        <w:t xml:space="preserve"> confidence to sell online, EU28, 2014</w:t>
      </w:r>
      <w:r w:rsidR="00156334">
        <w:t xml:space="preserve"> (%)</w:t>
      </w:r>
    </w:p>
    <w:p w:rsidR="00821430" w:rsidRDefault="008B418B" w:rsidP="00CF2732">
      <w:pPr>
        <w:pStyle w:val="Text1"/>
        <w:keepNext/>
        <w:spacing w:before="0" w:after="0"/>
        <w:ind w:left="0"/>
        <w:rPr>
          <w:noProof/>
          <w:lang w:eastAsia="en-GB"/>
        </w:rPr>
      </w:pPr>
      <w:r>
        <w:rPr>
          <w:noProof/>
          <w:lang w:eastAsia="en-GB"/>
        </w:rPr>
        <w:drawing>
          <wp:inline distT="0" distB="0" distL="0" distR="0" wp14:anchorId="5E799791" wp14:editId="79B89114">
            <wp:extent cx="4429125" cy="405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4057650"/>
                    </a:xfrm>
                    <a:prstGeom prst="rect">
                      <a:avLst/>
                    </a:prstGeom>
                    <a:noFill/>
                    <a:ln>
                      <a:noFill/>
                    </a:ln>
                  </pic:spPr>
                </pic:pic>
              </a:graphicData>
            </a:graphic>
          </wp:inline>
        </w:drawing>
      </w:r>
    </w:p>
    <w:p w:rsidR="00821430" w:rsidRPr="002D4392" w:rsidRDefault="00821430" w:rsidP="002D4392">
      <w:pPr>
        <w:pStyle w:val="Text1"/>
        <w:spacing w:before="0" w:after="0"/>
        <w:ind w:left="0"/>
        <w:rPr>
          <w:i/>
          <w:sz w:val="20"/>
          <w:szCs w:val="20"/>
        </w:rPr>
      </w:pPr>
      <w:r w:rsidRPr="002D4392">
        <w:rPr>
          <w:i/>
          <w:sz w:val="20"/>
          <w:szCs w:val="20"/>
        </w:rPr>
        <w:t>Source: Flash Eurobarometer 396: Would you say that your company is confident to sell online? Base: All retailers (</w:t>
      </w:r>
      <w:r w:rsidR="00612B8E">
        <w:rPr>
          <w:i/>
          <w:sz w:val="20"/>
          <w:szCs w:val="20"/>
        </w:rPr>
        <w:t>n=</w:t>
      </w:r>
      <w:r w:rsidRPr="002D4392">
        <w:rPr>
          <w:i/>
          <w:sz w:val="20"/>
          <w:szCs w:val="20"/>
        </w:rPr>
        <w:t>10</w:t>
      </w:r>
      <w:r w:rsidR="004456F1" w:rsidRPr="002D4392">
        <w:rPr>
          <w:i/>
          <w:sz w:val="20"/>
          <w:szCs w:val="20"/>
        </w:rPr>
        <w:t> </w:t>
      </w:r>
      <w:r w:rsidRPr="002D4392">
        <w:rPr>
          <w:i/>
          <w:sz w:val="20"/>
          <w:szCs w:val="20"/>
        </w:rPr>
        <w:t>457)</w:t>
      </w:r>
    </w:p>
    <w:p w:rsidR="00821430" w:rsidRDefault="00821430">
      <w:pPr>
        <w:pStyle w:val="ReportNoteundergraph"/>
        <w:spacing w:after="0" w:line="240" w:lineRule="auto"/>
        <w:jc w:val="left"/>
        <w:rPr>
          <w:rFonts w:ascii="Times New Roman" w:hAnsi="Times New Roman"/>
          <w:sz w:val="24"/>
          <w:szCs w:val="24"/>
        </w:rPr>
      </w:pPr>
      <w:r>
        <w:rPr>
          <w:rFonts w:ascii="Times New Roman" w:hAnsi="Times New Roman"/>
          <w:sz w:val="24"/>
          <w:szCs w:val="24"/>
        </w:rPr>
        <w:t>At country level, confidence in online sales ranges from 81</w:t>
      </w:r>
      <w:r w:rsidR="004456F1" w:rsidRPr="004456F1">
        <w:rPr>
          <w:rFonts w:ascii="Times New Roman" w:hAnsi="Times New Roman"/>
          <w:w w:val="50"/>
          <w:sz w:val="24"/>
          <w:szCs w:val="24"/>
        </w:rPr>
        <w:t> </w:t>
      </w:r>
      <w:r>
        <w:rPr>
          <w:rFonts w:ascii="Times New Roman" w:hAnsi="Times New Roman"/>
          <w:sz w:val="24"/>
          <w:szCs w:val="24"/>
        </w:rPr>
        <w:t>% in Spain, 74</w:t>
      </w:r>
      <w:r w:rsidR="004456F1" w:rsidRPr="004456F1">
        <w:rPr>
          <w:rFonts w:ascii="Times New Roman" w:hAnsi="Times New Roman"/>
          <w:w w:val="50"/>
          <w:sz w:val="24"/>
          <w:szCs w:val="24"/>
        </w:rPr>
        <w:t> </w:t>
      </w:r>
      <w:r>
        <w:rPr>
          <w:rFonts w:ascii="Times New Roman" w:hAnsi="Times New Roman"/>
          <w:sz w:val="24"/>
          <w:szCs w:val="24"/>
        </w:rPr>
        <w:t>% in Malta and 73</w:t>
      </w:r>
      <w:r w:rsidR="004456F1" w:rsidRPr="004456F1">
        <w:rPr>
          <w:rFonts w:ascii="Times New Roman" w:hAnsi="Times New Roman"/>
          <w:w w:val="50"/>
          <w:sz w:val="24"/>
          <w:szCs w:val="24"/>
        </w:rPr>
        <w:t> </w:t>
      </w:r>
      <w:r>
        <w:rPr>
          <w:rFonts w:ascii="Times New Roman" w:hAnsi="Times New Roman"/>
          <w:sz w:val="24"/>
          <w:szCs w:val="24"/>
        </w:rPr>
        <w:t>% in Greece and France to 31</w:t>
      </w:r>
      <w:r w:rsidR="004456F1" w:rsidRPr="004456F1">
        <w:rPr>
          <w:rFonts w:ascii="Times New Roman" w:hAnsi="Times New Roman"/>
          <w:w w:val="50"/>
          <w:sz w:val="24"/>
          <w:szCs w:val="24"/>
        </w:rPr>
        <w:t> </w:t>
      </w:r>
      <w:r>
        <w:rPr>
          <w:rFonts w:ascii="Times New Roman" w:hAnsi="Times New Roman"/>
          <w:sz w:val="24"/>
          <w:szCs w:val="24"/>
        </w:rPr>
        <w:t>% in Hungary and 36</w:t>
      </w:r>
      <w:r w:rsidR="004456F1" w:rsidRPr="004456F1">
        <w:rPr>
          <w:rFonts w:ascii="Times New Roman" w:hAnsi="Times New Roman"/>
          <w:w w:val="50"/>
          <w:sz w:val="24"/>
          <w:szCs w:val="24"/>
        </w:rPr>
        <w:t> </w:t>
      </w:r>
      <w:r>
        <w:rPr>
          <w:rFonts w:ascii="Times New Roman" w:hAnsi="Times New Roman"/>
          <w:sz w:val="24"/>
          <w:szCs w:val="24"/>
        </w:rPr>
        <w:t>% in Bulgaria.</w:t>
      </w:r>
    </w:p>
    <w:p w:rsidR="00821430" w:rsidRDefault="00ED08B2" w:rsidP="00ED08B2">
      <w:pPr>
        <w:pStyle w:val="Caption"/>
        <w:rPr>
          <w:b w:val="0"/>
        </w:rPr>
      </w:pPr>
      <w:r>
        <w:t xml:space="preserve">Figure </w:t>
      </w:r>
      <w:r w:rsidR="005269EB">
        <w:rPr>
          <w:noProof/>
        </w:rPr>
        <w:t>31</w:t>
      </w:r>
      <w:r w:rsidRPr="0099732C">
        <w:t xml:space="preserve">: </w:t>
      </w:r>
      <w:r w:rsidRPr="004456F1">
        <w:t>Retailers</w:t>
      </w:r>
      <w:r w:rsidR="003243FC">
        <w:t>’</w:t>
      </w:r>
      <w:r w:rsidRPr="0099732C">
        <w:t xml:space="preserve"> confidence to sell online, 2014</w:t>
      </w:r>
      <w:r w:rsidR="00156334">
        <w:t xml:space="preserve"> (%)</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38A2B2B0" wp14:editId="54ADDE88">
            <wp:extent cx="5762625" cy="4324350"/>
            <wp:effectExtent l="0" t="0" r="0" b="0"/>
            <wp:docPr id="32" name="Picture 32" descr="figure72_total_confidence_Q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72_total_confidence_Q2_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821430" w:rsidRPr="002716FC" w:rsidRDefault="00821430" w:rsidP="002716FC">
      <w:pPr>
        <w:pStyle w:val="Text1"/>
        <w:spacing w:before="0" w:after="0"/>
        <w:ind w:left="0"/>
        <w:rPr>
          <w:i/>
          <w:sz w:val="20"/>
          <w:szCs w:val="20"/>
        </w:rPr>
      </w:pPr>
      <w:r w:rsidRPr="002716FC">
        <w:rPr>
          <w:i/>
          <w:sz w:val="20"/>
          <w:szCs w:val="20"/>
        </w:rPr>
        <w:t>Source: Flash Eurobarometer 396: Would you say that your company is confident to sell online? Base: All retailers (N= 10</w:t>
      </w:r>
      <w:r w:rsidR="004456F1" w:rsidRPr="002716FC">
        <w:rPr>
          <w:i/>
          <w:sz w:val="20"/>
          <w:szCs w:val="20"/>
        </w:rPr>
        <w:t> </w:t>
      </w:r>
      <w:r w:rsidRPr="002716FC">
        <w:rPr>
          <w:i/>
          <w:sz w:val="20"/>
          <w:szCs w:val="20"/>
        </w:rPr>
        <w:t>457)</w:t>
      </w:r>
    </w:p>
    <w:p w:rsidR="00821430" w:rsidRDefault="00821430">
      <w:pPr>
        <w:pStyle w:val="ReportParagraph"/>
        <w:spacing w:after="0" w:line="240" w:lineRule="auto"/>
        <w:rPr>
          <w:rFonts w:ascii="Times New Roman" w:hAnsi="Times New Roman"/>
          <w:sz w:val="24"/>
          <w:szCs w:val="24"/>
        </w:rPr>
      </w:pPr>
      <w:r>
        <w:rPr>
          <w:rFonts w:ascii="Times New Roman" w:hAnsi="Times New Roman"/>
          <w:sz w:val="24"/>
          <w:szCs w:val="24"/>
        </w:rPr>
        <w:t>Not surprisingly, retailers who already engage in e-commerce are also much more likely to have confidence in this sales channel (89</w:t>
      </w:r>
      <w:r w:rsidR="004456F1" w:rsidRPr="004456F1">
        <w:rPr>
          <w:rFonts w:ascii="Times New Roman" w:hAnsi="Times New Roman"/>
          <w:w w:val="50"/>
          <w:sz w:val="24"/>
          <w:szCs w:val="24"/>
        </w:rPr>
        <w:t> </w:t>
      </w:r>
      <w:r>
        <w:rPr>
          <w:rFonts w:ascii="Times New Roman" w:hAnsi="Times New Roman"/>
          <w:sz w:val="24"/>
          <w:szCs w:val="24"/>
        </w:rPr>
        <w:t>%) than those who do not currently sell online (38</w:t>
      </w:r>
      <w:r w:rsidR="004456F1" w:rsidRPr="004456F1">
        <w:rPr>
          <w:rFonts w:ascii="Times New Roman" w:hAnsi="Times New Roman"/>
          <w:w w:val="50"/>
          <w:sz w:val="24"/>
          <w:szCs w:val="24"/>
        </w:rPr>
        <w:t> </w:t>
      </w:r>
      <w:r>
        <w:rPr>
          <w:rFonts w:ascii="Times New Roman" w:hAnsi="Times New Roman"/>
          <w:sz w:val="24"/>
          <w:szCs w:val="24"/>
        </w:rPr>
        <w:t>%). Retailers who sell non-food products are also more confident to sell online than those selling food products (62</w:t>
      </w:r>
      <w:r w:rsidR="004456F1" w:rsidRPr="004456F1">
        <w:rPr>
          <w:rFonts w:ascii="Times New Roman" w:hAnsi="Times New Roman"/>
          <w:w w:val="50"/>
          <w:sz w:val="24"/>
          <w:szCs w:val="24"/>
        </w:rPr>
        <w:t> </w:t>
      </w:r>
      <w:r>
        <w:rPr>
          <w:rFonts w:ascii="Times New Roman" w:hAnsi="Times New Roman"/>
          <w:sz w:val="24"/>
          <w:szCs w:val="24"/>
        </w:rPr>
        <w:t>% vs 51</w:t>
      </w:r>
      <w:r w:rsidR="004456F1" w:rsidRPr="004456F1">
        <w:rPr>
          <w:rFonts w:ascii="Times New Roman" w:hAnsi="Times New Roman"/>
          <w:w w:val="50"/>
          <w:sz w:val="24"/>
          <w:szCs w:val="24"/>
        </w:rPr>
        <w:t> </w:t>
      </w:r>
      <w:r>
        <w:rPr>
          <w:rFonts w:ascii="Times New Roman" w:hAnsi="Times New Roman"/>
          <w:sz w:val="24"/>
          <w:szCs w:val="24"/>
        </w:rPr>
        <w:t xml:space="preserve">%). Finally, confidence in online sales increases with the number of languages a company sells in, and this is particularly the case when it comes to selling both domestically </w:t>
      </w:r>
      <w:r w:rsidR="005A2794">
        <w:rPr>
          <w:rFonts w:ascii="Times New Roman" w:hAnsi="Times New Roman"/>
          <w:sz w:val="24"/>
          <w:szCs w:val="24"/>
        </w:rPr>
        <w:t>and</w:t>
      </w:r>
      <w:r>
        <w:rPr>
          <w:rFonts w:ascii="Times New Roman" w:hAnsi="Times New Roman"/>
          <w:sz w:val="24"/>
          <w:szCs w:val="24"/>
        </w:rPr>
        <w:t xml:space="preserve"> in other EU countries (</w:t>
      </w:r>
      <w:r w:rsidR="005A2794">
        <w:rPr>
          <w:rFonts w:ascii="Times New Roman" w:hAnsi="Times New Roman"/>
          <w:sz w:val="24"/>
          <w:szCs w:val="24"/>
        </w:rPr>
        <w:t xml:space="preserve">only </w:t>
      </w:r>
      <w:r>
        <w:rPr>
          <w:rFonts w:ascii="Times New Roman" w:hAnsi="Times New Roman"/>
          <w:sz w:val="24"/>
          <w:szCs w:val="24"/>
        </w:rPr>
        <w:t>19</w:t>
      </w:r>
      <w:r w:rsidR="004456F1" w:rsidRPr="004456F1">
        <w:rPr>
          <w:rFonts w:ascii="Times New Roman" w:hAnsi="Times New Roman"/>
          <w:w w:val="50"/>
          <w:sz w:val="24"/>
          <w:szCs w:val="24"/>
        </w:rPr>
        <w:t> </w:t>
      </w:r>
      <w:r>
        <w:rPr>
          <w:rFonts w:ascii="Times New Roman" w:hAnsi="Times New Roman"/>
          <w:sz w:val="24"/>
          <w:szCs w:val="24"/>
        </w:rPr>
        <w:t>% of retailers selling in their own language express confidence, compared to 60</w:t>
      </w:r>
      <w:r w:rsidR="004456F1" w:rsidRPr="004456F1">
        <w:rPr>
          <w:rFonts w:ascii="Times New Roman" w:hAnsi="Times New Roman"/>
          <w:w w:val="50"/>
          <w:sz w:val="24"/>
          <w:szCs w:val="24"/>
        </w:rPr>
        <w:t> </w:t>
      </w:r>
      <w:r>
        <w:rPr>
          <w:rFonts w:ascii="Times New Roman" w:hAnsi="Times New Roman"/>
          <w:sz w:val="24"/>
          <w:szCs w:val="24"/>
        </w:rPr>
        <w:t>% of those who sell in four or more languages).</w:t>
      </w:r>
    </w:p>
    <w:p w:rsidR="00FB2CC0" w:rsidRDefault="00FB2CC0">
      <w:pPr>
        <w:keepNext/>
        <w:spacing w:before="0" w:after="0"/>
        <w:outlineLvl w:val="3"/>
        <w:rPr>
          <w:b/>
          <w:bCs/>
          <w:i/>
          <w:szCs w:val="28"/>
        </w:rPr>
      </w:pPr>
    </w:p>
    <w:p w:rsidR="00821430" w:rsidRDefault="00821430">
      <w:pPr>
        <w:keepNext/>
        <w:spacing w:before="0" w:after="0"/>
        <w:outlineLvl w:val="3"/>
        <w:rPr>
          <w:b/>
          <w:bCs/>
          <w:i/>
          <w:szCs w:val="28"/>
        </w:rPr>
      </w:pPr>
      <w:r>
        <w:rPr>
          <w:b/>
          <w:bCs/>
          <w:i/>
          <w:szCs w:val="28"/>
        </w:rPr>
        <w:t>3.2.2. Obstacles to the development of online sales</w:t>
      </w:r>
    </w:p>
    <w:p w:rsidR="00821430" w:rsidRDefault="00821430">
      <w:pPr>
        <w:spacing w:after="0"/>
      </w:pPr>
      <w:r>
        <w:t>Retailers were asked how important a range of obstacles were to their company developing online sales.</w:t>
      </w:r>
    </w:p>
    <w:p w:rsidR="00821430" w:rsidRDefault="00821430">
      <w:pPr>
        <w:spacing w:after="0"/>
        <w:rPr>
          <w:b/>
          <w:i/>
        </w:rPr>
      </w:pPr>
      <w:r>
        <w:rPr>
          <w:b/>
          <w:i/>
        </w:rPr>
        <w:t xml:space="preserve">The nature of the business is the most important obstacle to </w:t>
      </w:r>
      <w:r w:rsidRPr="004456F1">
        <w:rPr>
          <w:b/>
          <w:i/>
        </w:rPr>
        <w:t>develop</w:t>
      </w:r>
      <w:r w:rsidR="005A2794">
        <w:rPr>
          <w:b/>
          <w:i/>
        </w:rPr>
        <w:t>ing</w:t>
      </w:r>
      <w:r>
        <w:rPr>
          <w:b/>
          <w:i/>
        </w:rPr>
        <w:t xml:space="preserve"> online sales</w:t>
      </w:r>
    </w:p>
    <w:p w:rsidR="00821430" w:rsidRDefault="00821430">
      <w:pPr>
        <w:spacing w:after="0"/>
      </w:pPr>
      <w:r>
        <w:t>Among retailers who currently do not sell online, half (50</w:t>
      </w:r>
      <w:r w:rsidR="004456F1" w:rsidRPr="004456F1">
        <w:rPr>
          <w:w w:val="50"/>
        </w:rPr>
        <w:t> </w:t>
      </w:r>
      <w:r>
        <w:t>%) say that the nature of their business is an important obstacle to developing online sales. This is followed by higher risk of fraud and non-payment (45</w:t>
      </w:r>
      <w:r w:rsidR="004456F1" w:rsidRPr="004456F1">
        <w:rPr>
          <w:w w:val="50"/>
        </w:rPr>
        <w:t> </w:t>
      </w:r>
      <w:r>
        <w:t>%), additional consumer protection rules (44</w:t>
      </w:r>
      <w:r w:rsidR="004456F1" w:rsidRPr="004456F1">
        <w:rPr>
          <w:w w:val="50"/>
        </w:rPr>
        <w:t> </w:t>
      </w:r>
      <w:r>
        <w:t>%) and the extra need for IT skills (42</w:t>
      </w:r>
      <w:r w:rsidR="004456F1" w:rsidRPr="004456F1">
        <w:rPr>
          <w:w w:val="50"/>
        </w:rPr>
        <w:t> </w:t>
      </w:r>
      <w:r>
        <w:t>%). Slightly less than four in ten retailers mention extra need for capital investment in the development of IT applications (39</w:t>
      </w:r>
      <w:r w:rsidR="004456F1" w:rsidRPr="004456F1">
        <w:rPr>
          <w:w w:val="50"/>
        </w:rPr>
        <w:t> </w:t>
      </w:r>
      <w:r>
        <w:t>%), higher delivery costs, potentially higher costs of dispute resolution (both 37</w:t>
      </w:r>
      <w:r w:rsidR="004456F1" w:rsidRPr="004456F1">
        <w:rPr>
          <w:w w:val="50"/>
        </w:rPr>
        <w:t> </w:t>
      </w:r>
      <w:r>
        <w:t>%) and extra costs</w:t>
      </w:r>
      <w:r w:rsidR="005A2794">
        <w:t xml:space="preserve"> arising</w:t>
      </w:r>
      <w:r>
        <w:t xml:space="preserve"> from after-sales service.</w:t>
      </w:r>
    </w:p>
    <w:p w:rsidR="00821430" w:rsidRPr="00D517E5" w:rsidRDefault="00ED08B2" w:rsidP="00ED08B2">
      <w:pPr>
        <w:pStyle w:val="Caption"/>
      </w:pPr>
      <w:r>
        <w:t xml:space="preserve">Figure </w:t>
      </w:r>
      <w:r w:rsidR="005269EB">
        <w:rPr>
          <w:noProof/>
        </w:rPr>
        <w:t>32</w:t>
      </w:r>
      <w:r w:rsidRPr="00AF7906">
        <w:t>: Main concerns about selling online, EU28, 2014</w:t>
      </w:r>
      <w:r w:rsidR="00156334">
        <w:t xml:space="preserve"> (%)</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2D3EE405" wp14:editId="60BE5AC6">
            <wp:extent cx="5753100" cy="324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821430" w:rsidRDefault="00821430" w:rsidP="002716FC">
      <w:pPr>
        <w:pStyle w:val="Text1"/>
        <w:spacing w:before="0" w:after="0"/>
        <w:ind w:left="0"/>
        <w:rPr>
          <w:i/>
          <w:sz w:val="20"/>
          <w:szCs w:val="20"/>
        </w:rPr>
      </w:pPr>
      <w:r>
        <w:rPr>
          <w:i/>
          <w:sz w:val="20"/>
          <w:szCs w:val="20"/>
        </w:rPr>
        <w:t>Source: Flash Eurobarometer 396: How important are the following obstacles to the development of</w:t>
      </w:r>
      <w:r w:rsidR="00612B8E">
        <w:rPr>
          <w:i/>
          <w:sz w:val="20"/>
          <w:szCs w:val="20"/>
        </w:rPr>
        <w:t xml:space="preserve"> online sales by your company? b</w:t>
      </w:r>
      <w:r>
        <w:rPr>
          <w:i/>
          <w:sz w:val="20"/>
          <w:szCs w:val="20"/>
        </w:rPr>
        <w:t>ase: Retailers who do not sell on</w:t>
      </w:r>
      <w:r w:rsidR="00612B8E">
        <w:rPr>
          <w:i/>
          <w:sz w:val="20"/>
          <w:szCs w:val="20"/>
        </w:rPr>
        <w:t>line (n=</w:t>
      </w:r>
      <w:r>
        <w:rPr>
          <w:i/>
          <w:sz w:val="20"/>
          <w:szCs w:val="20"/>
        </w:rPr>
        <w:t>6</w:t>
      </w:r>
      <w:r w:rsidR="004456F1" w:rsidRPr="002716FC">
        <w:rPr>
          <w:i/>
          <w:sz w:val="20"/>
          <w:szCs w:val="20"/>
        </w:rPr>
        <w:t> </w:t>
      </w:r>
      <w:r>
        <w:rPr>
          <w:i/>
          <w:sz w:val="20"/>
          <w:szCs w:val="20"/>
        </w:rPr>
        <w:t>142)</w:t>
      </w:r>
    </w:p>
    <w:p w:rsidR="00821430" w:rsidRDefault="00821430">
      <w:pPr>
        <w:spacing w:after="0"/>
        <w:rPr>
          <w:b/>
          <w:i/>
        </w:rPr>
      </w:pPr>
      <w:r>
        <w:rPr>
          <w:b/>
          <w:i/>
        </w:rPr>
        <w:t xml:space="preserve">Higher risk of fraud and differences in national tax and consumer regulations are the main barriers to </w:t>
      </w:r>
      <w:r w:rsidRPr="004456F1">
        <w:rPr>
          <w:b/>
          <w:i/>
        </w:rPr>
        <w:t>sell</w:t>
      </w:r>
      <w:r w:rsidR="008838B5">
        <w:rPr>
          <w:b/>
          <w:i/>
        </w:rPr>
        <w:t>ing</w:t>
      </w:r>
      <w:r>
        <w:rPr>
          <w:b/>
          <w:i/>
        </w:rPr>
        <w:t xml:space="preserve"> online in other EU countries</w:t>
      </w:r>
    </w:p>
    <w:p w:rsidR="00821430" w:rsidRDefault="00821430">
      <w:pPr>
        <w:spacing w:after="0"/>
      </w:pPr>
      <w:r>
        <w:t>Among retailers who currently sell online only in their own country, higher risk of fraud and non-payments (43</w:t>
      </w:r>
      <w:r w:rsidR="004456F1" w:rsidRPr="004456F1">
        <w:rPr>
          <w:w w:val="50"/>
        </w:rPr>
        <w:t> </w:t>
      </w:r>
      <w:r>
        <w:t>%), differences in national tax regulations (42</w:t>
      </w:r>
      <w:r w:rsidR="004456F1" w:rsidRPr="004456F1">
        <w:rPr>
          <w:w w:val="50"/>
        </w:rPr>
        <w:t> </w:t>
      </w:r>
      <w:r>
        <w:t>%), consumer protection rules (41</w:t>
      </w:r>
      <w:r w:rsidR="004456F1" w:rsidRPr="004456F1">
        <w:rPr>
          <w:w w:val="50"/>
        </w:rPr>
        <w:t> </w:t>
      </w:r>
      <w:r>
        <w:t>%) and contract law (39</w:t>
      </w:r>
      <w:r w:rsidR="004456F1" w:rsidRPr="004456F1">
        <w:rPr>
          <w:w w:val="50"/>
        </w:rPr>
        <w:t> </w:t>
      </w:r>
      <w:r>
        <w:t>%) as well as higher transport costs (40</w:t>
      </w:r>
      <w:r w:rsidR="004456F1" w:rsidRPr="004456F1">
        <w:rPr>
          <w:w w:val="50"/>
        </w:rPr>
        <w:t> </w:t>
      </w:r>
      <w:r>
        <w:t>%) are the most frequently quoted obstacles to the development of cross-border sales. Over a third of respondents also mention potentially higher costs of dispute resolution (38</w:t>
      </w:r>
      <w:r w:rsidR="004456F1" w:rsidRPr="004456F1">
        <w:rPr>
          <w:w w:val="50"/>
        </w:rPr>
        <w:t> </w:t>
      </w:r>
      <w:r>
        <w:t>%) and higher delivery costs (37</w:t>
      </w:r>
      <w:r w:rsidR="004456F1" w:rsidRPr="004456F1">
        <w:rPr>
          <w:w w:val="50"/>
        </w:rPr>
        <w:t> </w:t>
      </w:r>
      <w:r w:rsidRPr="004456F1">
        <w:t>%)</w:t>
      </w:r>
      <w:r w:rsidR="008838B5">
        <w:t>.</w:t>
      </w:r>
      <w:r>
        <w:t xml:space="preserve"> </w:t>
      </w:r>
    </w:p>
    <w:p w:rsidR="00821430" w:rsidRDefault="00821430">
      <w:pPr>
        <w:spacing w:after="0"/>
      </w:pPr>
    </w:p>
    <w:p w:rsidR="00ED08B2" w:rsidRDefault="00ED08B2" w:rsidP="00ED08B2">
      <w:pPr>
        <w:pStyle w:val="Caption"/>
      </w:pPr>
      <w:r>
        <w:t xml:space="preserve">Figure </w:t>
      </w:r>
      <w:r w:rsidR="005269EB">
        <w:rPr>
          <w:noProof/>
        </w:rPr>
        <w:t>33</w:t>
      </w:r>
      <w:r w:rsidR="00B14CF8">
        <w:t xml:space="preserve"> </w:t>
      </w:r>
      <w:r w:rsidR="00B14CF8" w:rsidRPr="00AF7906">
        <w:t>Main concerns about selling online</w:t>
      </w:r>
      <w:r w:rsidR="002E6160">
        <w:t xml:space="preserve"> to other EU countries</w:t>
      </w:r>
      <w:r w:rsidR="00B14CF8" w:rsidRPr="00AF7906">
        <w:t>, EU28, 2014</w:t>
      </w:r>
      <w:r w:rsidR="00156334">
        <w:t xml:space="preserve"> (%)</w:t>
      </w:r>
    </w:p>
    <w:p w:rsidR="00821430" w:rsidRDefault="008B418B" w:rsidP="00CF2732">
      <w:pPr>
        <w:pStyle w:val="Text1"/>
        <w:keepNext/>
        <w:spacing w:before="0" w:after="0"/>
        <w:ind w:left="0"/>
        <w:rPr>
          <w:noProof/>
          <w:lang w:eastAsia="en-GB"/>
        </w:rPr>
      </w:pPr>
      <w:r>
        <w:rPr>
          <w:noProof/>
          <w:lang w:eastAsia="en-GB"/>
        </w:rPr>
        <w:drawing>
          <wp:inline distT="0" distB="0" distL="0" distR="0" wp14:anchorId="01AD384C" wp14:editId="6D557155">
            <wp:extent cx="5753100" cy="3248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821430" w:rsidRDefault="00821430" w:rsidP="002716FC">
      <w:pPr>
        <w:pStyle w:val="Text1"/>
        <w:spacing w:before="0" w:after="0"/>
        <w:ind w:left="0"/>
        <w:rPr>
          <w:i/>
          <w:sz w:val="20"/>
          <w:szCs w:val="20"/>
        </w:rPr>
      </w:pPr>
      <w:r>
        <w:rPr>
          <w:i/>
          <w:sz w:val="20"/>
          <w:szCs w:val="20"/>
        </w:rPr>
        <w:t xml:space="preserve">Source: Flash Eurobarometer 396: How important are the following obstacles to the development of online sales by your company? </w:t>
      </w:r>
      <w:r w:rsidR="00612B8E">
        <w:rPr>
          <w:i/>
          <w:sz w:val="20"/>
          <w:szCs w:val="20"/>
        </w:rPr>
        <w:t>b</w:t>
      </w:r>
      <w:r>
        <w:rPr>
          <w:i/>
          <w:sz w:val="20"/>
          <w:szCs w:val="20"/>
        </w:rPr>
        <w:t>ase: Retailers who sell online in their own country (</w:t>
      </w:r>
      <w:r w:rsidR="00612B8E">
        <w:rPr>
          <w:i/>
          <w:sz w:val="20"/>
          <w:szCs w:val="20"/>
        </w:rPr>
        <w:t>n</w:t>
      </w:r>
      <w:r>
        <w:rPr>
          <w:i/>
          <w:sz w:val="20"/>
          <w:szCs w:val="20"/>
        </w:rPr>
        <w:t>= 3</w:t>
      </w:r>
      <w:r w:rsidR="004456F1" w:rsidRPr="002716FC">
        <w:rPr>
          <w:i/>
          <w:sz w:val="20"/>
          <w:szCs w:val="20"/>
        </w:rPr>
        <w:t> </w:t>
      </w:r>
      <w:r>
        <w:rPr>
          <w:i/>
          <w:sz w:val="20"/>
          <w:szCs w:val="20"/>
        </w:rPr>
        <w:t>840)</w:t>
      </w:r>
    </w:p>
    <w:p w:rsidR="00821430" w:rsidRDefault="00567877" w:rsidP="00567877">
      <w:pPr>
        <w:pStyle w:val="Heading2"/>
        <w:numPr>
          <w:ilvl w:val="0"/>
          <w:numId w:val="0"/>
        </w:numPr>
      </w:pPr>
      <w:r>
        <w:t>4.</w:t>
      </w:r>
      <w:r>
        <w:tab/>
      </w:r>
      <w:r w:rsidR="00821430">
        <w:t>Problems and complaints</w:t>
      </w:r>
    </w:p>
    <w:p w:rsidR="00821430" w:rsidRDefault="00821430">
      <w:pPr>
        <w:spacing w:after="0"/>
      </w:pPr>
      <w:r>
        <w:t xml:space="preserve">This section looks </w:t>
      </w:r>
      <w:r w:rsidR="00D23609">
        <w:t>at</w:t>
      </w:r>
      <w:r w:rsidR="00D23609" w:rsidRPr="004456F1">
        <w:t xml:space="preserve"> </w:t>
      </w:r>
      <w:r>
        <w:t xml:space="preserve">the type of problems that consumers experience with online purchases, </w:t>
      </w:r>
      <w:r w:rsidR="00370503">
        <w:t xml:space="preserve">their approach to </w:t>
      </w:r>
      <w:r>
        <w:t xml:space="preserve">complaining in </w:t>
      </w:r>
      <w:r w:rsidR="00370503">
        <w:t>the event</w:t>
      </w:r>
      <w:r>
        <w:t xml:space="preserve"> of problems and satisfaction with complaint handling, based on the recent survey of online consumers. To get further insight into the problem areas, </w:t>
      </w:r>
      <w:r w:rsidR="00370503">
        <w:t>additional</w:t>
      </w:r>
      <w:r>
        <w:t xml:space="preserve"> data </w:t>
      </w:r>
      <w:r w:rsidR="00370503">
        <w:t>have been obtained from</w:t>
      </w:r>
      <w:r>
        <w:t xml:space="preserve"> </w:t>
      </w:r>
      <w:r w:rsidR="00F71C44">
        <w:t xml:space="preserve">EU-wide </w:t>
      </w:r>
      <w:r>
        <w:t>compliance check</w:t>
      </w:r>
      <w:r w:rsidR="00F71C44">
        <w:t>s</w:t>
      </w:r>
      <w:r>
        <w:t xml:space="preserve"> of online retailers</w:t>
      </w:r>
      <w:r w:rsidR="00F71C44">
        <w:t xml:space="preserve"> </w:t>
      </w:r>
      <w:r>
        <w:t>and consumer complaints received by the European Consumer Centres.</w:t>
      </w:r>
    </w:p>
    <w:p w:rsidR="00821430" w:rsidRDefault="00821430" w:rsidP="0055096C">
      <w:pPr>
        <w:pStyle w:val="Heading3"/>
      </w:pPr>
      <w:r>
        <w:t xml:space="preserve">4.1 </w:t>
      </w:r>
      <w:r>
        <w:tab/>
        <w:t>Problems with online transactions</w:t>
      </w:r>
    </w:p>
    <w:p w:rsidR="00821430" w:rsidRDefault="00821430">
      <w:pPr>
        <w:keepNext/>
        <w:spacing w:before="0" w:after="0"/>
        <w:outlineLvl w:val="3"/>
        <w:rPr>
          <w:b/>
          <w:bCs/>
          <w:i/>
          <w:szCs w:val="28"/>
        </w:rPr>
      </w:pPr>
      <w:r>
        <w:rPr>
          <w:b/>
          <w:bCs/>
          <w:i/>
          <w:szCs w:val="28"/>
        </w:rPr>
        <w:t xml:space="preserve">4.1.1. </w:t>
      </w:r>
      <w:r>
        <w:rPr>
          <w:b/>
          <w:bCs/>
          <w:i/>
          <w:szCs w:val="28"/>
        </w:rPr>
        <w:tab/>
        <w:t>Overall incidence of problems</w:t>
      </w:r>
    </w:p>
    <w:p w:rsidR="00821430" w:rsidRDefault="00821430">
      <w:pPr>
        <w:spacing w:after="0"/>
      </w:pPr>
      <w:r>
        <w:t>Slightly less than a third (31</w:t>
      </w:r>
      <w:r w:rsidR="004456F1" w:rsidRPr="004456F1">
        <w:rPr>
          <w:w w:val="50"/>
        </w:rPr>
        <w:t> </w:t>
      </w:r>
      <w:r>
        <w:t>%) of online consumers experienced at least one problem when making or trying to make an online purchase in the past 12 months.</w:t>
      </w:r>
    </w:p>
    <w:p w:rsidR="00821430" w:rsidRDefault="00821430">
      <w:pPr>
        <w:spacing w:after="0"/>
      </w:pPr>
      <w:r>
        <w:t xml:space="preserve">This proportion decreases with age and increases with the level of education, the frequency of foreign travel, the size of the locality and the frequency of buying/using products on the </w:t>
      </w:r>
      <w:r w:rsidR="00370503">
        <w:t>I</w:t>
      </w:r>
      <w:r w:rsidRPr="004456F1">
        <w:t>nternet</w:t>
      </w:r>
      <w:r>
        <w:t>.</w:t>
      </w:r>
    </w:p>
    <w:p w:rsidR="00821430" w:rsidRDefault="00821430">
      <w:pPr>
        <w:spacing w:after="0"/>
        <w:rPr>
          <w:b/>
          <w:i/>
        </w:rPr>
      </w:pPr>
      <w:r>
        <w:rPr>
          <w:b/>
          <w:i/>
        </w:rPr>
        <w:t>Problems are more prevalent in EU</w:t>
      </w:r>
      <w:r w:rsidR="00D870F9">
        <w:rPr>
          <w:b/>
          <w:i/>
        </w:rPr>
        <w:t>13</w:t>
      </w:r>
      <w:r>
        <w:rPr>
          <w:b/>
          <w:i/>
        </w:rPr>
        <w:t xml:space="preserve"> than in EU15</w:t>
      </w:r>
    </w:p>
    <w:p w:rsidR="00821430" w:rsidRDefault="00821430">
      <w:pPr>
        <w:spacing w:after="0"/>
      </w:pPr>
      <w:r>
        <w:t xml:space="preserve">The proportion of consumers </w:t>
      </w:r>
      <w:r w:rsidR="00D80690">
        <w:t>who say they have</w:t>
      </w:r>
      <w:r>
        <w:t xml:space="preserve"> experienced problems is higher in EU13 than in EU15 (38</w:t>
      </w:r>
      <w:r w:rsidR="004456F1" w:rsidRPr="004456F1">
        <w:rPr>
          <w:w w:val="50"/>
        </w:rPr>
        <w:t> </w:t>
      </w:r>
      <w:r>
        <w:t>% vs 30</w:t>
      </w:r>
      <w:r w:rsidR="004456F1" w:rsidRPr="004456F1">
        <w:rPr>
          <w:w w:val="50"/>
        </w:rPr>
        <w:t> </w:t>
      </w:r>
      <w:r>
        <w:t>%). The highest levels can be found in Poland (40</w:t>
      </w:r>
      <w:r w:rsidR="004456F1" w:rsidRPr="004456F1">
        <w:rPr>
          <w:w w:val="50"/>
        </w:rPr>
        <w:t> </w:t>
      </w:r>
      <w:r>
        <w:t>%), Romania (39</w:t>
      </w:r>
      <w:r w:rsidR="004456F1" w:rsidRPr="004456F1">
        <w:rPr>
          <w:w w:val="50"/>
        </w:rPr>
        <w:t> </w:t>
      </w:r>
      <w:r>
        <w:t>%), Slovakia (39</w:t>
      </w:r>
      <w:r w:rsidR="004456F1" w:rsidRPr="004456F1">
        <w:rPr>
          <w:w w:val="50"/>
        </w:rPr>
        <w:t> </w:t>
      </w:r>
      <w:r>
        <w:t>%), Greece (38</w:t>
      </w:r>
      <w:r w:rsidR="004456F1" w:rsidRPr="004456F1">
        <w:rPr>
          <w:w w:val="50"/>
        </w:rPr>
        <w:t> </w:t>
      </w:r>
      <w:r>
        <w:t>%) and Hungary (38</w:t>
      </w:r>
      <w:r w:rsidR="004456F1" w:rsidRPr="004456F1">
        <w:rPr>
          <w:w w:val="50"/>
        </w:rPr>
        <w:t> </w:t>
      </w:r>
      <w:r w:rsidRPr="004456F1">
        <w:t>%)</w:t>
      </w:r>
      <w:r w:rsidR="00370503">
        <w:t>,</w:t>
      </w:r>
      <w:r>
        <w:t xml:space="preserve"> whereas consumers from Iceland (13</w:t>
      </w:r>
      <w:r w:rsidR="004456F1" w:rsidRPr="004456F1">
        <w:rPr>
          <w:w w:val="50"/>
        </w:rPr>
        <w:t> </w:t>
      </w:r>
      <w:r>
        <w:t>%), the Netherlands (21</w:t>
      </w:r>
      <w:r w:rsidR="004456F1" w:rsidRPr="004456F1">
        <w:rPr>
          <w:w w:val="50"/>
        </w:rPr>
        <w:t> </w:t>
      </w:r>
      <w:r>
        <w:t>%), Latvia (22</w:t>
      </w:r>
      <w:r w:rsidR="004456F1" w:rsidRPr="004456F1">
        <w:rPr>
          <w:w w:val="50"/>
        </w:rPr>
        <w:t> </w:t>
      </w:r>
      <w:r>
        <w:t>%), Portugal (23</w:t>
      </w:r>
      <w:r w:rsidR="004456F1" w:rsidRPr="004456F1">
        <w:rPr>
          <w:w w:val="50"/>
        </w:rPr>
        <w:t> </w:t>
      </w:r>
      <w:r>
        <w:t>%) and Denmark (23</w:t>
      </w:r>
      <w:r w:rsidR="004456F1" w:rsidRPr="004456F1">
        <w:rPr>
          <w:w w:val="50"/>
        </w:rPr>
        <w:t> </w:t>
      </w:r>
      <w:r>
        <w:t>%) are the least likely to report problems.</w:t>
      </w:r>
    </w:p>
    <w:p w:rsidR="00821430" w:rsidRPr="00D517E5" w:rsidRDefault="00ED08B2" w:rsidP="00ED08B2">
      <w:pPr>
        <w:pStyle w:val="Caption"/>
      </w:pPr>
      <w:r>
        <w:t xml:space="preserve">Figure </w:t>
      </w:r>
      <w:r w:rsidR="005269EB">
        <w:rPr>
          <w:noProof/>
        </w:rPr>
        <w:t>34</w:t>
      </w:r>
      <w:r w:rsidRPr="002F35B0">
        <w:t>: Problems encountered with online purchases by country, 2015</w:t>
      </w:r>
      <w:r w:rsidR="00156334">
        <w:t xml:space="preserve"> (%)</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01E9ACCA" wp14:editId="7C9682CB">
            <wp:extent cx="4581525" cy="4714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81525" cy="4714875"/>
                    </a:xfrm>
                    <a:prstGeom prst="rect">
                      <a:avLst/>
                    </a:prstGeom>
                    <a:noFill/>
                    <a:ln>
                      <a:noFill/>
                    </a:ln>
                  </pic:spPr>
                </pic:pic>
              </a:graphicData>
            </a:graphic>
          </wp:inline>
        </w:drawing>
      </w:r>
    </w:p>
    <w:p w:rsidR="00821430" w:rsidRPr="002716FC" w:rsidRDefault="00821430" w:rsidP="002716FC">
      <w:pPr>
        <w:pStyle w:val="Text1"/>
        <w:spacing w:before="0" w:after="0"/>
        <w:ind w:left="0"/>
        <w:rPr>
          <w:i/>
          <w:sz w:val="20"/>
          <w:szCs w:val="20"/>
        </w:rPr>
      </w:pPr>
      <w:r w:rsidRPr="002716FC">
        <w:rPr>
          <w:i/>
          <w:sz w:val="20"/>
          <w:szCs w:val="20"/>
        </w:rPr>
        <w:t xml:space="preserve">Source: 2015 DSM consumer survey: Proportion experiencing any problem with an online product/service </w:t>
      </w:r>
      <w:r w:rsidR="00D870F9" w:rsidRPr="002716FC">
        <w:rPr>
          <w:i/>
          <w:sz w:val="20"/>
          <w:szCs w:val="20"/>
        </w:rPr>
        <w:t xml:space="preserve">over the past 12 months </w:t>
      </w:r>
      <w:r w:rsidRPr="002716FC">
        <w:rPr>
          <w:i/>
          <w:sz w:val="20"/>
          <w:szCs w:val="20"/>
        </w:rPr>
        <w:t>(</w:t>
      </w:r>
      <w:r w:rsidR="00612B8E">
        <w:rPr>
          <w:i/>
          <w:sz w:val="20"/>
          <w:szCs w:val="20"/>
        </w:rPr>
        <w:t>n</w:t>
      </w:r>
      <w:r w:rsidRPr="002716FC">
        <w:rPr>
          <w:i/>
          <w:sz w:val="20"/>
          <w:szCs w:val="20"/>
        </w:rPr>
        <w:t>=2</w:t>
      </w:r>
      <w:r w:rsidR="003D42E1" w:rsidRPr="002716FC">
        <w:rPr>
          <w:i/>
          <w:sz w:val="20"/>
          <w:szCs w:val="20"/>
        </w:rPr>
        <w:t>2</w:t>
      </w:r>
      <w:r w:rsidR="004456F1" w:rsidRPr="002716FC">
        <w:rPr>
          <w:i/>
          <w:sz w:val="20"/>
          <w:szCs w:val="20"/>
        </w:rPr>
        <w:t> </w:t>
      </w:r>
      <w:r w:rsidR="003D42E1" w:rsidRPr="002716FC">
        <w:rPr>
          <w:i/>
          <w:sz w:val="20"/>
          <w:szCs w:val="20"/>
        </w:rPr>
        <w:t>646</w:t>
      </w:r>
      <w:r w:rsidRPr="002716FC">
        <w:rPr>
          <w:i/>
          <w:sz w:val="20"/>
          <w:szCs w:val="20"/>
        </w:rPr>
        <w:t>) – latest problem</w:t>
      </w:r>
    </w:p>
    <w:p w:rsidR="00821430" w:rsidRDefault="00821430">
      <w:pPr>
        <w:spacing w:after="0"/>
      </w:pPr>
      <w:r>
        <w:t xml:space="preserve">Looking at the latest </w:t>
      </w:r>
      <w:r w:rsidRPr="004456F1">
        <w:t>problem</w:t>
      </w:r>
      <w:r w:rsidR="004942CB">
        <w:t>s</w:t>
      </w:r>
      <w:r>
        <w:t xml:space="preserve"> experienced, the vast majority of </w:t>
      </w:r>
      <w:r w:rsidR="001E54E2">
        <w:t>them</w:t>
      </w:r>
      <w:r w:rsidR="001E54E2" w:rsidRPr="004456F1">
        <w:t xml:space="preserve"> </w:t>
      </w:r>
      <w:r>
        <w:t>have to do with tangible goods (73</w:t>
      </w:r>
      <w:r w:rsidR="004456F1" w:rsidRPr="004456F1">
        <w:rPr>
          <w:w w:val="50"/>
        </w:rPr>
        <w:t> </w:t>
      </w:r>
      <w:r>
        <w:t>%), followed by digital content (19</w:t>
      </w:r>
      <w:r w:rsidR="004456F1" w:rsidRPr="004456F1">
        <w:rPr>
          <w:w w:val="50"/>
        </w:rPr>
        <w:t> </w:t>
      </w:r>
      <w:r>
        <w:t>%) and online services (8</w:t>
      </w:r>
      <w:r w:rsidR="004456F1" w:rsidRPr="004456F1">
        <w:rPr>
          <w:w w:val="50"/>
        </w:rPr>
        <w:t> </w:t>
      </w:r>
      <w:r>
        <w:t xml:space="preserve">%). Amongst tangible goods, the products that caused most problems </w:t>
      </w:r>
      <w:r w:rsidR="004456F1">
        <w:t>—</w:t>
      </w:r>
      <w:r>
        <w:t xml:space="preserve"> clothing, shoes and accessories (6</w:t>
      </w:r>
      <w:r w:rsidR="004456F1" w:rsidRPr="004456F1">
        <w:rPr>
          <w:w w:val="50"/>
        </w:rPr>
        <w:t> </w:t>
      </w:r>
      <w:r>
        <w:t>%</w:t>
      </w:r>
      <w:r w:rsidR="003D42E1">
        <w:t xml:space="preserve"> of all online buyers</w:t>
      </w:r>
      <w:r>
        <w:t>) and electronic and computer hardware (4</w:t>
      </w:r>
      <w:r w:rsidR="004456F1" w:rsidRPr="004456F1">
        <w:rPr>
          <w:w w:val="50"/>
        </w:rPr>
        <w:t> </w:t>
      </w:r>
      <w:r w:rsidRPr="004456F1">
        <w:t xml:space="preserve">%) </w:t>
      </w:r>
      <w:r w:rsidR="004456F1">
        <w:t>—</w:t>
      </w:r>
      <w:r>
        <w:t xml:space="preserve"> were also respectively the first and second most common online purchases (accounting for 21</w:t>
      </w:r>
      <w:r w:rsidR="004456F1" w:rsidRPr="004456F1">
        <w:rPr>
          <w:w w:val="50"/>
        </w:rPr>
        <w:t> </w:t>
      </w:r>
      <w:r>
        <w:t>% and 13</w:t>
      </w:r>
      <w:r w:rsidR="004456F1" w:rsidRPr="004456F1">
        <w:rPr>
          <w:w w:val="50"/>
        </w:rPr>
        <w:t> </w:t>
      </w:r>
      <w:r>
        <w:t>% of latest online purchases).</w:t>
      </w:r>
    </w:p>
    <w:p w:rsidR="00821430" w:rsidRDefault="00ED08B2" w:rsidP="00ED08B2">
      <w:pPr>
        <w:pStyle w:val="Caption"/>
        <w:rPr>
          <w:b w:val="0"/>
          <w:bCs/>
          <w:lang w:eastAsia="en-GB"/>
        </w:rPr>
      </w:pPr>
      <w:r>
        <w:t xml:space="preserve">Figure </w:t>
      </w:r>
      <w:r w:rsidR="005269EB">
        <w:rPr>
          <w:noProof/>
        </w:rPr>
        <w:t>35</w:t>
      </w:r>
      <w:r>
        <w:t xml:space="preserve">: </w:t>
      </w:r>
      <w:r w:rsidRPr="008D27B8">
        <w:t>Category of latest online purchase vs latest problem experienced</w:t>
      </w:r>
      <w:r w:rsidR="00156334">
        <w:t>, EU-28, 2015 (%)</w:t>
      </w:r>
    </w:p>
    <w:p w:rsidR="00821430" w:rsidRDefault="008B418B" w:rsidP="00CF2732">
      <w:pPr>
        <w:pStyle w:val="Text1"/>
        <w:keepNext/>
        <w:spacing w:before="0" w:after="0"/>
        <w:ind w:left="0"/>
        <w:rPr>
          <w:noProof/>
          <w:lang w:eastAsia="en-GB"/>
        </w:rPr>
      </w:pPr>
      <w:r>
        <w:rPr>
          <w:noProof/>
          <w:lang w:eastAsia="en-GB"/>
        </w:rPr>
        <w:drawing>
          <wp:inline distT="0" distB="0" distL="0" distR="0" wp14:anchorId="3524958B" wp14:editId="5789C033">
            <wp:extent cx="5753100" cy="3438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rsidR="00821430" w:rsidRPr="002716FC" w:rsidRDefault="00821430" w:rsidP="002716FC">
      <w:pPr>
        <w:pStyle w:val="Text1"/>
        <w:spacing w:before="0" w:after="0"/>
        <w:ind w:left="0"/>
        <w:rPr>
          <w:i/>
          <w:sz w:val="20"/>
          <w:szCs w:val="20"/>
        </w:rPr>
      </w:pPr>
      <w:r w:rsidRPr="002716FC">
        <w:rPr>
          <w:i/>
          <w:sz w:val="20"/>
          <w:szCs w:val="20"/>
        </w:rPr>
        <w:t>Source: 2015 DSM Consumer survey: Thinking about your latest online purchase, what kind of product did you buy? (EU28 N=21</w:t>
      </w:r>
      <w:r w:rsidR="004456F1" w:rsidRPr="002716FC">
        <w:rPr>
          <w:i/>
          <w:sz w:val="20"/>
          <w:szCs w:val="20"/>
        </w:rPr>
        <w:t> </w:t>
      </w:r>
      <w:r w:rsidRPr="002716FC">
        <w:rPr>
          <w:i/>
          <w:sz w:val="20"/>
          <w:szCs w:val="20"/>
        </w:rPr>
        <w:t xml:space="preserve">657) and If you experienced a problem/problems when making or trying to make an online purchase in the last 12 months, the most recent problem was with: (EU28 </w:t>
      </w:r>
      <w:r w:rsidR="00612B8E">
        <w:rPr>
          <w:i/>
          <w:sz w:val="20"/>
          <w:szCs w:val="20"/>
        </w:rPr>
        <w:t>n</w:t>
      </w:r>
      <w:r w:rsidRPr="002716FC">
        <w:rPr>
          <w:i/>
          <w:sz w:val="20"/>
          <w:szCs w:val="20"/>
        </w:rPr>
        <w:t>=22</w:t>
      </w:r>
      <w:r w:rsidR="004456F1" w:rsidRPr="002716FC">
        <w:rPr>
          <w:i/>
          <w:sz w:val="20"/>
          <w:szCs w:val="20"/>
        </w:rPr>
        <w:t> </w:t>
      </w:r>
      <w:r w:rsidRPr="002716FC">
        <w:rPr>
          <w:i/>
          <w:sz w:val="20"/>
          <w:szCs w:val="20"/>
        </w:rPr>
        <w:t>646)</w:t>
      </w:r>
    </w:p>
    <w:p w:rsidR="00821430" w:rsidRDefault="00821430">
      <w:r>
        <w:rPr>
          <w:b/>
          <w:i/>
        </w:rPr>
        <w:t>Cross-border purchases cause relatively more problems</w:t>
      </w:r>
    </w:p>
    <w:p w:rsidR="00821430" w:rsidRDefault="00821430">
      <w:r>
        <w:t>As might be expected, the majority of consumers’ most recent problems arise with (attempted) purchases from a domestic seller (57</w:t>
      </w:r>
      <w:r w:rsidR="004456F1" w:rsidRPr="004456F1">
        <w:rPr>
          <w:w w:val="50"/>
        </w:rPr>
        <w:t> </w:t>
      </w:r>
      <w:r>
        <w:t>%), while, respectively, 21</w:t>
      </w:r>
      <w:r w:rsidR="004456F1" w:rsidRPr="004456F1">
        <w:rPr>
          <w:w w:val="50"/>
        </w:rPr>
        <w:t> </w:t>
      </w:r>
      <w:r>
        <w:t>% and 13</w:t>
      </w:r>
      <w:r w:rsidR="004456F1" w:rsidRPr="004456F1">
        <w:rPr>
          <w:w w:val="50"/>
        </w:rPr>
        <w:t> </w:t>
      </w:r>
      <w:r>
        <w:t>% of problems are linked to purchases from sellers based in another EU country and outside the EU.</w:t>
      </w:r>
      <w:r>
        <w:rPr>
          <w:rStyle w:val="FootnoteReference"/>
        </w:rPr>
        <w:footnoteReference w:id="57"/>
      </w:r>
      <w:r>
        <w:t xml:space="preserve"> Higher absolute incidence of domestic problems is most likely linked to </w:t>
      </w:r>
      <w:r w:rsidR="00EF5B92">
        <w:t>great</w:t>
      </w:r>
      <w:r w:rsidR="00EF5B92" w:rsidRPr="004456F1">
        <w:t xml:space="preserve">er </w:t>
      </w:r>
      <w:r>
        <w:t>frequency of domestic online purchases. Indeed</w:t>
      </w:r>
      <w:r w:rsidR="00D870F9">
        <w:t>,</w:t>
      </w:r>
      <w:r>
        <w:t xml:space="preserve"> when comparing the origin of the latest problem with the origin of the latest purchase, cross-border purchases</w:t>
      </w:r>
      <w:r w:rsidR="00C40131">
        <w:t xml:space="preserve">, both within the EU and from outside the EU, </w:t>
      </w:r>
      <w:r>
        <w:t>account for a disproportionately high amount of problems (12</w:t>
      </w:r>
      <w:r w:rsidR="004456F1" w:rsidRPr="004456F1">
        <w:rPr>
          <w:w w:val="50"/>
        </w:rPr>
        <w:t> </w:t>
      </w:r>
      <w:r>
        <w:t xml:space="preserve">% </w:t>
      </w:r>
      <w:r w:rsidR="00C40131">
        <w:t>and 6</w:t>
      </w:r>
      <w:r w:rsidR="004456F1" w:rsidRPr="004456F1">
        <w:rPr>
          <w:w w:val="50"/>
        </w:rPr>
        <w:t> </w:t>
      </w:r>
      <w:r w:rsidR="00C40131">
        <w:t xml:space="preserve">% </w:t>
      </w:r>
      <w:r>
        <w:t>of purchases and 21</w:t>
      </w:r>
      <w:r w:rsidR="004456F1" w:rsidRPr="004456F1">
        <w:rPr>
          <w:w w:val="50"/>
        </w:rPr>
        <w:t> </w:t>
      </w:r>
      <w:r>
        <w:t>%</w:t>
      </w:r>
      <w:r w:rsidR="00C40131">
        <w:t>, and 13</w:t>
      </w:r>
      <w:r w:rsidR="004456F1" w:rsidRPr="004456F1">
        <w:rPr>
          <w:w w:val="50"/>
        </w:rPr>
        <w:t> </w:t>
      </w:r>
      <w:r w:rsidR="00C40131">
        <w:t xml:space="preserve">% </w:t>
      </w:r>
      <w:r>
        <w:t xml:space="preserve">of problems </w:t>
      </w:r>
      <w:r w:rsidR="00C40131">
        <w:t xml:space="preserve">respectively </w:t>
      </w:r>
      <w:r>
        <w:t>vs 70</w:t>
      </w:r>
      <w:r w:rsidR="004456F1" w:rsidRPr="004456F1">
        <w:rPr>
          <w:w w:val="50"/>
        </w:rPr>
        <w:t> </w:t>
      </w:r>
      <w:r>
        <w:t>% and 57</w:t>
      </w:r>
      <w:r w:rsidR="004456F1" w:rsidRPr="004456F1">
        <w:rPr>
          <w:w w:val="50"/>
        </w:rPr>
        <w:t> </w:t>
      </w:r>
      <w:r>
        <w:t>% for domestic online purchases).</w:t>
      </w:r>
    </w:p>
    <w:p w:rsidR="00ED08B2" w:rsidRDefault="00ED08B2" w:rsidP="00ED08B2">
      <w:pPr>
        <w:pStyle w:val="Caption"/>
        <w:rPr>
          <w:noProof/>
          <w:lang w:eastAsia="en-GB"/>
        </w:rPr>
      </w:pPr>
      <w:r>
        <w:t xml:space="preserve">Figure </w:t>
      </w:r>
      <w:r w:rsidR="005269EB">
        <w:rPr>
          <w:noProof/>
        </w:rPr>
        <w:t>36</w:t>
      </w:r>
      <w:r w:rsidRPr="009171BE">
        <w:t>: Origin of latest online purchase vs latest online problem</w:t>
      </w:r>
      <w:r w:rsidR="00156334">
        <w:t>,</w:t>
      </w:r>
      <w:r w:rsidR="00156334" w:rsidRPr="00156334">
        <w:t xml:space="preserve"> </w:t>
      </w:r>
      <w:r w:rsidR="00156334">
        <w:t>EU-28, 2015 (%)</w:t>
      </w:r>
    </w:p>
    <w:p w:rsidR="00821430" w:rsidRDefault="008B418B" w:rsidP="00CF2732">
      <w:pPr>
        <w:pStyle w:val="Text1"/>
        <w:keepNext/>
        <w:spacing w:before="0" w:after="0"/>
        <w:ind w:left="0"/>
        <w:rPr>
          <w:noProof/>
          <w:lang w:eastAsia="en-GB"/>
        </w:rPr>
      </w:pPr>
      <w:r>
        <w:rPr>
          <w:noProof/>
          <w:lang w:eastAsia="en-GB"/>
        </w:rPr>
        <w:drawing>
          <wp:inline distT="0" distB="0" distL="0" distR="0" wp14:anchorId="5A9F4209" wp14:editId="2AB5477C">
            <wp:extent cx="4514850" cy="3362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4850" cy="3362325"/>
                    </a:xfrm>
                    <a:prstGeom prst="rect">
                      <a:avLst/>
                    </a:prstGeom>
                    <a:noFill/>
                    <a:ln>
                      <a:noFill/>
                    </a:ln>
                  </pic:spPr>
                </pic:pic>
              </a:graphicData>
            </a:graphic>
          </wp:inline>
        </w:drawing>
      </w:r>
    </w:p>
    <w:p w:rsidR="00821430" w:rsidRPr="002716FC" w:rsidRDefault="00821430" w:rsidP="002716FC">
      <w:pPr>
        <w:pStyle w:val="Text1"/>
        <w:spacing w:before="0" w:after="0"/>
        <w:ind w:left="0"/>
        <w:rPr>
          <w:i/>
          <w:sz w:val="20"/>
          <w:szCs w:val="20"/>
        </w:rPr>
      </w:pPr>
      <w:r w:rsidRPr="002716FC">
        <w:rPr>
          <w:i/>
          <w:sz w:val="20"/>
          <w:szCs w:val="20"/>
        </w:rPr>
        <w:t xml:space="preserve">Source: 2015 DSM consumer survey: Where did you buy this product online from? (EU28 </w:t>
      </w:r>
      <w:r w:rsidR="00612B8E">
        <w:rPr>
          <w:i/>
          <w:sz w:val="20"/>
          <w:szCs w:val="20"/>
        </w:rPr>
        <w:t>n</w:t>
      </w:r>
      <w:r w:rsidRPr="002716FC">
        <w:rPr>
          <w:i/>
          <w:sz w:val="20"/>
          <w:szCs w:val="20"/>
        </w:rPr>
        <w:t>=21</w:t>
      </w:r>
      <w:r w:rsidR="004456F1" w:rsidRPr="002716FC">
        <w:rPr>
          <w:i/>
          <w:sz w:val="20"/>
          <w:szCs w:val="20"/>
        </w:rPr>
        <w:t> </w:t>
      </w:r>
      <w:r w:rsidRPr="002716FC">
        <w:rPr>
          <w:i/>
          <w:sz w:val="20"/>
          <w:szCs w:val="20"/>
        </w:rPr>
        <w:t xml:space="preserve">657), Where was this online purchase made or attempted from? (EU28 </w:t>
      </w:r>
      <w:r w:rsidR="00612B8E">
        <w:rPr>
          <w:i/>
          <w:sz w:val="20"/>
          <w:szCs w:val="20"/>
        </w:rPr>
        <w:t>n</w:t>
      </w:r>
      <w:r w:rsidRPr="002716FC">
        <w:rPr>
          <w:i/>
          <w:sz w:val="20"/>
          <w:szCs w:val="20"/>
        </w:rPr>
        <w:t>=6</w:t>
      </w:r>
      <w:r w:rsidR="004456F1" w:rsidRPr="002716FC">
        <w:rPr>
          <w:i/>
          <w:sz w:val="20"/>
          <w:szCs w:val="20"/>
        </w:rPr>
        <w:t> </w:t>
      </w:r>
      <w:r w:rsidRPr="002716FC">
        <w:rPr>
          <w:i/>
          <w:sz w:val="20"/>
          <w:szCs w:val="20"/>
        </w:rPr>
        <w:t>468)</w:t>
      </w:r>
    </w:p>
    <w:p w:rsidR="00821430" w:rsidRDefault="00821430">
      <w:pPr>
        <w:pStyle w:val="ListParagraph"/>
        <w:ind w:left="0"/>
        <w:rPr>
          <w:rFonts w:ascii="Times New Roman" w:hAnsi="Times New Roman"/>
          <w:color w:val="auto"/>
          <w:sz w:val="24"/>
        </w:rPr>
      </w:pPr>
    </w:p>
    <w:p w:rsidR="00821430" w:rsidRDefault="00821430">
      <w:pPr>
        <w:keepNext/>
        <w:spacing w:before="0" w:after="0"/>
        <w:outlineLvl w:val="3"/>
        <w:rPr>
          <w:b/>
          <w:bCs/>
          <w:i/>
          <w:szCs w:val="28"/>
        </w:rPr>
      </w:pPr>
      <w:r>
        <w:rPr>
          <w:b/>
          <w:bCs/>
          <w:i/>
          <w:szCs w:val="28"/>
        </w:rPr>
        <w:t xml:space="preserve">4.1.2. </w:t>
      </w:r>
      <w:r>
        <w:rPr>
          <w:b/>
          <w:bCs/>
          <w:i/>
          <w:szCs w:val="28"/>
        </w:rPr>
        <w:tab/>
        <w:t>Most prevalent problems</w:t>
      </w:r>
    </w:p>
    <w:p w:rsidR="00821430" w:rsidRDefault="00821430">
      <w:pPr>
        <w:pStyle w:val="ListParagraph"/>
        <w:ind w:left="0"/>
        <w:rPr>
          <w:rFonts w:ascii="Times New Roman" w:hAnsi="Times New Roman"/>
          <w:b/>
          <w:i/>
          <w:color w:val="auto"/>
          <w:sz w:val="24"/>
        </w:rPr>
      </w:pPr>
      <w:r>
        <w:rPr>
          <w:rFonts w:ascii="Times New Roman" w:hAnsi="Times New Roman"/>
          <w:b/>
          <w:i/>
          <w:color w:val="auto"/>
          <w:sz w:val="24"/>
        </w:rPr>
        <w:t>Concerns about delivery and conformity issues are confirmed by actual consumer experience</w:t>
      </w:r>
    </w:p>
    <w:p w:rsidR="005F786A" w:rsidRDefault="00821430" w:rsidP="005F786A">
      <w:r>
        <w:t>Certain concerns discussed earlier are substantiated by actual problems experienced by consumers. Hence, the most frequently quoted problem (accounting for 17</w:t>
      </w:r>
      <w:r w:rsidR="004456F1" w:rsidRPr="004456F1">
        <w:rPr>
          <w:w w:val="50"/>
        </w:rPr>
        <w:t> </w:t>
      </w:r>
      <w:r>
        <w:t xml:space="preserve">% of all problems) </w:t>
      </w:r>
      <w:r w:rsidR="007A7499" w:rsidRPr="004456F1">
        <w:t>ha</w:t>
      </w:r>
      <w:r w:rsidR="007A7499">
        <w:t>s</w:t>
      </w:r>
      <w:r>
        <w:t xml:space="preserve"> to do with long delivery times. Concerns about conformity-related issues are also mirrored in the actual consumer experience, with </w:t>
      </w:r>
      <w:r w:rsidR="007A7499">
        <w:t>poor</w:t>
      </w:r>
      <w:r w:rsidR="007A7499" w:rsidRPr="004456F1">
        <w:t xml:space="preserve"> </w:t>
      </w:r>
      <w:r>
        <w:t>product quality (15</w:t>
      </w:r>
      <w:r w:rsidR="004456F1" w:rsidRPr="004456F1">
        <w:rPr>
          <w:w w:val="50"/>
        </w:rPr>
        <w:t> </w:t>
      </w:r>
      <w:r>
        <w:t>%), defective products (14</w:t>
      </w:r>
      <w:r w:rsidR="004456F1" w:rsidRPr="004456F1">
        <w:rPr>
          <w:w w:val="50"/>
        </w:rPr>
        <w:t> </w:t>
      </w:r>
      <w:r>
        <w:t>%), delivery of wrong products and non-delivery (both 13</w:t>
      </w:r>
      <w:r w:rsidR="004456F1" w:rsidRPr="004456F1">
        <w:rPr>
          <w:w w:val="50"/>
        </w:rPr>
        <w:t> </w:t>
      </w:r>
      <w:r>
        <w:t xml:space="preserve">%) among the top five problems. </w:t>
      </w:r>
      <w:r w:rsidR="005F786A">
        <w:t xml:space="preserve">On the </w:t>
      </w:r>
      <w:r w:rsidR="007A7499">
        <w:t>other hand</w:t>
      </w:r>
      <w:r w:rsidR="005F786A">
        <w:t>, data misuse and credit</w:t>
      </w:r>
      <w:r w:rsidR="007A7499">
        <w:t xml:space="preserve"> card</w:t>
      </w:r>
      <w:r w:rsidR="005F786A">
        <w:t xml:space="preserve"> details being stolen (the first and third most frequently quoted concerns with domestic purchases) accounted for 4</w:t>
      </w:r>
      <w:r w:rsidR="004456F1" w:rsidRPr="004456F1">
        <w:rPr>
          <w:w w:val="50"/>
        </w:rPr>
        <w:t> </w:t>
      </w:r>
      <w:r w:rsidR="005F786A">
        <w:t>% and 3</w:t>
      </w:r>
      <w:r w:rsidR="004456F1" w:rsidRPr="004456F1">
        <w:rPr>
          <w:w w:val="50"/>
        </w:rPr>
        <w:t> </w:t>
      </w:r>
      <w:r w:rsidR="005F786A">
        <w:t>%</w:t>
      </w:r>
      <w:r w:rsidR="004C21B4">
        <w:t xml:space="preserve"> of actual problems</w:t>
      </w:r>
      <w:r w:rsidR="004C21B4" w:rsidRPr="004C21B4">
        <w:t xml:space="preserve">, respectively. While the incidence of these problems is relatively low, the magnitude of the damage that they can cause explains why they are </w:t>
      </w:r>
      <w:r w:rsidR="007A7499">
        <w:t>of great</w:t>
      </w:r>
      <w:r w:rsidR="004C21B4" w:rsidRPr="004C21B4">
        <w:t xml:space="preserve"> concern </w:t>
      </w:r>
      <w:r w:rsidR="007A7499">
        <w:t>to</w:t>
      </w:r>
      <w:r w:rsidR="004C21B4" w:rsidRPr="004C21B4">
        <w:t xml:space="preserve"> consumers.</w:t>
      </w:r>
    </w:p>
    <w:p w:rsidR="00AE5AEE" w:rsidRDefault="00AE5AEE" w:rsidP="005F786A"/>
    <w:p w:rsidR="00AE5AEE" w:rsidRDefault="00AE5AEE" w:rsidP="005F786A">
      <w:pPr>
        <w:sectPr w:rsidR="00AE5AEE" w:rsidSect="00327793">
          <w:headerReference w:type="even" r:id="rId60"/>
          <w:headerReference w:type="default" r:id="rId61"/>
          <w:footerReference w:type="even" r:id="rId62"/>
          <w:footerReference w:type="default" r:id="rId63"/>
          <w:headerReference w:type="first" r:id="rId64"/>
          <w:footerReference w:type="first" r:id="rId65"/>
          <w:pgSz w:w="11906" w:h="16838"/>
          <w:pgMar w:top="1417" w:right="1417" w:bottom="1417" w:left="1417" w:header="708" w:footer="708" w:gutter="0"/>
          <w:pgNumType w:start="57"/>
          <w:cols w:space="708"/>
          <w:docGrid w:linePitch="360"/>
        </w:sectPr>
      </w:pPr>
    </w:p>
    <w:p w:rsidR="00821430" w:rsidRDefault="00ED08B2" w:rsidP="00ED08B2">
      <w:pPr>
        <w:pStyle w:val="Caption"/>
        <w:rPr>
          <w:b w:val="0"/>
          <w:bCs/>
          <w:lang w:eastAsia="en-GB"/>
        </w:rPr>
      </w:pPr>
      <w:r>
        <w:t xml:space="preserve">Figure </w:t>
      </w:r>
      <w:r w:rsidR="005269EB">
        <w:rPr>
          <w:noProof/>
        </w:rPr>
        <w:t>37</w:t>
      </w:r>
      <w:r w:rsidRPr="008E5E47">
        <w:t>: Type of problem(s) experienced most recently by consumers</w:t>
      </w:r>
      <w:r w:rsidR="001E6D3B">
        <w:rPr>
          <w:rStyle w:val="FootnoteReference"/>
          <w:b w:val="0"/>
          <w:bCs/>
          <w:lang w:eastAsia="en-GB"/>
        </w:rPr>
        <w:footnoteReference w:id="58"/>
      </w:r>
    </w:p>
    <w:p w:rsidR="00CF2732" w:rsidRDefault="008B418B" w:rsidP="00CF2732">
      <w:pPr>
        <w:spacing w:before="0" w:after="0"/>
        <w:rPr>
          <w:noProof/>
          <w:lang w:eastAsia="en-GB"/>
        </w:rPr>
      </w:pPr>
      <w:r>
        <w:rPr>
          <w:noProof/>
          <w:lang w:eastAsia="en-GB"/>
        </w:rPr>
        <w:drawing>
          <wp:inline distT="0" distB="0" distL="0" distR="0" wp14:anchorId="07842F53" wp14:editId="75183D5E">
            <wp:extent cx="9248775" cy="4543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48775" cy="4543425"/>
                    </a:xfrm>
                    <a:prstGeom prst="rect">
                      <a:avLst/>
                    </a:prstGeom>
                    <a:noFill/>
                    <a:ln>
                      <a:noFill/>
                    </a:ln>
                  </pic:spPr>
                </pic:pic>
              </a:graphicData>
            </a:graphic>
          </wp:inline>
        </w:drawing>
      </w:r>
    </w:p>
    <w:p w:rsidR="00821430" w:rsidRPr="002716FC" w:rsidRDefault="007863FD" w:rsidP="002716FC">
      <w:pPr>
        <w:pStyle w:val="Text1"/>
        <w:spacing w:before="0" w:after="0"/>
        <w:ind w:left="0"/>
        <w:rPr>
          <w:i/>
          <w:sz w:val="20"/>
          <w:szCs w:val="20"/>
        </w:rPr>
      </w:pPr>
      <w:r>
        <w:rPr>
          <w:i/>
          <w:sz w:val="20"/>
          <w:szCs w:val="20"/>
        </w:rPr>
        <w:t>Sou</w:t>
      </w:r>
      <w:r w:rsidR="00821430">
        <w:rPr>
          <w:i/>
          <w:sz w:val="20"/>
          <w:szCs w:val="20"/>
        </w:rPr>
        <w:t xml:space="preserve">rce: 2015 DSM consumer survey: What was/were the problem(s)? Please select all responses that apply. (EU28 </w:t>
      </w:r>
      <w:r w:rsidR="00612B8E">
        <w:rPr>
          <w:i/>
          <w:sz w:val="20"/>
          <w:szCs w:val="20"/>
        </w:rPr>
        <w:t>n</w:t>
      </w:r>
      <w:r w:rsidR="00821430">
        <w:rPr>
          <w:i/>
          <w:sz w:val="20"/>
          <w:szCs w:val="20"/>
        </w:rPr>
        <w:t>=7</w:t>
      </w:r>
      <w:r w:rsidR="004456F1" w:rsidRPr="002716FC">
        <w:rPr>
          <w:i/>
          <w:sz w:val="20"/>
          <w:szCs w:val="20"/>
        </w:rPr>
        <w:t> </w:t>
      </w:r>
      <w:r w:rsidR="00821430">
        <w:rPr>
          <w:i/>
          <w:sz w:val="20"/>
          <w:szCs w:val="20"/>
        </w:rPr>
        <w:t>119)</w:t>
      </w:r>
    </w:p>
    <w:p w:rsidR="0066310E" w:rsidRPr="002716FC" w:rsidRDefault="0066310E" w:rsidP="002716FC">
      <w:pPr>
        <w:pStyle w:val="Text1"/>
        <w:spacing w:before="0" w:after="0"/>
        <w:ind w:left="0"/>
        <w:rPr>
          <w:i/>
          <w:sz w:val="20"/>
          <w:szCs w:val="20"/>
        </w:rPr>
        <w:sectPr w:rsidR="0066310E" w:rsidRPr="002716FC" w:rsidSect="004678BE">
          <w:headerReference w:type="even" r:id="rId67"/>
          <w:headerReference w:type="default" r:id="rId68"/>
          <w:footerReference w:type="even" r:id="rId69"/>
          <w:footerReference w:type="default" r:id="rId70"/>
          <w:headerReference w:type="first" r:id="rId71"/>
          <w:footerReference w:type="first" r:id="rId72"/>
          <w:pgSz w:w="16838" w:h="11906" w:orient="landscape"/>
          <w:pgMar w:top="1134" w:right="1134" w:bottom="1134" w:left="1134" w:header="709" w:footer="709" w:gutter="0"/>
          <w:cols w:space="708"/>
          <w:docGrid w:linePitch="360"/>
        </w:sectPr>
      </w:pPr>
    </w:p>
    <w:p w:rsidR="00821430" w:rsidRDefault="00821430">
      <w:pPr>
        <w:pStyle w:val="ListParagraph"/>
        <w:ind w:left="0"/>
        <w:rPr>
          <w:rFonts w:ascii="Times New Roman" w:hAnsi="Times New Roman"/>
          <w:color w:val="auto"/>
          <w:sz w:val="24"/>
        </w:rPr>
      </w:pPr>
      <w:r>
        <w:rPr>
          <w:rFonts w:ascii="Times New Roman" w:hAnsi="Times New Roman"/>
          <w:color w:val="auto"/>
          <w:sz w:val="24"/>
        </w:rPr>
        <w:t xml:space="preserve">As for the different product categories, the most common problem with tangible goods (in </w:t>
      </w:r>
      <w:r w:rsidR="00FA74EF">
        <w:rPr>
          <w:rFonts w:ascii="Times New Roman" w:hAnsi="Times New Roman"/>
          <w:color w:val="auto"/>
          <w:sz w:val="24"/>
        </w:rPr>
        <w:t>the</w:t>
      </w:r>
      <w:r w:rsidRPr="004456F1">
        <w:rPr>
          <w:rFonts w:ascii="Times New Roman" w:hAnsi="Times New Roman"/>
          <w:color w:val="auto"/>
          <w:sz w:val="24"/>
        </w:rPr>
        <w:t xml:space="preserve"> </w:t>
      </w:r>
      <w:r>
        <w:rPr>
          <w:rFonts w:ascii="Times New Roman" w:hAnsi="Times New Roman"/>
          <w:color w:val="auto"/>
          <w:sz w:val="24"/>
        </w:rPr>
        <w:t>case of domestic purchases) was that the product did not work (18</w:t>
      </w:r>
      <w:r w:rsidR="004456F1" w:rsidRPr="004456F1">
        <w:rPr>
          <w:rFonts w:ascii="Times New Roman" w:hAnsi="Times New Roman"/>
          <w:color w:val="auto"/>
          <w:w w:val="50"/>
          <w:sz w:val="24"/>
        </w:rPr>
        <w:t> </w:t>
      </w:r>
      <w:r>
        <w:rPr>
          <w:rFonts w:ascii="Times New Roman" w:hAnsi="Times New Roman"/>
          <w:color w:val="auto"/>
          <w:sz w:val="24"/>
        </w:rPr>
        <w:t>%). The most common problems for purchases of online services were long delivery time (16</w:t>
      </w:r>
      <w:r w:rsidR="004456F1" w:rsidRPr="004456F1">
        <w:rPr>
          <w:rFonts w:ascii="Times New Roman" w:hAnsi="Times New Roman"/>
          <w:color w:val="auto"/>
          <w:w w:val="50"/>
          <w:sz w:val="24"/>
        </w:rPr>
        <w:t> </w:t>
      </w:r>
      <w:r>
        <w:rPr>
          <w:rFonts w:ascii="Times New Roman" w:hAnsi="Times New Roman"/>
          <w:color w:val="auto"/>
          <w:sz w:val="24"/>
        </w:rPr>
        <w:t>%) and being unable to access the service (14</w:t>
      </w:r>
      <w:r w:rsidR="004456F1" w:rsidRPr="004456F1">
        <w:rPr>
          <w:rFonts w:ascii="Times New Roman" w:hAnsi="Times New Roman"/>
          <w:color w:val="auto"/>
          <w:w w:val="50"/>
          <w:sz w:val="24"/>
        </w:rPr>
        <w:t> </w:t>
      </w:r>
      <w:r>
        <w:rPr>
          <w:rFonts w:ascii="Times New Roman" w:hAnsi="Times New Roman"/>
          <w:color w:val="auto"/>
          <w:sz w:val="24"/>
        </w:rPr>
        <w:t>%), whilst problems of misuse of personal data (8</w:t>
      </w:r>
      <w:r w:rsidR="004456F1" w:rsidRPr="004456F1">
        <w:rPr>
          <w:rFonts w:ascii="Times New Roman" w:hAnsi="Times New Roman"/>
          <w:color w:val="auto"/>
          <w:w w:val="50"/>
          <w:sz w:val="24"/>
        </w:rPr>
        <w:t> </w:t>
      </w:r>
      <w:r>
        <w:rPr>
          <w:rFonts w:ascii="Times New Roman" w:hAnsi="Times New Roman"/>
          <w:color w:val="auto"/>
          <w:sz w:val="24"/>
        </w:rPr>
        <w:t xml:space="preserve">%) also ranked relatively high. </w:t>
      </w:r>
      <w:r w:rsidR="005802C6">
        <w:rPr>
          <w:rFonts w:ascii="Times New Roman" w:hAnsi="Times New Roman"/>
          <w:color w:val="auto"/>
          <w:sz w:val="24"/>
        </w:rPr>
        <w:t>L</w:t>
      </w:r>
      <w:r>
        <w:rPr>
          <w:rFonts w:ascii="Times New Roman" w:hAnsi="Times New Roman"/>
          <w:color w:val="auto"/>
          <w:sz w:val="24"/>
        </w:rPr>
        <w:t>ong delivery time was the biggest problem for digital content, regardless of whether this was bought domestically (</w:t>
      </w:r>
      <w:r w:rsidR="00680C48">
        <w:rPr>
          <w:rFonts w:ascii="Times New Roman" w:hAnsi="Times New Roman"/>
          <w:color w:val="auto"/>
          <w:sz w:val="24"/>
        </w:rPr>
        <w:t>19</w:t>
      </w:r>
      <w:r w:rsidR="004456F1" w:rsidRPr="004456F1">
        <w:rPr>
          <w:rFonts w:ascii="Times New Roman" w:hAnsi="Times New Roman"/>
          <w:color w:val="auto"/>
          <w:w w:val="50"/>
          <w:sz w:val="24"/>
        </w:rPr>
        <w:t> </w:t>
      </w:r>
      <w:r>
        <w:rPr>
          <w:rFonts w:ascii="Times New Roman" w:hAnsi="Times New Roman"/>
          <w:color w:val="auto"/>
          <w:sz w:val="24"/>
        </w:rPr>
        <w:t xml:space="preserve">%), </w:t>
      </w:r>
      <w:r w:rsidR="00680C48">
        <w:rPr>
          <w:rFonts w:ascii="Times New Roman" w:hAnsi="Times New Roman"/>
          <w:color w:val="auto"/>
          <w:sz w:val="24"/>
        </w:rPr>
        <w:t xml:space="preserve">cross-border intra EU </w:t>
      </w:r>
      <w:r>
        <w:rPr>
          <w:rFonts w:ascii="Times New Roman" w:hAnsi="Times New Roman"/>
          <w:color w:val="auto"/>
          <w:sz w:val="24"/>
        </w:rPr>
        <w:t>(</w:t>
      </w:r>
      <w:r w:rsidR="00680C48">
        <w:rPr>
          <w:rFonts w:ascii="Times New Roman" w:hAnsi="Times New Roman"/>
          <w:color w:val="auto"/>
          <w:sz w:val="24"/>
        </w:rPr>
        <w:t>18</w:t>
      </w:r>
      <w:r w:rsidR="004456F1" w:rsidRPr="004456F1">
        <w:rPr>
          <w:rFonts w:ascii="Times New Roman" w:hAnsi="Times New Roman"/>
          <w:color w:val="auto"/>
          <w:w w:val="50"/>
          <w:sz w:val="24"/>
        </w:rPr>
        <w:t> </w:t>
      </w:r>
      <w:r>
        <w:rPr>
          <w:rFonts w:ascii="Times New Roman" w:hAnsi="Times New Roman"/>
          <w:color w:val="auto"/>
          <w:sz w:val="24"/>
        </w:rPr>
        <w:t>%) or from an unknown origin (22</w:t>
      </w:r>
      <w:r w:rsidR="004456F1" w:rsidRPr="004456F1">
        <w:rPr>
          <w:rFonts w:ascii="Times New Roman" w:hAnsi="Times New Roman"/>
          <w:color w:val="auto"/>
          <w:w w:val="50"/>
          <w:sz w:val="24"/>
        </w:rPr>
        <w:t> </w:t>
      </w:r>
      <w:r>
        <w:rPr>
          <w:rFonts w:ascii="Times New Roman" w:hAnsi="Times New Roman"/>
          <w:color w:val="auto"/>
          <w:sz w:val="24"/>
        </w:rPr>
        <w:t>%).</w:t>
      </w:r>
    </w:p>
    <w:p w:rsidR="00821430" w:rsidRDefault="00821430">
      <w:pPr>
        <w:pStyle w:val="ListParagraph"/>
        <w:ind w:left="0"/>
        <w:rPr>
          <w:rFonts w:ascii="Times New Roman" w:hAnsi="Times New Roman"/>
          <w:color w:val="auto"/>
          <w:sz w:val="24"/>
        </w:rPr>
      </w:pPr>
    </w:p>
    <w:p w:rsidR="00D870F9" w:rsidRPr="007A6A84" w:rsidRDefault="00821430" w:rsidP="007A6A84">
      <w:pPr>
        <w:pStyle w:val="ListParagraph"/>
        <w:ind w:left="0"/>
        <w:rPr>
          <w:rFonts w:ascii="Times New Roman" w:hAnsi="Times New Roman"/>
          <w:color w:val="auto"/>
          <w:sz w:val="24"/>
        </w:rPr>
      </w:pPr>
      <w:r>
        <w:rPr>
          <w:rFonts w:ascii="Times New Roman" w:hAnsi="Times New Roman"/>
          <w:color w:val="auto"/>
          <w:sz w:val="24"/>
        </w:rPr>
        <w:t xml:space="preserve">As </w:t>
      </w:r>
      <w:r w:rsidR="00FA74EF">
        <w:rPr>
          <w:rFonts w:ascii="Times New Roman" w:hAnsi="Times New Roman"/>
          <w:color w:val="auto"/>
          <w:sz w:val="24"/>
        </w:rPr>
        <w:t>regards</w:t>
      </w:r>
      <w:r w:rsidR="003120F4">
        <w:rPr>
          <w:rFonts w:ascii="Times New Roman" w:hAnsi="Times New Roman"/>
          <w:color w:val="auto"/>
          <w:sz w:val="24"/>
        </w:rPr>
        <w:t xml:space="preserve"> the origin of the</w:t>
      </w:r>
      <w:r>
        <w:rPr>
          <w:rFonts w:ascii="Times New Roman" w:hAnsi="Times New Roman"/>
          <w:color w:val="auto"/>
          <w:sz w:val="24"/>
        </w:rPr>
        <w:t xml:space="preserve"> purchase, </w:t>
      </w:r>
      <w:r w:rsidR="007648AB">
        <w:rPr>
          <w:rFonts w:ascii="Times New Roman" w:hAnsi="Times New Roman"/>
          <w:color w:val="auto"/>
          <w:sz w:val="24"/>
        </w:rPr>
        <w:t xml:space="preserve">non-delivery and long delivery times </w:t>
      </w:r>
      <w:r w:rsidR="00FA74EF">
        <w:rPr>
          <w:rFonts w:ascii="Times New Roman" w:hAnsi="Times New Roman"/>
          <w:color w:val="auto"/>
          <w:sz w:val="24"/>
        </w:rPr>
        <w:t>for</w:t>
      </w:r>
      <w:r w:rsidR="00FA74EF" w:rsidRPr="004456F1">
        <w:rPr>
          <w:rFonts w:ascii="Times New Roman" w:hAnsi="Times New Roman"/>
          <w:color w:val="auto"/>
          <w:sz w:val="24"/>
        </w:rPr>
        <w:t xml:space="preserve"> </w:t>
      </w:r>
      <w:r>
        <w:rPr>
          <w:rFonts w:ascii="Times New Roman" w:hAnsi="Times New Roman"/>
          <w:color w:val="auto"/>
          <w:sz w:val="24"/>
        </w:rPr>
        <w:t xml:space="preserve">tangible goods </w:t>
      </w:r>
      <w:r w:rsidR="007648AB">
        <w:rPr>
          <w:rFonts w:ascii="Times New Roman" w:hAnsi="Times New Roman"/>
          <w:color w:val="auto"/>
          <w:sz w:val="24"/>
        </w:rPr>
        <w:t xml:space="preserve">are more likely </w:t>
      </w:r>
      <w:r w:rsidR="00434E9D">
        <w:rPr>
          <w:rFonts w:ascii="Times New Roman" w:hAnsi="Times New Roman"/>
          <w:color w:val="auto"/>
          <w:sz w:val="24"/>
        </w:rPr>
        <w:t xml:space="preserve">to occur </w:t>
      </w:r>
      <w:r w:rsidR="007648AB">
        <w:rPr>
          <w:rFonts w:ascii="Times New Roman" w:hAnsi="Times New Roman"/>
          <w:color w:val="auto"/>
          <w:sz w:val="24"/>
        </w:rPr>
        <w:t xml:space="preserve">in the case of goods </w:t>
      </w:r>
      <w:r>
        <w:rPr>
          <w:rFonts w:ascii="Times New Roman" w:hAnsi="Times New Roman"/>
          <w:color w:val="auto"/>
          <w:sz w:val="24"/>
        </w:rPr>
        <w:t xml:space="preserve">ordered from </w:t>
      </w:r>
      <w:r w:rsidR="004111AB">
        <w:rPr>
          <w:rFonts w:ascii="Times New Roman" w:hAnsi="Times New Roman"/>
          <w:color w:val="auto"/>
          <w:sz w:val="24"/>
        </w:rPr>
        <w:t xml:space="preserve">outside the EU </w:t>
      </w:r>
      <w:r>
        <w:rPr>
          <w:rFonts w:ascii="Times New Roman" w:hAnsi="Times New Roman"/>
          <w:color w:val="auto"/>
          <w:sz w:val="24"/>
        </w:rPr>
        <w:t>(</w:t>
      </w:r>
      <w:r w:rsidR="004111AB">
        <w:rPr>
          <w:rFonts w:ascii="Times New Roman" w:hAnsi="Times New Roman"/>
          <w:color w:val="auto"/>
          <w:sz w:val="24"/>
        </w:rPr>
        <w:t>25</w:t>
      </w:r>
      <w:r w:rsidR="004456F1" w:rsidRPr="004456F1">
        <w:rPr>
          <w:rFonts w:ascii="Times New Roman" w:hAnsi="Times New Roman"/>
          <w:color w:val="auto"/>
          <w:w w:val="50"/>
          <w:sz w:val="24"/>
        </w:rPr>
        <w:t> </w:t>
      </w:r>
      <w:r>
        <w:rPr>
          <w:rFonts w:ascii="Times New Roman" w:hAnsi="Times New Roman"/>
          <w:color w:val="auto"/>
          <w:sz w:val="24"/>
        </w:rPr>
        <w:t>%</w:t>
      </w:r>
      <w:r w:rsidR="007648AB">
        <w:rPr>
          <w:rFonts w:ascii="Times New Roman" w:hAnsi="Times New Roman"/>
          <w:color w:val="auto"/>
          <w:sz w:val="24"/>
        </w:rPr>
        <w:t xml:space="preserve"> and 24</w:t>
      </w:r>
      <w:r w:rsidR="004456F1" w:rsidRPr="004456F1">
        <w:rPr>
          <w:rFonts w:ascii="Times New Roman" w:hAnsi="Times New Roman"/>
          <w:color w:val="auto"/>
          <w:w w:val="50"/>
          <w:sz w:val="24"/>
        </w:rPr>
        <w:t> </w:t>
      </w:r>
      <w:r w:rsidR="007648AB">
        <w:rPr>
          <w:rFonts w:ascii="Times New Roman" w:hAnsi="Times New Roman"/>
          <w:color w:val="auto"/>
          <w:sz w:val="24"/>
        </w:rPr>
        <w:t>%</w:t>
      </w:r>
      <w:r>
        <w:rPr>
          <w:rFonts w:ascii="Times New Roman" w:hAnsi="Times New Roman"/>
          <w:color w:val="auto"/>
          <w:sz w:val="24"/>
        </w:rPr>
        <w:t>) or from an unknown location (19</w:t>
      </w:r>
      <w:r w:rsidR="004456F1" w:rsidRPr="004456F1">
        <w:rPr>
          <w:rFonts w:ascii="Times New Roman" w:hAnsi="Times New Roman"/>
          <w:color w:val="auto"/>
          <w:w w:val="50"/>
          <w:sz w:val="24"/>
        </w:rPr>
        <w:t> </w:t>
      </w:r>
      <w:r>
        <w:rPr>
          <w:rFonts w:ascii="Times New Roman" w:hAnsi="Times New Roman"/>
          <w:color w:val="auto"/>
          <w:sz w:val="24"/>
        </w:rPr>
        <w:t>%</w:t>
      </w:r>
      <w:r w:rsidR="007648AB">
        <w:rPr>
          <w:rFonts w:ascii="Times New Roman" w:hAnsi="Times New Roman"/>
          <w:color w:val="auto"/>
          <w:sz w:val="24"/>
        </w:rPr>
        <w:t xml:space="preserve"> and 18</w:t>
      </w:r>
      <w:r w:rsidR="004456F1" w:rsidRPr="004456F1">
        <w:rPr>
          <w:rFonts w:ascii="Times New Roman" w:hAnsi="Times New Roman"/>
          <w:color w:val="auto"/>
          <w:w w:val="50"/>
          <w:sz w:val="24"/>
        </w:rPr>
        <w:t> </w:t>
      </w:r>
      <w:r w:rsidR="007648AB">
        <w:rPr>
          <w:rFonts w:ascii="Times New Roman" w:hAnsi="Times New Roman"/>
          <w:color w:val="auto"/>
          <w:sz w:val="24"/>
        </w:rPr>
        <w:t>%</w:t>
      </w:r>
      <w:r>
        <w:rPr>
          <w:rFonts w:ascii="Times New Roman" w:hAnsi="Times New Roman"/>
          <w:color w:val="auto"/>
          <w:sz w:val="24"/>
        </w:rPr>
        <w:t>) than in the case of domestic purchases (12</w:t>
      </w:r>
      <w:r w:rsidR="004456F1" w:rsidRPr="004456F1">
        <w:rPr>
          <w:rFonts w:ascii="Times New Roman" w:hAnsi="Times New Roman"/>
          <w:color w:val="auto"/>
          <w:w w:val="50"/>
          <w:sz w:val="24"/>
        </w:rPr>
        <w:t> </w:t>
      </w:r>
      <w:r>
        <w:rPr>
          <w:rFonts w:ascii="Times New Roman" w:hAnsi="Times New Roman"/>
          <w:color w:val="auto"/>
          <w:sz w:val="24"/>
        </w:rPr>
        <w:t>%</w:t>
      </w:r>
      <w:r w:rsidR="00E60B31">
        <w:rPr>
          <w:rFonts w:ascii="Times New Roman" w:hAnsi="Times New Roman"/>
          <w:color w:val="auto"/>
          <w:sz w:val="24"/>
        </w:rPr>
        <w:t xml:space="preserve"> and 16</w:t>
      </w:r>
      <w:r w:rsidR="004456F1" w:rsidRPr="004456F1">
        <w:rPr>
          <w:rFonts w:ascii="Times New Roman" w:hAnsi="Times New Roman"/>
          <w:color w:val="auto"/>
          <w:w w:val="50"/>
          <w:sz w:val="24"/>
        </w:rPr>
        <w:t> </w:t>
      </w:r>
      <w:r w:rsidR="00E60B31">
        <w:rPr>
          <w:rFonts w:ascii="Times New Roman" w:hAnsi="Times New Roman"/>
          <w:color w:val="auto"/>
          <w:sz w:val="24"/>
        </w:rPr>
        <w:t>%</w:t>
      </w:r>
      <w:r>
        <w:rPr>
          <w:rFonts w:ascii="Times New Roman" w:hAnsi="Times New Roman"/>
          <w:color w:val="auto"/>
          <w:sz w:val="24"/>
        </w:rPr>
        <w:t>)</w:t>
      </w:r>
      <w:r w:rsidR="00B92B2C">
        <w:rPr>
          <w:rFonts w:ascii="Times New Roman" w:hAnsi="Times New Roman"/>
          <w:color w:val="auto"/>
          <w:sz w:val="24"/>
        </w:rPr>
        <w:t xml:space="preserve"> or </w:t>
      </w:r>
      <w:r w:rsidR="0066310E">
        <w:rPr>
          <w:rFonts w:ascii="Times New Roman" w:hAnsi="Times New Roman"/>
          <w:color w:val="auto"/>
          <w:sz w:val="24"/>
        </w:rPr>
        <w:t xml:space="preserve">purchases from other </w:t>
      </w:r>
      <w:r w:rsidR="00B92B2C">
        <w:rPr>
          <w:rFonts w:ascii="Times New Roman" w:hAnsi="Times New Roman"/>
          <w:color w:val="auto"/>
          <w:sz w:val="24"/>
        </w:rPr>
        <w:t xml:space="preserve">EU </w:t>
      </w:r>
      <w:r w:rsidR="0066310E">
        <w:rPr>
          <w:rFonts w:ascii="Times New Roman" w:hAnsi="Times New Roman"/>
          <w:color w:val="auto"/>
          <w:sz w:val="24"/>
        </w:rPr>
        <w:t xml:space="preserve">countries </w:t>
      </w:r>
      <w:r w:rsidR="00B92B2C">
        <w:rPr>
          <w:rFonts w:ascii="Times New Roman" w:hAnsi="Times New Roman"/>
          <w:color w:val="auto"/>
          <w:sz w:val="24"/>
        </w:rPr>
        <w:t>(13</w:t>
      </w:r>
      <w:r w:rsidR="004456F1" w:rsidRPr="004456F1">
        <w:rPr>
          <w:rFonts w:ascii="Times New Roman" w:hAnsi="Times New Roman"/>
          <w:color w:val="auto"/>
          <w:w w:val="50"/>
          <w:sz w:val="24"/>
        </w:rPr>
        <w:t> </w:t>
      </w:r>
      <w:r w:rsidR="00B92B2C">
        <w:rPr>
          <w:rFonts w:ascii="Times New Roman" w:hAnsi="Times New Roman"/>
          <w:color w:val="auto"/>
          <w:sz w:val="24"/>
        </w:rPr>
        <w:t>%</w:t>
      </w:r>
      <w:r w:rsidR="00E60B31">
        <w:rPr>
          <w:rFonts w:ascii="Times New Roman" w:hAnsi="Times New Roman"/>
          <w:color w:val="auto"/>
          <w:sz w:val="24"/>
        </w:rPr>
        <w:t xml:space="preserve"> and 14</w:t>
      </w:r>
      <w:r w:rsidR="004456F1" w:rsidRPr="004456F1">
        <w:rPr>
          <w:rFonts w:ascii="Times New Roman" w:hAnsi="Times New Roman"/>
          <w:color w:val="auto"/>
          <w:w w:val="50"/>
          <w:sz w:val="24"/>
        </w:rPr>
        <w:t> </w:t>
      </w:r>
      <w:r w:rsidR="00E60B31">
        <w:rPr>
          <w:rFonts w:ascii="Times New Roman" w:hAnsi="Times New Roman"/>
          <w:color w:val="auto"/>
          <w:sz w:val="24"/>
        </w:rPr>
        <w:t>%</w:t>
      </w:r>
      <w:r w:rsidR="00B92B2C">
        <w:rPr>
          <w:rFonts w:ascii="Times New Roman" w:hAnsi="Times New Roman"/>
          <w:color w:val="auto"/>
          <w:sz w:val="24"/>
        </w:rPr>
        <w:t>)</w:t>
      </w:r>
      <w:r>
        <w:rPr>
          <w:rFonts w:ascii="Times New Roman" w:hAnsi="Times New Roman"/>
          <w:color w:val="auto"/>
          <w:sz w:val="24"/>
        </w:rPr>
        <w:t xml:space="preserve">. </w:t>
      </w:r>
      <w:r w:rsidR="00F921A0">
        <w:rPr>
          <w:rFonts w:ascii="Times New Roman" w:hAnsi="Times New Roman"/>
          <w:color w:val="auto"/>
          <w:sz w:val="24"/>
        </w:rPr>
        <w:t xml:space="preserve">For digital content, problems with defective products were </w:t>
      </w:r>
      <w:r w:rsidR="007648AB">
        <w:rPr>
          <w:rFonts w:ascii="Times New Roman" w:hAnsi="Times New Roman"/>
          <w:color w:val="auto"/>
          <w:sz w:val="24"/>
        </w:rPr>
        <w:t>also</w:t>
      </w:r>
      <w:r w:rsidR="00F921A0">
        <w:rPr>
          <w:rFonts w:ascii="Times New Roman" w:hAnsi="Times New Roman"/>
          <w:color w:val="auto"/>
          <w:sz w:val="24"/>
        </w:rPr>
        <w:t xml:space="preserve"> reported </w:t>
      </w:r>
      <w:r w:rsidR="00EA4422">
        <w:rPr>
          <w:rFonts w:ascii="Times New Roman" w:hAnsi="Times New Roman"/>
          <w:color w:val="auto"/>
          <w:sz w:val="24"/>
        </w:rPr>
        <w:t>a lot more</w:t>
      </w:r>
      <w:r w:rsidR="00F921A0">
        <w:rPr>
          <w:rFonts w:ascii="Times New Roman" w:hAnsi="Times New Roman"/>
          <w:color w:val="auto"/>
          <w:sz w:val="24"/>
        </w:rPr>
        <w:t xml:space="preserve"> for purchases </w:t>
      </w:r>
      <w:r w:rsidR="003120F4">
        <w:rPr>
          <w:rFonts w:ascii="Times New Roman" w:hAnsi="Times New Roman"/>
          <w:color w:val="auto"/>
          <w:sz w:val="24"/>
        </w:rPr>
        <w:t xml:space="preserve">from </w:t>
      </w:r>
      <w:r w:rsidR="00F921A0">
        <w:rPr>
          <w:rFonts w:ascii="Times New Roman" w:hAnsi="Times New Roman"/>
          <w:color w:val="auto"/>
          <w:sz w:val="24"/>
        </w:rPr>
        <w:t>outside the EU (21</w:t>
      </w:r>
      <w:r w:rsidR="004456F1" w:rsidRPr="004456F1">
        <w:rPr>
          <w:rFonts w:ascii="Times New Roman" w:hAnsi="Times New Roman"/>
          <w:color w:val="auto"/>
          <w:w w:val="50"/>
          <w:sz w:val="24"/>
        </w:rPr>
        <w:t> </w:t>
      </w:r>
      <w:r w:rsidR="00F921A0">
        <w:rPr>
          <w:rFonts w:ascii="Times New Roman" w:hAnsi="Times New Roman"/>
          <w:color w:val="auto"/>
          <w:sz w:val="24"/>
        </w:rPr>
        <w:t xml:space="preserve">%) than </w:t>
      </w:r>
      <w:r w:rsidR="003120F4">
        <w:rPr>
          <w:rFonts w:ascii="Times New Roman" w:hAnsi="Times New Roman"/>
          <w:color w:val="auto"/>
          <w:sz w:val="24"/>
        </w:rPr>
        <w:t>for</w:t>
      </w:r>
      <w:r w:rsidR="00F921A0">
        <w:rPr>
          <w:rFonts w:ascii="Times New Roman" w:hAnsi="Times New Roman"/>
          <w:color w:val="auto"/>
          <w:sz w:val="24"/>
        </w:rPr>
        <w:t xml:space="preserve"> domestic </w:t>
      </w:r>
      <w:r w:rsidR="007648AB">
        <w:rPr>
          <w:rFonts w:ascii="Times New Roman" w:hAnsi="Times New Roman"/>
          <w:color w:val="auto"/>
          <w:sz w:val="24"/>
        </w:rPr>
        <w:t xml:space="preserve">purchases </w:t>
      </w:r>
      <w:r w:rsidR="00F921A0">
        <w:rPr>
          <w:rFonts w:ascii="Times New Roman" w:hAnsi="Times New Roman"/>
          <w:color w:val="auto"/>
          <w:sz w:val="24"/>
        </w:rPr>
        <w:t>(1</w:t>
      </w:r>
      <w:r w:rsidR="00AC3146">
        <w:rPr>
          <w:rFonts w:ascii="Times New Roman" w:hAnsi="Times New Roman"/>
          <w:color w:val="auto"/>
          <w:sz w:val="24"/>
        </w:rPr>
        <w:t>2</w:t>
      </w:r>
      <w:r w:rsidR="004456F1" w:rsidRPr="004456F1">
        <w:rPr>
          <w:rFonts w:ascii="Times New Roman" w:hAnsi="Times New Roman"/>
          <w:color w:val="auto"/>
          <w:w w:val="50"/>
          <w:sz w:val="24"/>
        </w:rPr>
        <w:t> </w:t>
      </w:r>
      <w:r w:rsidR="00F921A0">
        <w:rPr>
          <w:rFonts w:ascii="Times New Roman" w:hAnsi="Times New Roman"/>
          <w:color w:val="auto"/>
          <w:sz w:val="24"/>
        </w:rPr>
        <w:t xml:space="preserve">%) or </w:t>
      </w:r>
      <w:r w:rsidR="007648AB">
        <w:rPr>
          <w:rFonts w:ascii="Times New Roman" w:hAnsi="Times New Roman"/>
          <w:color w:val="auto"/>
          <w:sz w:val="24"/>
        </w:rPr>
        <w:t>purchases from other</w:t>
      </w:r>
      <w:r w:rsidR="00F921A0">
        <w:rPr>
          <w:rFonts w:ascii="Times New Roman" w:hAnsi="Times New Roman"/>
          <w:color w:val="auto"/>
          <w:sz w:val="24"/>
        </w:rPr>
        <w:t xml:space="preserve"> EU </w:t>
      </w:r>
      <w:r w:rsidR="007648AB">
        <w:rPr>
          <w:rFonts w:ascii="Times New Roman" w:hAnsi="Times New Roman"/>
          <w:color w:val="auto"/>
          <w:sz w:val="24"/>
        </w:rPr>
        <w:t xml:space="preserve">countries </w:t>
      </w:r>
      <w:r w:rsidR="00F921A0">
        <w:rPr>
          <w:rFonts w:ascii="Times New Roman" w:hAnsi="Times New Roman"/>
          <w:color w:val="auto"/>
          <w:sz w:val="24"/>
        </w:rPr>
        <w:t>(9</w:t>
      </w:r>
      <w:r w:rsidR="004456F1" w:rsidRPr="004456F1">
        <w:rPr>
          <w:rFonts w:ascii="Times New Roman" w:hAnsi="Times New Roman"/>
          <w:color w:val="auto"/>
          <w:w w:val="50"/>
          <w:sz w:val="24"/>
        </w:rPr>
        <w:t> </w:t>
      </w:r>
      <w:r w:rsidR="00F921A0">
        <w:rPr>
          <w:rFonts w:ascii="Times New Roman" w:hAnsi="Times New Roman"/>
          <w:color w:val="auto"/>
          <w:sz w:val="24"/>
        </w:rPr>
        <w:t xml:space="preserve">%). </w:t>
      </w:r>
      <w:r w:rsidR="003120F4">
        <w:rPr>
          <w:rFonts w:ascii="Times New Roman" w:hAnsi="Times New Roman"/>
          <w:color w:val="auto"/>
          <w:sz w:val="24"/>
        </w:rPr>
        <w:t>Likewise, n</w:t>
      </w:r>
      <w:r>
        <w:rPr>
          <w:rFonts w:ascii="Times New Roman" w:hAnsi="Times New Roman"/>
          <w:color w:val="auto"/>
          <w:sz w:val="24"/>
        </w:rPr>
        <w:t xml:space="preserve">ot being able to return a </w:t>
      </w:r>
      <w:r w:rsidR="00901997">
        <w:rPr>
          <w:rFonts w:ascii="Times New Roman" w:hAnsi="Times New Roman"/>
          <w:color w:val="auto"/>
          <w:sz w:val="24"/>
        </w:rPr>
        <w:t xml:space="preserve">digital content </w:t>
      </w:r>
      <w:r>
        <w:rPr>
          <w:rFonts w:ascii="Times New Roman" w:hAnsi="Times New Roman"/>
          <w:color w:val="auto"/>
          <w:sz w:val="24"/>
        </w:rPr>
        <w:t xml:space="preserve">product and get reimbursed was more common in the case of purchases </w:t>
      </w:r>
      <w:r w:rsidR="003120F4">
        <w:rPr>
          <w:rFonts w:ascii="Times New Roman" w:hAnsi="Times New Roman"/>
          <w:color w:val="auto"/>
          <w:sz w:val="24"/>
        </w:rPr>
        <w:t>from outside the EU</w:t>
      </w:r>
      <w:r w:rsidR="00F921A0">
        <w:rPr>
          <w:rFonts w:ascii="Times New Roman" w:hAnsi="Times New Roman"/>
          <w:color w:val="auto"/>
          <w:sz w:val="24"/>
        </w:rPr>
        <w:t>.</w:t>
      </w:r>
      <w:r w:rsidR="00E60B31" w:rsidRPr="00E60B31">
        <w:rPr>
          <w:rFonts w:ascii="Times New Roman" w:hAnsi="Times New Roman"/>
          <w:color w:val="auto"/>
          <w:sz w:val="24"/>
        </w:rPr>
        <w:t xml:space="preserve"> </w:t>
      </w:r>
      <w:r w:rsidR="00434E9D">
        <w:rPr>
          <w:rFonts w:ascii="Times New Roman" w:hAnsi="Times New Roman"/>
          <w:color w:val="auto"/>
          <w:sz w:val="24"/>
        </w:rPr>
        <w:t xml:space="preserve">On the contrary, </w:t>
      </w:r>
      <w:r w:rsidR="00E525B9">
        <w:rPr>
          <w:rFonts w:ascii="Times New Roman" w:hAnsi="Times New Roman"/>
          <w:color w:val="auto"/>
          <w:sz w:val="24"/>
        </w:rPr>
        <w:t>worse</w:t>
      </w:r>
      <w:r w:rsidR="00E525B9" w:rsidRPr="004456F1">
        <w:rPr>
          <w:rFonts w:ascii="Times New Roman" w:hAnsi="Times New Roman"/>
          <w:color w:val="auto"/>
          <w:sz w:val="24"/>
        </w:rPr>
        <w:t xml:space="preserve"> </w:t>
      </w:r>
      <w:r w:rsidR="00E60B31">
        <w:rPr>
          <w:rFonts w:ascii="Times New Roman" w:hAnsi="Times New Roman"/>
          <w:color w:val="auto"/>
          <w:sz w:val="24"/>
        </w:rPr>
        <w:t xml:space="preserve">than advertised product quality </w:t>
      </w:r>
      <w:r w:rsidR="00434E9D">
        <w:rPr>
          <w:rFonts w:ascii="Times New Roman" w:hAnsi="Times New Roman"/>
          <w:color w:val="auto"/>
          <w:sz w:val="24"/>
        </w:rPr>
        <w:t xml:space="preserve">of digital content </w:t>
      </w:r>
      <w:r w:rsidR="00E60B31">
        <w:rPr>
          <w:rFonts w:ascii="Times New Roman" w:hAnsi="Times New Roman"/>
          <w:color w:val="auto"/>
          <w:sz w:val="24"/>
        </w:rPr>
        <w:t xml:space="preserve">was </w:t>
      </w:r>
      <w:r w:rsidR="00434E9D">
        <w:rPr>
          <w:rFonts w:ascii="Times New Roman" w:hAnsi="Times New Roman"/>
          <w:color w:val="auto"/>
          <w:sz w:val="24"/>
        </w:rPr>
        <w:t xml:space="preserve">more likely to occur </w:t>
      </w:r>
      <w:r w:rsidR="00E525B9">
        <w:rPr>
          <w:rFonts w:ascii="Times New Roman" w:hAnsi="Times New Roman"/>
          <w:color w:val="auto"/>
          <w:sz w:val="24"/>
        </w:rPr>
        <w:t>with</w:t>
      </w:r>
      <w:r w:rsidR="00434E9D">
        <w:rPr>
          <w:rFonts w:ascii="Times New Roman" w:hAnsi="Times New Roman"/>
          <w:color w:val="auto"/>
          <w:sz w:val="24"/>
        </w:rPr>
        <w:t xml:space="preserve"> domestic purchases</w:t>
      </w:r>
      <w:r w:rsidR="00E60B31" w:rsidRPr="00680C48">
        <w:rPr>
          <w:rFonts w:ascii="Times New Roman" w:hAnsi="Times New Roman"/>
          <w:color w:val="auto"/>
          <w:sz w:val="24"/>
        </w:rPr>
        <w:t xml:space="preserve"> </w:t>
      </w:r>
      <w:r w:rsidR="00E60B31">
        <w:rPr>
          <w:rFonts w:ascii="Times New Roman" w:hAnsi="Times New Roman"/>
          <w:color w:val="auto"/>
          <w:sz w:val="24"/>
        </w:rPr>
        <w:t>(17</w:t>
      </w:r>
      <w:r w:rsidR="004456F1" w:rsidRPr="004456F1">
        <w:rPr>
          <w:rFonts w:ascii="Times New Roman" w:hAnsi="Times New Roman"/>
          <w:color w:val="auto"/>
          <w:w w:val="50"/>
          <w:sz w:val="24"/>
        </w:rPr>
        <w:t> </w:t>
      </w:r>
      <w:r w:rsidR="00E60B31">
        <w:rPr>
          <w:rFonts w:ascii="Times New Roman" w:hAnsi="Times New Roman"/>
          <w:color w:val="auto"/>
          <w:sz w:val="24"/>
        </w:rPr>
        <w:t xml:space="preserve">%) </w:t>
      </w:r>
      <w:r w:rsidR="00E60B31" w:rsidRPr="00680C48">
        <w:rPr>
          <w:rFonts w:ascii="Times New Roman" w:hAnsi="Times New Roman"/>
          <w:color w:val="auto"/>
          <w:sz w:val="24"/>
        </w:rPr>
        <w:t xml:space="preserve">than </w:t>
      </w:r>
      <w:r w:rsidR="00434E9D">
        <w:rPr>
          <w:rFonts w:ascii="Times New Roman" w:hAnsi="Times New Roman"/>
          <w:color w:val="auto"/>
          <w:sz w:val="24"/>
        </w:rPr>
        <w:t>in the case of cross-</w:t>
      </w:r>
      <w:r w:rsidR="00E60B31" w:rsidRPr="00680C48">
        <w:rPr>
          <w:rFonts w:ascii="Times New Roman" w:hAnsi="Times New Roman"/>
          <w:color w:val="auto"/>
          <w:sz w:val="24"/>
        </w:rPr>
        <w:t>border purchases</w:t>
      </w:r>
      <w:r w:rsidR="00434E9D">
        <w:rPr>
          <w:rFonts w:ascii="Times New Roman" w:hAnsi="Times New Roman"/>
          <w:color w:val="auto"/>
          <w:sz w:val="24"/>
        </w:rPr>
        <w:t>, both outside the EU (10</w:t>
      </w:r>
      <w:r w:rsidR="004456F1" w:rsidRPr="004456F1">
        <w:rPr>
          <w:rFonts w:ascii="Times New Roman" w:hAnsi="Times New Roman"/>
          <w:color w:val="auto"/>
          <w:w w:val="50"/>
          <w:sz w:val="24"/>
        </w:rPr>
        <w:t> </w:t>
      </w:r>
      <w:r w:rsidR="00434E9D">
        <w:rPr>
          <w:rFonts w:ascii="Times New Roman" w:hAnsi="Times New Roman"/>
          <w:color w:val="auto"/>
          <w:sz w:val="24"/>
        </w:rPr>
        <w:t xml:space="preserve">%) and within the EU </w:t>
      </w:r>
      <w:r w:rsidR="00E60B31">
        <w:rPr>
          <w:rFonts w:ascii="Times New Roman" w:hAnsi="Times New Roman"/>
          <w:color w:val="auto"/>
          <w:sz w:val="24"/>
        </w:rPr>
        <w:t>(13</w:t>
      </w:r>
      <w:r w:rsidR="004456F1" w:rsidRPr="004456F1">
        <w:rPr>
          <w:rFonts w:ascii="Times New Roman" w:hAnsi="Times New Roman"/>
          <w:color w:val="auto"/>
          <w:w w:val="50"/>
          <w:sz w:val="24"/>
        </w:rPr>
        <w:t> </w:t>
      </w:r>
      <w:r w:rsidR="00E60B31">
        <w:rPr>
          <w:rFonts w:ascii="Times New Roman" w:hAnsi="Times New Roman"/>
          <w:color w:val="auto"/>
          <w:sz w:val="24"/>
        </w:rPr>
        <w:t>%).</w:t>
      </w:r>
    </w:p>
    <w:p w:rsidR="00D870F9" w:rsidRDefault="00D870F9" w:rsidP="007A6A84">
      <w:pPr>
        <w:pStyle w:val="Text1"/>
        <w:ind w:left="0"/>
        <w:rPr>
          <w:b/>
          <w:i/>
        </w:rPr>
      </w:pPr>
      <w:r>
        <w:rPr>
          <w:b/>
          <w:i/>
        </w:rPr>
        <w:t xml:space="preserve">Territorial restrictions and geo-blocking are </w:t>
      </w:r>
      <w:r w:rsidR="00E525B9">
        <w:rPr>
          <w:b/>
          <w:i/>
        </w:rPr>
        <w:t>signific</w:t>
      </w:r>
      <w:r w:rsidR="00E525B9" w:rsidRPr="004456F1">
        <w:rPr>
          <w:b/>
          <w:i/>
        </w:rPr>
        <w:t xml:space="preserve">ant </w:t>
      </w:r>
      <w:r>
        <w:rPr>
          <w:b/>
          <w:i/>
        </w:rPr>
        <w:t xml:space="preserve">barriers </w:t>
      </w:r>
      <w:r w:rsidR="00E525B9">
        <w:rPr>
          <w:b/>
          <w:i/>
        </w:rPr>
        <w:t>to</w:t>
      </w:r>
      <w:r>
        <w:rPr>
          <w:b/>
          <w:i/>
        </w:rPr>
        <w:t xml:space="preserve"> cross-border e-commerce</w:t>
      </w:r>
    </w:p>
    <w:p w:rsidR="00981278" w:rsidRDefault="00821430" w:rsidP="007A6A84">
      <w:r>
        <w:t>The online survey has also confirmed that consumers continue to face problems with cross-border online transactions linked to their country of residence. Among consumers whose most recent problem concerned (an attempted) purchase from another EU Member State, 7</w:t>
      </w:r>
      <w:r w:rsidR="004456F1" w:rsidRPr="004456F1">
        <w:rPr>
          <w:w w:val="50"/>
        </w:rPr>
        <w:t> </w:t>
      </w:r>
      <w:r>
        <w:t>% (in the case of tangible goods) and 9</w:t>
      </w:r>
      <w:r w:rsidR="004456F1" w:rsidRPr="004456F1">
        <w:rPr>
          <w:w w:val="50"/>
        </w:rPr>
        <w:t> </w:t>
      </w:r>
      <w:r>
        <w:t>% (in the case of digital content) reported that they could not access the foreign seller’s website (or only limited content was displayed to them), 6</w:t>
      </w:r>
      <w:r w:rsidR="004456F1" w:rsidRPr="004456F1">
        <w:rPr>
          <w:w w:val="50"/>
        </w:rPr>
        <w:t> </w:t>
      </w:r>
      <w:r>
        <w:t>% (in the case of tangible goods) and 4</w:t>
      </w:r>
      <w:r w:rsidR="004456F1" w:rsidRPr="004456F1">
        <w:rPr>
          <w:w w:val="50"/>
        </w:rPr>
        <w:t> </w:t>
      </w:r>
      <w:r>
        <w:t>% (in the case of digital content) indicated that foreign sellers refused to sell to them because of their country of residence</w:t>
      </w:r>
      <w:r>
        <w:rPr>
          <w:rStyle w:val="FootnoteReference"/>
        </w:rPr>
        <w:footnoteReference w:id="59"/>
      </w:r>
      <w:r>
        <w:t xml:space="preserve"> and 6</w:t>
      </w:r>
      <w:r w:rsidR="004456F1" w:rsidRPr="004456F1">
        <w:rPr>
          <w:w w:val="50"/>
        </w:rPr>
        <w:t> </w:t>
      </w:r>
      <w:r>
        <w:t xml:space="preserve">% (in both cases) reported that </w:t>
      </w:r>
      <w:r w:rsidR="00E525B9">
        <w:t>the</w:t>
      </w:r>
      <w:r w:rsidRPr="004456F1">
        <w:t xml:space="preserve"> </w:t>
      </w:r>
      <w:r>
        <w:t xml:space="preserve">foreign seller charged them </w:t>
      </w:r>
      <w:r w:rsidR="00E525B9">
        <w:t>a</w:t>
      </w:r>
      <w:r w:rsidRPr="004456F1">
        <w:t xml:space="preserve"> </w:t>
      </w:r>
      <w:r>
        <w:t xml:space="preserve">higher price than </w:t>
      </w:r>
      <w:r w:rsidR="00E525B9">
        <w:t>was available</w:t>
      </w:r>
      <w:r w:rsidRPr="004456F1">
        <w:t xml:space="preserve"> </w:t>
      </w:r>
      <w:r>
        <w:t xml:space="preserve">in </w:t>
      </w:r>
      <w:r w:rsidR="00D870F9">
        <w:t xml:space="preserve">the </w:t>
      </w:r>
      <w:r w:rsidR="00D870F9" w:rsidRPr="004456F1">
        <w:t>seller</w:t>
      </w:r>
      <w:r w:rsidR="004456F1">
        <w:t>’</w:t>
      </w:r>
      <w:r w:rsidR="00D870F9" w:rsidRPr="004456F1">
        <w:t>s</w:t>
      </w:r>
      <w:r w:rsidR="00E525B9">
        <w:t xml:space="preserve"> </w:t>
      </w:r>
      <w:r w:rsidR="00D870F9">
        <w:t xml:space="preserve"> </w:t>
      </w:r>
      <w:r>
        <w:t xml:space="preserve">country. </w:t>
      </w:r>
      <w:r w:rsidR="00981278">
        <w:t>Price or other forms of discrimination in cross-border e-commerce are also documented in the recent report by the European Consumer Centres Network, based on actual consumer complaints.</w:t>
      </w:r>
      <w:r w:rsidR="00981278">
        <w:rPr>
          <w:rStyle w:val="FootnoteReference"/>
        </w:rPr>
        <w:footnoteReference w:id="60"/>
      </w:r>
      <w:r w:rsidR="00981278">
        <w:t xml:space="preserve"> However, such practices, which are not always easy for consumers to notice, may be under-reported. It should be noted in this context that Article 20(2) of the Services Directive</w:t>
      </w:r>
      <w:r w:rsidR="00981278">
        <w:rPr>
          <w:rStyle w:val="FootnoteReference"/>
        </w:rPr>
        <w:footnoteReference w:id="61"/>
      </w:r>
      <w:r w:rsidR="00981278">
        <w:t xml:space="preserve"> prohibits discrimination against service recipients on the basis of their nationality or country of residence unless the service provider can </w:t>
      </w:r>
      <w:r w:rsidR="00E525B9">
        <w:t>giv</w:t>
      </w:r>
      <w:r w:rsidR="00E525B9" w:rsidRPr="004456F1">
        <w:t xml:space="preserve">e </w:t>
      </w:r>
      <w:r w:rsidR="00981278">
        <w:t>objective reasons for refusing to trade or for applying different conditions.</w:t>
      </w:r>
    </w:p>
    <w:p w:rsidR="00821430" w:rsidRDefault="00821430">
      <w:pPr>
        <w:spacing w:after="0"/>
      </w:pPr>
      <w:r>
        <w:t xml:space="preserve">Finally, the survey has also showed that consumers are frequently prevented from using the content (e.g. music or video services) </w:t>
      </w:r>
      <w:r w:rsidR="00BE5B03" w:rsidRPr="00D517E5">
        <w:t>which is available to them</w:t>
      </w:r>
      <w:r>
        <w:t xml:space="preserve"> in their home country</w:t>
      </w:r>
      <w:r w:rsidR="00D870F9">
        <w:t>,</w:t>
      </w:r>
      <w:r>
        <w:t xml:space="preserve"> when crossing </w:t>
      </w:r>
      <w:r w:rsidR="00E525B9">
        <w:t>a</w:t>
      </w:r>
      <w:r w:rsidR="00E525B9" w:rsidRPr="004456F1">
        <w:t xml:space="preserve"> </w:t>
      </w:r>
      <w:r>
        <w:t>border. Indeed, of the 31</w:t>
      </w:r>
      <w:r w:rsidR="004456F1" w:rsidRPr="004456F1">
        <w:rPr>
          <w:w w:val="50"/>
        </w:rPr>
        <w:t> </w:t>
      </w:r>
      <w:r>
        <w:t>% of respondents who streamed films and TV series in the last 12 months and tried to access streaming services of their own country while abroad, 43</w:t>
      </w:r>
      <w:r w:rsidR="004456F1" w:rsidRPr="004456F1">
        <w:rPr>
          <w:w w:val="50"/>
        </w:rPr>
        <w:t> </w:t>
      </w:r>
      <w:r>
        <w:t xml:space="preserve">% </w:t>
      </w:r>
      <w:r w:rsidR="00EA4422">
        <w:t>said they were</w:t>
      </w:r>
      <w:r w:rsidR="00EA4422" w:rsidRPr="004456F1">
        <w:t xml:space="preserve"> </w:t>
      </w:r>
      <w:r>
        <w:t>not able to access the content</w:t>
      </w:r>
      <w:r>
        <w:rPr>
          <w:rStyle w:val="FootnoteReference"/>
        </w:rPr>
        <w:footnoteReference w:id="62"/>
      </w:r>
      <w:r>
        <w:t>. Likewise, of the 38</w:t>
      </w:r>
      <w:r w:rsidR="004456F1" w:rsidRPr="004456F1">
        <w:rPr>
          <w:w w:val="50"/>
        </w:rPr>
        <w:t> </w:t>
      </w:r>
      <w:r>
        <w:t>% of respondents who streamed live events (e.g. sports matches) in the last 12 months and tried to access streaming services of their own country while abroad, 51</w:t>
      </w:r>
      <w:r w:rsidR="004456F1" w:rsidRPr="004456F1">
        <w:rPr>
          <w:w w:val="50"/>
        </w:rPr>
        <w:t> </w:t>
      </w:r>
      <w:r>
        <w:t xml:space="preserve">% reported </w:t>
      </w:r>
      <w:r w:rsidR="00596EC3">
        <w:t>an inability</w:t>
      </w:r>
      <w:r>
        <w:t xml:space="preserve"> to</w:t>
      </w:r>
      <w:r w:rsidR="00596EC3">
        <w:t xml:space="preserve"> get</w:t>
      </w:r>
      <w:r>
        <w:t xml:space="preserve"> access</w:t>
      </w:r>
      <w:r>
        <w:rPr>
          <w:rStyle w:val="FootnoteReference"/>
        </w:rPr>
        <w:footnoteReference w:id="63"/>
      </w:r>
      <w:r w:rsidR="007A6A84">
        <w:t>.</w:t>
      </w:r>
    </w:p>
    <w:p w:rsidR="00821430" w:rsidRDefault="00821430" w:rsidP="0055096C">
      <w:pPr>
        <w:pStyle w:val="Heading3"/>
      </w:pPr>
      <w:r>
        <w:t>4.2.</w:t>
      </w:r>
      <w:r>
        <w:tab/>
        <w:t xml:space="preserve">Complaining </w:t>
      </w:r>
      <w:r w:rsidR="00613D2F">
        <w:t>about</w:t>
      </w:r>
      <w:r>
        <w:t xml:space="preserve"> problems and satisfaction with complaint handling</w:t>
      </w:r>
    </w:p>
    <w:p w:rsidR="00821430" w:rsidRPr="007A6A84" w:rsidRDefault="00821430" w:rsidP="007A6A84">
      <w:pPr>
        <w:spacing w:before="240" w:after="240"/>
      </w:pPr>
      <w:r>
        <w:t>Respondents who experienced a problem were further asked whether or not they complained about it and, if so, how satisfied they were with the way their</w:t>
      </w:r>
      <w:r w:rsidR="007A6A84">
        <w:t xml:space="preserve"> complaints </w:t>
      </w:r>
      <w:r w:rsidR="007F7876" w:rsidRPr="004456F1">
        <w:t>ha</w:t>
      </w:r>
      <w:r w:rsidR="007F7876">
        <w:t>d</w:t>
      </w:r>
      <w:r w:rsidR="007F7876" w:rsidRPr="004456F1">
        <w:t xml:space="preserve"> </w:t>
      </w:r>
      <w:r w:rsidR="007A6A84">
        <w:t>been handled.</w:t>
      </w:r>
    </w:p>
    <w:p w:rsidR="00821430" w:rsidRDefault="00821430">
      <w:pPr>
        <w:spacing w:after="0"/>
        <w:rPr>
          <w:b/>
          <w:i/>
        </w:rPr>
      </w:pPr>
      <w:r>
        <w:rPr>
          <w:b/>
          <w:i/>
        </w:rPr>
        <w:t xml:space="preserve">EU13 consumers are less likely to take action in </w:t>
      </w:r>
      <w:r w:rsidR="007F7876">
        <w:rPr>
          <w:b/>
          <w:i/>
        </w:rPr>
        <w:t>the event</w:t>
      </w:r>
      <w:r w:rsidR="007F7876" w:rsidRPr="004456F1">
        <w:rPr>
          <w:b/>
          <w:i/>
        </w:rPr>
        <w:t xml:space="preserve"> </w:t>
      </w:r>
      <w:r>
        <w:rPr>
          <w:b/>
          <w:i/>
        </w:rPr>
        <w:t>of problems than those in EU15</w:t>
      </w:r>
    </w:p>
    <w:p w:rsidR="00821430" w:rsidRDefault="00821430">
      <w:pPr>
        <w:spacing w:after="0"/>
      </w:pPr>
      <w:r>
        <w:t>At EU level</w:t>
      </w:r>
      <w:r>
        <w:rPr>
          <w:rStyle w:val="FootnoteReference"/>
        </w:rPr>
        <w:footnoteReference w:id="64"/>
      </w:r>
      <w:r>
        <w:t>, 82</w:t>
      </w:r>
      <w:r w:rsidR="004456F1" w:rsidRPr="004456F1">
        <w:rPr>
          <w:w w:val="50"/>
        </w:rPr>
        <w:t> </w:t>
      </w:r>
      <w:r>
        <w:t>% of consumers made a complaint about their most recent problem with an online transaction. This is a slightly higher percentage than in the case of shopping problems experienced more generally, regardless of the sales channel (</w:t>
      </w:r>
      <w:r w:rsidR="007F7876">
        <w:t>see</w:t>
      </w:r>
      <w:r>
        <w:t xml:space="preserve"> section III.3.1), which could be a sign of greater empowerment of online shoppers. As in the case of general shopping problems, among those who took action, the vast majority complained to the seller/provider of the product that generated the problem (57</w:t>
      </w:r>
      <w:r w:rsidR="004456F1" w:rsidRPr="004456F1">
        <w:rPr>
          <w:w w:val="50"/>
        </w:rPr>
        <w:t> </w:t>
      </w:r>
      <w:r w:rsidR="007F7876" w:rsidRPr="004456F1">
        <w:t>%)</w:t>
      </w:r>
      <w:r w:rsidR="007F7876">
        <w:t>;</w:t>
      </w:r>
      <w:r>
        <w:t xml:space="preserve"> </w:t>
      </w:r>
      <w:r w:rsidR="007F7876">
        <w:t>fewer of them</w:t>
      </w:r>
      <w:r>
        <w:t xml:space="preserve"> complained to the manufacturer (14</w:t>
      </w:r>
      <w:r w:rsidR="004456F1" w:rsidRPr="004456F1">
        <w:rPr>
          <w:w w:val="50"/>
        </w:rPr>
        <w:t> </w:t>
      </w:r>
      <w:r>
        <w:t>%) or took the matter to a public authority (8</w:t>
      </w:r>
      <w:r w:rsidR="004456F1" w:rsidRPr="004456F1">
        <w:rPr>
          <w:w w:val="50"/>
        </w:rPr>
        <w:t> </w:t>
      </w:r>
      <w:r>
        <w:t>%), an out-of-court dispute resolution entity (7</w:t>
      </w:r>
      <w:r w:rsidR="004456F1" w:rsidRPr="004456F1">
        <w:rPr>
          <w:w w:val="50"/>
        </w:rPr>
        <w:t> </w:t>
      </w:r>
      <w:r>
        <w:t>%) or to court (3</w:t>
      </w:r>
      <w:r w:rsidR="004456F1" w:rsidRPr="004456F1">
        <w:rPr>
          <w:w w:val="50"/>
        </w:rPr>
        <w:t> </w:t>
      </w:r>
      <w:r>
        <w:t>%).</w:t>
      </w:r>
    </w:p>
    <w:p w:rsidR="00821430" w:rsidRPr="007A6A84" w:rsidRDefault="007F7876">
      <w:pPr>
        <w:spacing w:after="0"/>
      </w:pPr>
      <w:r>
        <w:t xml:space="preserve">The </w:t>
      </w:r>
      <w:r w:rsidR="00821430">
        <w:t xml:space="preserve">tendency to complain </w:t>
      </w:r>
      <w:r>
        <w:t>about</w:t>
      </w:r>
      <w:r w:rsidR="00821430">
        <w:t xml:space="preserve"> problems </w:t>
      </w:r>
      <w:r>
        <w:t xml:space="preserve">is lower among </w:t>
      </w:r>
      <w:r w:rsidRPr="004456F1">
        <w:t>EU13 respondents</w:t>
      </w:r>
      <w:r w:rsidR="00821430" w:rsidRPr="004456F1">
        <w:t xml:space="preserve"> </w:t>
      </w:r>
      <w:r w:rsidR="00821430">
        <w:t>(75</w:t>
      </w:r>
      <w:r w:rsidR="004456F1" w:rsidRPr="004456F1">
        <w:rPr>
          <w:w w:val="50"/>
        </w:rPr>
        <w:t> </w:t>
      </w:r>
      <w:r w:rsidR="00821430">
        <w:t>% vs 84</w:t>
      </w:r>
      <w:r w:rsidR="004456F1" w:rsidRPr="004456F1">
        <w:rPr>
          <w:w w:val="50"/>
        </w:rPr>
        <w:t> </w:t>
      </w:r>
      <w:r w:rsidR="00821430">
        <w:t>% in the EU15) and</w:t>
      </w:r>
      <w:r>
        <w:t xml:space="preserve"> they</w:t>
      </w:r>
      <w:r w:rsidR="00821430">
        <w:t xml:space="preserve"> are less likely than their EU15 counterparts to complain to the seller or manufacturer in particular. The percentages of consumers who complain range from as high as 88</w:t>
      </w:r>
      <w:r w:rsidR="004456F1" w:rsidRPr="004456F1">
        <w:rPr>
          <w:w w:val="50"/>
        </w:rPr>
        <w:t> </w:t>
      </w:r>
      <w:r w:rsidR="00821430">
        <w:t>% in Spain and 87</w:t>
      </w:r>
      <w:r w:rsidR="004456F1" w:rsidRPr="004456F1">
        <w:rPr>
          <w:w w:val="50"/>
        </w:rPr>
        <w:t> </w:t>
      </w:r>
      <w:r w:rsidR="00821430">
        <w:t>% in France to as low as 57</w:t>
      </w:r>
      <w:r w:rsidR="004456F1" w:rsidRPr="004456F1">
        <w:rPr>
          <w:w w:val="50"/>
        </w:rPr>
        <w:t> </w:t>
      </w:r>
      <w:r w:rsidR="00821430">
        <w:t>% in Latvia, 62</w:t>
      </w:r>
      <w:r w:rsidR="004456F1" w:rsidRPr="004456F1">
        <w:rPr>
          <w:w w:val="50"/>
        </w:rPr>
        <w:t> </w:t>
      </w:r>
      <w:r w:rsidR="00821430">
        <w:t>% in Lithuania, Cyprus and Luxembourg and 63</w:t>
      </w:r>
      <w:r w:rsidR="004456F1" w:rsidRPr="004456F1">
        <w:rPr>
          <w:w w:val="50"/>
        </w:rPr>
        <w:t> </w:t>
      </w:r>
      <w:r w:rsidR="00821430">
        <w:t xml:space="preserve">% in Estonia. Women also show a lower tendency to complain when compared </w:t>
      </w:r>
      <w:r w:rsidR="007A6A84">
        <w:t>to men (79</w:t>
      </w:r>
      <w:r w:rsidR="004456F1" w:rsidRPr="004456F1">
        <w:rPr>
          <w:w w:val="50"/>
        </w:rPr>
        <w:t> </w:t>
      </w:r>
      <w:r w:rsidR="007A6A84">
        <w:t>% vs 84</w:t>
      </w:r>
      <w:r w:rsidR="004456F1" w:rsidRPr="004456F1">
        <w:rPr>
          <w:w w:val="50"/>
        </w:rPr>
        <w:t> </w:t>
      </w:r>
      <w:r w:rsidR="007A6A84">
        <w:t>%).</w:t>
      </w:r>
    </w:p>
    <w:p w:rsidR="00821430" w:rsidRDefault="00821430">
      <w:pPr>
        <w:spacing w:after="0"/>
        <w:rPr>
          <w:b/>
          <w:i/>
        </w:rPr>
      </w:pPr>
      <w:r>
        <w:rPr>
          <w:b/>
          <w:i/>
        </w:rPr>
        <w:t>Small detriment is the main reason not to complain</w:t>
      </w:r>
    </w:p>
    <w:p w:rsidR="00821430" w:rsidRDefault="00821430">
      <w:pPr>
        <w:spacing w:after="0"/>
      </w:pPr>
      <w:r>
        <w:t>The main reasons consumers give for not complaining after they have experienced a problem relate to the sums involved being too small (27</w:t>
      </w:r>
      <w:r w:rsidR="004456F1" w:rsidRPr="004456F1">
        <w:rPr>
          <w:w w:val="50"/>
        </w:rPr>
        <w:t> </w:t>
      </w:r>
      <w:r>
        <w:t>%), not expecting to receive a satisfactory solution (23</w:t>
      </w:r>
      <w:r w:rsidR="004456F1" w:rsidRPr="004456F1">
        <w:rPr>
          <w:w w:val="50"/>
        </w:rPr>
        <w:t> </w:t>
      </w:r>
      <w:r>
        <w:t>%) and expecting that any resolution would take too long (19</w:t>
      </w:r>
      <w:r w:rsidR="004456F1" w:rsidRPr="004456F1">
        <w:rPr>
          <w:w w:val="50"/>
        </w:rPr>
        <w:t> </w:t>
      </w:r>
      <w:r>
        <w:t xml:space="preserve">%). Approximately one in ten </w:t>
      </w:r>
      <w:r w:rsidR="00DD6575" w:rsidRPr="004456F1">
        <w:t>d</w:t>
      </w:r>
      <w:r w:rsidR="00DD6575">
        <w:t>o</w:t>
      </w:r>
      <w:r w:rsidR="00DD6575" w:rsidRPr="004456F1">
        <w:t xml:space="preserve"> </w:t>
      </w:r>
      <w:r>
        <w:t xml:space="preserve">not complain because they </w:t>
      </w:r>
      <w:r w:rsidR="00DD6575" w:rsidRPr="004456F1">
        <w:t>d</w:t>
      </w:r>
      <w:r w:rsidR="00DD6575">
        <w:t>o</w:t>
      </w:r>
      <w:r w:rsidR="00DD6575" w:rsidRPr="004456F1">
        <w:t xml:space="preserve"> </w:t>
      </w:r>
      <w:r>
        <w:t xml:space="preserve">not know how </w:t>
      </w:r>
      <w:r w:rsidR="00DD6575">
        <w:t>to go about it</w:t>
      </w:r>
      <w:r>
        <w:t xml:space="preserve"> (12</w:t>
      </w:r>
      <w:r w:rsidR="004456F1" w:rsidRPr="004456F1">
        <w:rPr>
          <w:w w:val="50"/>
        </w:rPr>
        <w:t> </w:t>
      </w:r>
      <w:r>
        <w:t xml:space="preserve">%) or </w:t>
      </w:r>
      <w:r w:rsidR="00DD6575">
        <w:t>a</w:t>
      </w:r>
      <w:r w:rsidR="00DD6575" w:rsidRPr="004456F1">
        <w:t xml:space="preserve">re </w:t>
      </w:r>
      <w:r>
        <w:t>unsure of their consumer rights (8</w:t>
      </w:r>
      <w:r w:rsidR="004456F1" w:rsidRPr="004456F1">
        <w:rPr>
          <w:w w:val="50"/>
        </w:rPr>
        <w:t> </w:t>
      </w:r>
      <w:r w:rsidRPr="004456F1">
        <w:t xml:space="preserve">%), </w:t>
      </w:r>
      <w:r w:rsidR="00596EC3">
        <w:t>which</w:t>
      </w:r>
      <w:r>
        <w:t xml:space="preserve"> </w:t>
      </w:r>
      <w:r w:rsidR="00596EC3" w:rsidRPr="004456F1">
        <w:t>point</w:t>
      </w:r>
      <w:r w:rsidR="00596EC3">
        <w:t>s</w:t>
      </w:r>
      <w:r w:rsidR="00596EC3" w:rsidRPr="004456F1">
        <w:t xml:space="preserve"> </w:t>
      </w:r>
      <w:r>
        <w:t xml:space="preserve">to </w:t>
      </w:r>
      <w:r w:rsidR="00596EC3">
        <w:t>a</w:t>
      </w:r>
      <w:r>
        <w:t xml:space="preserve"> need for better consumer information and support. Compared to shopping problems experienced more generally, a larger </w:t>
      </w:r>
      <w:r w:rsidR="00DD6575">
        <w:t>proportion</w:t>
      </w:r>
      <w:r w:rsidR="00DD6575" w:rsidRPr="004456F1">
        <w:t xml:space="preserve"> </w:t>
      </w:r>
      <w:r>
        <w:t xml:space="preserve">of respondents did not complain because of the small detriment </w:t>
      </w:r>
      <w:r w:rsidR="00D870F9">
        <w:t>suffered</w:t>
      </w:r>
      <w:r w:rsidR="00DD6575">
        <w:t>,</w:t>
      </w:r>
      <w:r>
        <w:t xml:space="preserve"> while </w:t>
      </w:r>
      <w:r w:rsidR="00901997">
        <w:t xml:space="preserve">fewer </w:t>
      </w:r>
      <w:r>
        <w:t xml:space="preserve">were discouraged from </w:t>
      </w:r>
      <w:r w:rsidR="00D870F9">
        <w:t xml:space="preserve">complaining </w:t>
      </w:r>
      <w:r>
        <w:t>by the low likelihood of success, the length of the procedure or lack of knowledge</w:t>
      </w:r>
      <w:r w:rsidR="00596EC3">
        <w:t>.</w:t>
      </w:r>
      <w:r w:rsidR="00596EC3" w:rsidRPr="004456F1">
        <w:t xml:space="preserve"> </w:t>
      </w:r>
      <w:r w:rsidR="00596EC3">
        <w:t xml:space="preserve">This is </w:t>
      </w:r>
      <w:r>
        <w:t xml:space="preserve">again perhaps </w:t>
      </w:r>
      <w:r w:rsidR="00596EC3">
        <w:t>a question of</w:t>
      </w:r>
      <w:r w:rsidR="00596EC3" w:rsidRPr="004456F1">
        <w:t xml:space="preserve"> </w:t>
      </w:r>
      <w:r>
        <w:t xml:space="preserve">greater empowerment of online shoppers and/or greater ease of complaining in </w:t>
      </w:r>
      <w:r w:rsidR="00596EC3">
        <w:t>respect</w:t>
      </w:r>
      <w:r>
        <w:t xml:space="preserve"> of online transactions.</w:t>
      </w:r>
    </w:p>
    <w:p w:rsidR="00ED08B2" w:rsidRPr="00ED08B2" w:rsidRDefault="00ED08B2" w:rsidP="00ED08B2">
      <w:pPr>
        <w:pStyle w:val="Caption"/>
      </w:pPr>
      <w:r>
        <w:t xml:space="preserve">Figure </w:t>
      </w:r>
      <w:r w:rsidR="005269EB">
        <w:rPr>
          <w:noProof/>
        </w:rPr>
        <w:t>38</w:t>
      </w:r>
      <w:r>
        <w:t xml:space="preserve">: </w:t>
      </w:r>
      <w:r w:rsidRPr="007F1267">
        <w:t xml:space="preserve">Reasons for not complaining </w:t>
      </w:r>
      <w:r w:rsidR="00596EC3">
        <w:t>about</w:t>
      </w:r>
      <w:r w:rsidRPr="007F1267">
        <w:t xml:space="preserve"> problems with online purchases, EU28, 2015</w:t>
      </w:r>
      <w:r w:rsidR="00156334">
        <w:t xml:space="preserve"> (%)</w:t>
      </w:r>
    </w:p>
    <w:p w:rsidR="00821430" w:rsidRPr="00CE6AAD" w:rsidRDefault="008B418B" w:rsidP="00CF2732">
      <w:pPr>
        <w:pStyle w:val="Text1"/>
        <w:keepNext/>
        <w:spacing w:before="0" w:after="0"/>
        <w:ind w:left="0"/>
        <w:rPr>
          <w:noProof/>
          <w:lang w:eastAsia="en-GB"/>
        </w:rPr>
      </w:pPr>
      <w:r>
        <w:rPr>
          <w:noProof/>
          <w:lang w:eastAsia="en-GB"/>
        </w:rPr>
        <w:drawing>
          <wp:inline distT="0" distB="0" distL="0" distR="0" wp14:anchorId="3DF74485" wp14:editId="520C8871">
            <wp:extent cx="3924300" cy="3257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24300" cy="3257550"/>
                    </a:xfrm>
                    <a:prstGeom prst="rect">
                      <a:avLst/>
                    </a:prstGeom>
                    <a:noFill/>
                    <a:ln>
                      <a:noFill/>
                    </a:ln>
                  </pic:spPr>
                </pic:pic>
              </a:graphicData>
            </a:graphic>
          </wp:inline>
        </w:drawing>
      </w:r>
    </w:p>
    <w:p w:rsidR="00821430" w:rsidRPr="002716FC" w:rsidRDefault="00821430" w:rsidP="002716FC">
      <w:pPr>
        <w:pStyle w:val="Text1"/>
        <w:spacing w:before="0" w:after="0"/>
        <w:ind w:left="0"/>
        <w:rPr>
          <w:i/>
          <w:sz w:val="20"/>
          <w:szCs w:val="20"/>
        </w:rPr>
      </w:pPr>
      <w:r w:rsidRPr="002716FC">
        <w:rPr>
          <w:i/>
          <w:sz w:val="20"/>
          <w:szCs w:val="20"/>
        </w:rPr>
        <w:t>Source: 2015 DSM consumer survey: If you didn’t take any action, what were the main reasons? Please sel</w:t>
      </w:r>
      <w:r w:rsidR="00612B8E">
        <w:rPr>
          <w:i/>
          <w:sz w:val="20"/>
          <w:szCs w:val="20"/>
        </w:rPr>
        <w:t>ect all responses that apply. b</w:t>
      </w:r>
      <w:r w:rsidRPr="002716FC">
        <w:rPr>
          <w:i/>
          <w:sz w:val="20"/>
          <w:szCs w:val="20"/>
        </w:rPr>
        <w:t xml:space="preserve">ase: consumers who experienced a problem with an online purchase but did not take any action, EU28 </w:t>
      </w:r>
      <w:r w:rsidR="00612B8E">
        <w:rPr>
          <w:i/>
          <w:sz w:val="20"/>
          <w:szCs w:val="20"/>
        </w:rPr>
        <w:t>n</w:t>
      </w:r>
      <w:r w:rsidRPr="002716FC">
        <w:rPr>
          <w:i/>
          <w:sz w:val="20"/>
          <w:szCs w:val="20"/>
        </w:rPr>
        <w:t>=1</w:t>
      </w:r>
      <w:r w:rsidR="004456F1" w:rsidRPr="002716FC">
        <w:rPr>
          <w:i/>
          <w:sz w:val="20"/>
          <w:szCs w:val="20"/>
        </w:rPr>
        <w:t> </w:t>
      </w:r>
      <w:r w:rsidRPr="002716FC">
        <w:rPr>
          <w:i/>
          <w:sz w:val="20"/>
          <w:szCs w:val="20"/>
        </w:rPr>
        <w:t>459</w:t>
      </w:r>
    </w:p>
    <w:p w:rsidR="00821430" w:rsidRDefault="00821430">
      <w:pPr>
        <w:spacing w:after="0"/>
        <w:rPr>
          <w:b/>
          <w:i/>
        </w:rPr>
      </w:pPr>
      <w:r>
        <w:rPr>
          <w:b/>
          <w:i/>
        </w:rPr>
        <w:t>Consumers are most satisfied with complaint handling by out-of-court entities</w:t>
      </w:r>
    </w:p>
    <w:p w:rsidR="00821430" w:rsidRDefault="00821430">
      <w:pPr>
        <w:spacing w:after="0"/>
      </w:pPr>
      <w:r>
        <w:t xml:space="preserve">As for satisfaction with complaint handling by different bodies, approximately two in three respondents were satisfied with how their complaint </w:t>
      </w:r>
      <w:r w:rsidR="00A87904" w:rsidRPr="004456F1">
        <w:t>ha</w:t>
      </w:r>
      <w:r w:rsidR="00A87904">
        <w:t>d</w:t>
      </w:r>
      <w:r w:rsidR="00A87904" w:rsidRPr="004456F1">
        <w:t xml:space="preserve"> </w:t>
      </w:r>
      <w:r>
        <w:t>been handled by the seller (65</w:t>
      </w:r>
      <w:r w:rsidR="004456F1" w:rsidRPr="004456F1">
        <w:rPr>
          <w:w w:val="50"/>
        </w:rPr>
        <w:t> </w:t>
      </w:r>
      <w:r>
        <w:t>%), manufacturer (64</w:t>
      </w:r>
      <w:r w:rsidR="004456F1" w:rsidRPr="004456F1">
        <w:rPr>
          <w:w w:val="50"/>
        </w:rPr>
        <w:t> </w:t>
      </w:r>
      <w:r>
        <w:t>%) or a public authority (64</w:t>
      </w:r>
      <w:r w:rsidR="004456F1" w:rsidRPr="004456F1">
        <w:rPr>
          <w:w w:val="50"/>
        </w:rPr>
        <w:t> </w:t>
      </w:r>
      <w:r>
        <w:t>%). The lowest satisfaction was with courts (54</w:t>
      </w:r>
      <w:r w:rsidR="004456F1" w:rsidRPr="004456F1">
        <w:rPr>
          <w:w w:val="50"/>
        </w:rPr>
        <w:t> </w:t>
      </w:r>
      <w:r w:rsidRPr="004456F1">
        <w:t>%)</w:t>
      </w:r>
      <w:r w:rsidR="005B3C67">
        <w:t>,</w:t>
      </w:r>
      <w:r>
        <w:t xml:space="preserve"> while out-of-court dispute resolution entities recorded the highest satisfaction levels (68</w:t>
      </w:r>
      <w:r w:rsidR="004456F1" w:rsidRPr="004456F1">
        <w:rPr>
          <w:w w:val="50"/>
        </w:rPr>
        <w:t> </w:t>
      </w:r>
      <w:r>
        <w:t xml:space="preserve">%), confirming the importance of such bodies in helping consumers </w:t>
      </w:r>
      <w:r w:rsidR="005B3C67" w:rsidRPr="004456F1">
        <w:t>resolv</w:t>
      </w:r>
      <w:r w:rsidR="005B3C67">
        <w:t>e</w:t>
      </w:r>
      <w:r>
        <w:t xml:space="preserve"> disputes tha</w:t>
      </w:r>
      <w:r w:rsidR="007A6A84">
        <w:t>t arise from online purchases.</w:t>
      </w:r>
    </w:p>
    <w:p w:rsidR="00821430" w:rsidRDefault="00821430" w:rsidP="0055096C">
      <w:pPr>
        <w:pStyle w:val="Heading3"/>
      </w:pPr>
      <w:r>
        <w:t xml:space="preserve">4.3 </w:t>
      </w:r>
      <w:r>
        <w:tab/>
        <w:t>Complaints concerning cross-border online purchases received by European Consumer Centres</w:t>
      </w:r>
    </w:p>
    <w:p w:rsidR="00821430" w:rsidRDefault="00821430" w:rsidP="007A6A84">
      <w:pPr>
        <w:autoSpaceDE w:val="0"/>
        <w:autoSpaceDN w:val="0"/>
        <w:adjustRightInd w:val="0"/>
        <w:spacing w:before="240" w:after="240"/>
      </w:pPr>
      <w:r>
        <w:t xml:space="preserve">The </w:t>
      </w:r>
      <w:r w:rsidR="005B3C67">
        <w:t>purpose of</w:t>
      </w:r>
      <w:r w:rsidRPr="004456F1">
        <w:t xml:space="preserve"> </w:t>
      </w:r>
      <w:r>
        <w:rPr>
          <w:b/>
        </w:rPr>
        <w:t>European Consumer Centres (</w:t>
      </w:r>
      <w:r w:rsidRPr="004456F1">
        <w:rPr>
          <w:b/>
        </w:rPr>
        <w:t>ECC</w:t>
      </w:r>
      <w:r w:rsidR="005B3C67">
        <w:rPr>
          <w:b/>
        </w:rPr>
        <w:t>s</w:t>
      </w:r>
      <w:r w:rsidRPr="004456F1">
        <w:rPr>
          <w:b/>
        </w:rPr>
        <w:t>)</w:t>
      </w:r>
      <w:r w:rsidRPr="004456F1">
        <w:t xml:space="preserve"> </w:t>
      </w:r>
      <w:r w:rsidR="005B3C67">
        <w:t>is to</w:t>
      </w:r>
      <w:r>
        <w:t xml:space="preserve"> inform consumers of their rights when shopping cross-border in the EU and assist them with their complaints </w:t>
      </w:r>
      <w:r w:rsidR="005B3C67">
        <w:t>with a view</w:t>
      </w:r>
      <w:r w:rsidRPr="004456F1">
        <w:t xml:space="preserve"> </w:t>
      </w:r>
      <w:r>
        <w:t xml:space="preserve">to </w:t>
      </w:r>
      <w:r w:rsidR="005B3C67" w:rsidRPr="004456F1">
        <w:t>achiev</w:t>
      </w:r>
      <w:r w:rsidR="005B3C67">
        <w:t>ing</w:t>
      </w:r>
      <w:r>
        <w:t xml:space="preserve"> amicable resolution of disputes with traders.</w:t>
      </w:r>
      <w:r>
        <w:rPr>
          <w:rStyle w:val="FootnoteReference"/>
        </w:rPr>
        <w:footnoteReference w:id="65"/>
      </w:r>
      <w:r>
        <w:t xml:space="preserve"> The complaints received by ECCs offer important insights </w:t>
      </w:r>
      <w:r w:rsidR="00AB0604">
        <w:t>into</w:t>
      </w:r>
      <w:r w:rsidR="00AB0604" w:rsidRPr="004456F1">
        <w:t xml:space="preserve"> </w:t>
      </w:r>
      <w:r>
        <w:t>the main problems experienced by consumers when buying online from other EU countries.</w:t>
      </w:r>
    </w:p>
    <w:p w:rsidR="00821430" w:rsidRDefault="00821430">
      <w:pPr>
        <w:autoSpaceDE w:val="0"/>
        <w:autoSpaceDN w:val="0"/>
        <w:adjustRightInd w:val="0"/>
        <w:spacing w:after="0"/>
        <w:rPr>
          <w:b/>
          <w:i/>
        </w:rPr>
      </w:pPr>
      <w:r>
        <w:rPr>
          <w:b/>
          <w:i/>
        </w:rPr>
        <w:t>E-commerce is the main source of cross-border complaints</w:t>
      </w:r>
    </w:p>
    <w:p w:rsidR="00821430" w:rsidRDefault="00821430">
      <w:pPr>
        <w:spacing w:after="0"/>
        <w:rPr>
          <w:bCs/>
        </w:rPr>
      </w:pPr>
      <w:r>
        <w:rPr>
          <w:bCs/>
        </w:rPr>
        <w:t>Almost 7 out of 10 (68</w:t>
      </w:r>
      <w:r w:rsidR="004456F1" w:rsidRPr="004456F1">
        <w:rPr>
          <w:bCs/>
          <w:w w:val="50"/>
        </w:rPr>
        <w:t> </w:t>
      </w:r>
      <w:r>
        <w:rPr>
          <w:bCs/>
        </w:rPr>
        <w:t xml:space="preserve">%) complaints about cross-border transactions received by the ECCs in 2014 concerned online purchases. This proportion has been increasing </w:t>
      </w:r>
      <w:r w:rsidR="00AB0604" w:rsidRPr="004456F1">
        <w:rPr>
          <w:bCs/>
        </w:rPr>
        <w:t>cons</w:t>
      </w:r>
      <w:r w:rsidR="00AB0604">
        <w:rPr>
          <w:bCs/>
        </w:rPr>
        <w:t>tan</w:t>
      </w:r>
      <w:r w:rsidR="00AB0604" w:rsidRPr="004456F1">
        <w:rPr>
          <w:bCs/>
        </w:rPr>
        <w:t xml:space="preserve">tly </w:t>
      </w:r>
      <w:r>
        <w:rPr>
          <w:bCs/>
        </w:rPr>
        <w:t>(from 56</w:t>
      </w:r>
      <w:r w:rsidR="004456F1" w:rsidRPr="004456F1">
        <w:rPr>
          <w:bCs/>
          <w:w w:val="50"/>
        </w:rPr>
        <w:t> </w:t>
      </w:r>
      <w:r>
        <w:rPr>
          <w:bCs/>
        </w:rPr>
        <w:t>% in 2009-2011), reflecting the steady, if slow, growth of business-to-consumer cross-border e-commerce.</w:t>
      </w:r>
    </w:p>
    <w:p w:rsidR="00821430" w:rsidRDefault="00ED08B2" w:rsidP="00ED08B2">
      <w:pPr>
        <w:pStyle w:val="Caption"/>
        <w:rPr>
          <w:b w:val="0"/>
        </w:rPr>
      </w:pPr>
      <w:r>
        <w:t xml:space="preserve">Figure </w:t>
      </w:r>
      <w:r w:rsidR="005269EB">
        <w:rPr>
          <w:noProof/>
        </w:rPr>
        <w:t>39</w:t>
      </w:r>
      <w:r w:rsidRPr="00D22404">
        <w:t>: Complaints about cross-border e-commerce received by ECCs — by selling method, 2014</w:t>
      </w:r>
      <w:r w:rsidR="00156334">
        <w:t xml:space="preserve"> (%)</w:t>
      </w:r>
      <w:r w:rsidRPr="00D22404">
        <w:t>*</w:t>
      </w:r>
    </w:p>
    <w:p w:rsidR="00821430" w:rsidRDefault="008B418B" w:rsidP="00CF2732">
      <w:pPr>
        <w:pStyle w:val="Text1"/>
        <w:keepNext/>
        <w:spacing w:before="0" w:after="0"/>
        <w:ind w:left="0"/>
        <w:rPr>
          <w:noProof/>
          <w:lang w:eastAsia="en-GB"/>
        </w:rPr>
      </w:pPr>
      <w:r>
        <w:rPr>
          <w:noProof/>
          <w:lang w:eastAsia="en-GB"/>
        </w:rPr>
        <w:drawing>
          <wp:inline distT="0" distB="0" distL="0" distR="0" wp14:anchorId="45DB46FE" wp14:editId="083F665A">
            <wp:extent cx="4638675" cy="2466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8675" cy="2466975"/>
                    </a:xfrm>
                    <a:prstGeom prst="rect">
                      <a:avLst/>
                    </a:prstGeom>
                    <a:noFill/>
                    <a:ln>
                      <a:noFill/>
                    </a:ln>
                  </pic:spPr>
                </pic:pic>
              </a:graphicData>
            </a:graphic>
          </wp:inline>
        </w:drawing>
      </w:r>
    </w:p>
    <w:p w:rsidR="00821430" w:rsidRDefault="00821430" w:rsidP="002716FC">
      <w:pPr>
        <w:pStyle w:val="Text1"/>
        <w:spacing w:before="0" w:after="0"/>
        <w:ind w:left="0"/>
        <w:rPr>
          <w:i/>
          <w:sz w:val="20"/>
          <w:szCs w:val="20"/>
        </w:rPr>
      </w:pPr>
      <w:r w:rsidRPr="002716FC">
        <w:rPr>
          <w:i/>
          <w:sz w:val="20"/>
          <w:szCs w:val="20"/>
        </w:rPr>
        <w:t>* Only t</w:t>
      </w:r>
      <w:r w:rsidR="002716FC">
        <w:rPr>
          <w:i/>
          <w:sz w:val="20"/>
          <w:szCs w:val="20"/>
        </w:rPr>
        <w:t xml:space="preserve">he main categories are included. </w:t>
      </w:r>
      <w:r>
        <w:rPr>
          <w:i/>
          <w:sz w:val="20"/>
          <w:szCs w:val="20"/>
        </w:rPr>
        <w:t>Source: ECC Network</w:t>
      </w:r>
    </w:p>
    <w:p w:rsidR="00821430" w:rsidRDefault="00821430">
      <w:pPr>
        <w:spacing w:after="0"/>
        <w:rPr>
          <w:b/>
          <w:i/>
        </w:rPr>
      </w:pPr>
      <w:r>
        <w:rPr>
          <w:b/>
          <w:i/>
        </w:rPr>
        <w:t>No</w:t>
      </w:r>
      <w:r w:rsidR="00D870F9">
        <w:rPr>
          <w:b/>
          <w:i/>
        </w:rPr>
        <w:t>n-</w:t>
      </w:r>
      <w:r>
        <w:rPr>
          <w:b/>
          <w:i/>
        </w:rPr>
        <w:t>delivery is the most common problem</w:t>
      </w:r>
    </w:p>
    <w:p w:rsidR="00821430" w:rsidRDefault="0097485F">
      <w:pPr>
        <w:spacing w:after="0"/>
      </w:pPr>
      <w:r w:rsidRPr="005C56CD">
        <w:t xml:space="preserve">Problems with delivery and conformity issues (which were the most commonly reported in the online consumers’ survey) are also mirrored in the high number of complaints received by the ECCs. </w:t>
      </w:r>
      <w:r w:rsidR="00821430">
        <w:t>A fifth (21</w:t>
      </w:r>
      <w:r w:rsidR="004456F1" w:rsidRPr="004456F1">
        <w:rPr>
          <w:w w:val="50"/>
        </w:rPr>
        <w:t> </w:t>
      </w:r>
      <w:r w:rsidR="00821430">
        <w:t xml:space="preserve">%) of complaints about online purchases had to do with the fact that the </w:t>
      </w:r>
      <w:r w:rsidR="00AB0604">
        <w:t>item</w:t>
      </w:r>
      <w:r w:rsidR="00821430">
        <w:t xml:space="preserve"> was not delivered or the service was not provided at all to the consumer. This was followed by problems linked to cancelling a contract (16.5</w:t>
      </w:r>
      <w:r w:rsidR="004456F1" w:rsidRPr="004456F1">
        <w:rPr>
          <w:w w:val="50"/>
        </w:rPr>
        <w:t> </w:t>
      </w:r>
      <w:r w:rsidR="00821430">
        <w:t>%) and goods or services being defective (9.7</w:t>
      </w:r>
      <w:r w:rsidR="004456F1" w:rsidRPr="004456F1">
        <w:rPr>
          <w:w w:val="50"/>
        </w:rPr>
        <w:t> </w:t>
      </w:r>
      <w:r w:rsidR="00821430">
        <w:t>%) or not in conformity with the order (8.2</w:t>
      </w:r>
      <w:r w:rsidR="004456F1" w:rsidRPr="004456F1">
        <w:rPr>
          <w:w w:val="50"/>
        </w:rPr>
        <w:t> </w:t>
      </w:r>
      <w:r w:rsidR="00821430">
        <w:t>%). These four problems accounted for over a half of all complaints. Around 5</w:t>
      </w:r>
      <w:r w:rsidR="004456F1" w:rsidRPr="004456F1">
        <w:rPr>
          <w:w w:val="50"/>
        </w:rPr>
        <w:t> </w:t>
      </w:r>
      <w:r w:rsidR="00821430">
        <w:t xml:space="preserve">% of complaints had to do with the </w:t>
      </w:r>
      <w:r w:rsidR="00F71C44">
        <w:t xml:space="preserve">non-respect of the </w:t>
      </w:r>
      <w:r w:rsidR="00821430">
        <w:t xml:space="preserve">right to a cooling-off period, misleading advertising, </w:t>
      </w:r>
      <w:r w:rsidR="00890A0F">
        <w:t>or</w:t>
      </w:r>
      <w:r w:rsidR="00890A0F" w:rsidRPr="004456F1">
        <w:t xml:space="preserve"> </w:t>
      </w:r>
      <w:r w:rsidR="00821430">
        <w:t xml:space="preserve">unclear and complex tariffs. The </w:t>
      </w:r>
      <w:r w:rsidR="00821430" w:rsidRPr="004456F1">
        <w:t>trader</w:t>
      </w:r>
      <w:r w:rsidR="004456F1">
        <w:t>’</w:t>
      </w:r>
      <w:r w:rsidR="00821430" w:rsidRPr="004456F1">
        <w:t>s</w:t>
      </w:r>
      <w:r w:rsidR="00821430">
        <w:t xml:space="preserve"> refusal to sell or supply </w:t>
      </w:r>
      <w:r w:rsidR="00821430" w:rsidRPr="004456F1">
        <w:t>good</w:t>
      </w:r>
      <w:r w:rsidR="00890A0F">
        <w:t>s</w:t>
      </w:r>
      <w:r w:rsidR="00821430">
        <w:t xml:space="preserve"> or </w:t>
      </w:r>
      <w:r w:rsidR="00821430" w:rsidRPr="004456F1">
        <w:t>service</w:t>
      </w:r>
      <w:r w:rsidR="00890A0F">
        <w:t>s</w:t>
      </w:r>
      <w:r w:rsidR="00821430">
        <w:t xml:space="preserve"> accounted for 2</w:t>
      </w:r>
      <w:r w:rsidR="004456F1" w:rsidRPr="004456F1">
        <w:rPr>
          <w:w w:val="50"/>
        </w:rPr>
        <w:t> </w:t>
      </w:r>
      <w:r w:rsidR="00821430">
        <w:t>% of all complaints.</w:t>
      </w:r>
    </w:p>
    <w:p w:rsidR="00ED08B2" w:rsidRDefault="00ED08B2" w:rsidP="00ED08B2">
      <w:pPr>
        <w:pStyle w:val="Caption"/>
      </w:pPr>
      <w:r>
        <w:t xml:space="preserve">Figure </w:t>
      </w:r>
      <w:r w:rsidR="005269EB">
        <w:rPr>
          <w:noProof/>
        </w:rPr>
        <w:t>40</w:t>
      </w:r>
      <w:r w:rsidRPr="005E66E4">
        <w:t>: Complaints about cross-border e-commerce received by ECCs — by nature of complaint, 2014</w:t>
      </w:r>
      <w:r w:rsidR="00156334">
        <w:t xml:space="preserve"> (%)</w:t>
      </w:r>
      <w:r w:rsidRPr="005E66E4">
        <w:t>*</w:t>
      </w:r>
    </w:p>
    <w:p w:rsidR="00821430" w:rsidRDefault="008B418B" w:rsidP="00CF2732">
      <w:pPr>
        <w:pStyle w:val="Text1"/>
        <w:keepNext/>
        <w:spacing w:before="0" w:after="0"/>
        <w:ind w:left="0"/>
        <w:rPr>
          <w:noProof/>
          <w:lang w:eastAsia="en-GB"/>
        </w:rPr>
      </w:pPr>
      <w:r>
        <w:rPr>
          <w:noProof/>
          <w:lang w:eastAsia="en-GB"/>
        </w:rPr>
        <w:drawing>
          <wp:inline distT="0" distB="0" distL="0" distR="0" wp14:anchorId="034649A4" wp14:editId="3A83BBDF">
            <wp:extent cx="5753100" cy="2981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821430" w:rsidRDefault="00821430" w:rsidP="002716FC">
      <w:pPr>
        <w:pStyle w:val="Text1"/>
        <w:spacing w:before="0" w:after="0"/>
        <w:ind w:left="0"/>
        <w:rPr>
          <w:i/>
          <w:sz w:val="20"/>
          <w:szCs w:val="20"/>
        </w:rPr>
      </w:pPr>
      <w:r w:rsidRPr="002716FC">
        <w:rPr>
          <w:i/>
          <w:sz w:val="20"/>
          <w:szCs w:val="20"/>
        </w:rPr>
        <w:t>* Only the main categories are included</w:t>
      </w:r>
      <w:r w:rsidR="002716FC">
        <w:rPr>
          <w:i/>
          <w:sz w:val="20"/>
          <w:szCs w:val="20"/>
        </w:rPr>
        <w:t xml:space="preserve">. </w:t>
      </w:r>
      <w:r>
        <w:rPr>
          <w:i/>
          <w:sz w:val="20"/>
          <w:szCs w:val="20"/>
        </w:rPr>
        <w:t>Source: ECC Network</w:t>
      </w:r>
    </w:p>
    <w:p w:rsidR="00821430" w:rsidRDefault="00821430">
      <w:pPr>
        <w:spacing w:after="0"/>
        <w:rPr>
          <w:b/>
          <w:i/>
        </w:rPr>
      </w:pPr>
      <w:r>
        <w:rPr>
          <w:b/>
          <w:i/>
        </w:rPr>
        <w:t>Furnishings account for more than a fifth of complaints about cross-border e-commerce</w:t>
      </w:r>
    </w:p>
    <w:p w:rsidR="00821430" w:rsidRDefault="00821430">
      <w:pPr>
        <w:spacing w:after="0"/>
        <w:rPr>
          <w:lang w:eastAsia="en-GB"/>
        </w:rPr>
      </w:pPr>
      <w:r>
        <w:rPr>
          <w:lang w:eastAsia="en-GB"/>
        </w:rPr>
        <w:t>Following a 60</w:t>
      </w:r>
      <w:r w:rsidR="004456F1" w:rsidRPr="004456F1">
        <w:rPr>
          <w:w w:val="50"/>
          <w:lang w:eastAsia="en-GB"/>
        </w:rPr>
        <w:t> </w:t>
      </w:r>
      <w:r>
        <w:rPr>
          <w:lang w:eastAsia="en-GB"/>
        </w:rPr>
        <w:t xml:space="preserve">% increase between 2013 and 2014 (and even larger annual increases in </w:t>
      </w:r>
      <w:r w:rsidR="006B11F4">
        <w:rPr>
          <w:lang w:eastAsia="en-GB"/>
        </w:rPr>
        <w:t>the period</w:t>
      </w:r>
      <w:r w:rsidRPr="004456F1">
        <w:rPr>
          <w:lang w:eastAsia="en-GB"/>
        </w:rPr>
        <w:t xml:space="preserve"> </w:t>
      </w:r>
      <w:r>
        <w:rPr>
          <w:lang w:eastAsia="en-GB"/>
        </w:rPr>
        <w:t xml:space="preserve">2011-2013), furnishings </w:t>
      </w:r>
      <w:r w:rsidR="006B11F4">
        <w:rPr>
          <w:lang w:eastAsia="en-GB"/>
        </w:rPr>
        <w:t>were</w:t>
      </w:r>
      <w:r>
        <w:rPr>
          <w:lang w:eastAsia="en-GB"/>
        </w:rPr>
        <w:t xml:space="preserve"> the number one source of complaints about cross-border e-commerce in 2014, accounting for 22.5</w:t>
      </w:r>
      <w:r w:rsidR="004456F1" w:rsidRPr="004456F1">
        <w:rPr>
          <w:w w:val="50"/>
          <w:lang w:eastAsia="en-GB"/>
        </w:rPr>
        <w:t> </w:t>
      </w:r>
      <w:r>
        <w:rPr>
          <w:lang w:eastAsia="en-GB"/>
        </w:rPr>
        <w:t>% of all complaints. On the other hand, the proportion of complaints about air transport (18</w:t>
      </w:r>
      <w:r w:rsidR="004456F1" w:rsidRPr="004456F1">
        <w:rPr>
          <w:w w:val="50"/>
          <w:lang w:eastAsia="en-GB"/>
        </w:rPr>
        <w:t> </w:t>
      </w:r>
      <w:r>
        <w:rPr>
          <w:lang w:eastAsia="en-GB"/>
        </w:rPr>
        <w:t>% in 2014) has decreased by 40</w:t>
      </w:r>
      <w:r w:rsidR="004456F1" w:rsidRPr="004456F1">
        <w:rPr>
          <w:w w:val="50"/>
          <w:lang w:eastAsia="en-GB"/>
        </w:rPr>
        <w:t> </w:t>
      </w:r>
      <w:r>
        <w:rPr>
          <w:lang w:eastAsia="en-GB"/>
        </w:rPr>
        <w:t xml:space="preserve">% compared to 2013 and </w:t>
      </w:r>
      <w:r w:rsidR="00A87904">
        <w:rPr>
          <w:lang w:eastAsia="en-GB"/>
        </w:rPr>
        <w:t>this</w:t>
      </w:r>
      <w:r w:rsidRPr="004456F1">
        <w:rPr>
          <w:lang w:eastAsia="en-GB"/>
        </w:rPr>
        <w:t xml:space="preserve"> </w:t>
      </w:r>
      <w:r>
        <w:rPr>
          <w:lang w:eastAsia="en-GB"/>
        </w:rPr>
        <w:t>is now the number two</w:t>
      </w:r>
      <w:r w:rsidR="006B11F4">
        <w:rPr>
          <w:lang w:eastAsia="en-GB"/>
        </w:rPr>
        <w:t xml:space="preserve"> source</w:t>
      </w:r>
      <w:r>
        <w:rPr>
          <w:lang w:eastAsia="en-GB"/>
        </w:rPr>
        <w:t>. The other leading categories in 2014 were clothing and footwear (7.7</w:t>
      </w:r>
      <w:r w:rsidR="004456F1" w:rsidRPr="004456F1">
        <w:rPr>
          <w:w w:val="50"/>
          <w:lang w:eastAsia="en-GB"/>
        </w:rPr>
        <w:t> </w:t>
      </w:r>
      <w:r>
        <w:rPr>
          <w:lang w:eastAsia="en-GB"/>
        </w:rPr>
        <w:t>%), ICT goods, holiday accommodation (both 4.2</w:t>
      </w:r>
      <w:r w:rsidR="004456F1" w:rsidRPr="004456F1">
        <w:rPr>
          <w:w w:val="50"/>
          <w:lang w:eastAsia="en-GB"/>
        </w:rPr>
        <w:t> </w:t>
      </w:r>
      <w:r>
        <w:rPr>
          <w:lang w:eastAsia="en-GB"/>
        </w:rPr>
        <w:t>%) and leisure goods and rental services (3.4</w:t>
      </w:r>
      <w:r w:rsidR="004456F1" w:rsidRPr="004456F1">
        <w:rPr>
          <w:w w:val="50"/>
          <w:lang w:eastAsia="en-GB"/>
        </w:rPr>
        <w:t> </w:t>
      </w:r>
      <w:r>
        <w:rPr>
          <w:lang w:eastAsia="en-GB"/>
        </w:rPr>
        <w:t>%).</w:t>
      </w:r>
    </w:p>
    <w:p w:rsidR="00821430" w:rsidRDefault="00ED08B2" w:rsidP="00ED08B2">
      <w:pPr>
        <w:pStyle w:val="Caption"/>
        <w:rPr>
          <w:b w:val="0"/>
          <w:bCs/>
          <w:lang w:eastAsia="en-GB"/>
        </w:rPr>
      </w:pPr>
      <w:r>
        <w:t xml:space="preserve">Figure </w:t>
      </w:r>
      <w:r w:rsidR="005269EB">
        <w:rPr>
          <w:noProof/>
        </w:rPr>
        <w:t>41</w:t>
      </w:r>
      <w:r w:rsidRPr="00C21EF3">
        <w:t>: Complaints about cross-border e-commerce received by ECCs — by economic sector, 2014</w:t>
      </w:r>
      <w:r w:rsidR="00156334">
        <w:t xml:space="preserve"> (%)</w:t>
      </w:r>
      <w:r w:rsidRPr="00C21EF3">
        <w:t>*</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6ACB22B1" wp14:editId="0DFED87D">
            <wp:extent cx="5762625" cy="3467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2467AB" w:rsidRDefault="002467AB" w:rsidP="002467AB">
      <w:pPr>
        <w:pStyle w:val="Text1"/>
        <w:spacing w:before="0" w:after="0"/>
        <w:ind w:left="0"/>
        <w:rPr>
          <w:i/>
          <w:sz w:val="20"/>
          <w:szCs w:val="20"/>
        </w:rPr>
      </w:pPr>
      <w:r w:rsidRPr="002716FC">
        <w:rPr>
          <w:i/>
          <w:sz w:val="20"/>
          <w:szCs w:val="20"/>
        </w:rPr>
        <w:t>* Only the main categories are included</w:t>
      </w:r>
      <w:r>
        <w:rPr>
          <w:i/>
          <w:sz w:val="20"/>
          <w:szCs w:val="20"/>
        </w:rPr>
        <w:t>. Source: ECC Network</w:t>
      </w:r>
    </w:p>
    <w:p w:rsidR="00821430" w:rsidRDefault="00821430" w:rsidP="0055096C">
      <w:pPr>
        <w:pStyle w:val="Heading3"/>
      </w:pPr>
      <w:r>
        <w:t xml:space="preserve">4.4 </w:t>
      </w:r>
      <w:r>
        <w:tab/>
        <w:t>Results of online compliance checks in key consumer markets</w:t>
      </w:r>
    </w:p>
    <w:p w:rsidR="00E6275D" w:rsidRPr="0058163D" w:rsidRDefault="00E6275D" w:rsidP="00E6275D">
      <w:pPr>
        <w:spacing w:after="0"/>
        <w:rPr>
          <w:highlight w:val="yellow"/>
        </w:rPr>
      </w:pPr>
      <w:r>
        <w:t xml:space="preserve">While survey data and consumer complaints </w:t>
      </w:r>
      <w:r w:rsidR="006B11F4">
        <w:t>shed</w:t>
      </w:r>
      <w:r w:rsidR="006B11F4" w:rsidRPr="004456F1">
        <w:t xml:space="preserve"> </w:t>
      </w:r>
      <w:r>
        <w:t xml:space="preserve">useful </w:t>
      </w:r>
      <w:r w:rsidR="006B11F4">
        <w:t>light</w:t>
      </w:r>
      <w:r w:rsidR="006B11F4" w:rsidRPr="004456F1">
        <w:t xml:space="preserve"> </w:t>
      </w:r>
      <w:r>
        <w:t xml:space="preserve">on the main problems faced by online shoppers, both </w:t>
      </w:r>
      <w:r w:rsidR="004456F1">
        <w:t>—</w:t>
      </w:r>
      <w:r>
        <w:t xml:space="preserve"> by their very nature </w:t>
      </w:r>
      <w:r w:rsidR="004456F1">
        <w:t>—</w:t>
      </w:r>
      <w:r>
        <w:t xml:space="preserve"> can only capture problems that consumers are aware of. The assessment of online retailers</w:t>
      </w:r>
      <w:r w:rsidR="004456F1">
        <w:t>’</w:t>
      </w:r>
      <w:r>
        <w:t xml:space="preserve"> compliance with the relevant EU consumer legislation therefore</w:t>
      </w:r>
      <w:r w:rsidR="00EE5DD1">
        <w:t xml:space="preserve"> </w:t>
      </w:r>
      <w:r w:rsidR="00F71C44">
        <w:t>also includes an</w:t>
      </w:r>
      <w:r>
        <w:t xml:space="preserve"> EU-wide screening of websites in particular </w:t>
      </w:r>
      <w:r w:rsidRPr="003B74C4">
        <w:t>sector</w:t>
      </w:r>
      <w:r>
        <w:t>s</w:t>
      </w:r>
      <w:r w:rsidRPr="003B74C4">
        <w:t xml:space="preserve"> (</w:t>
      </w:r>
      <w:r w:rsidR="004456F1">
        <w:t>‘</w:t>
      </w:r>
      <w:r w:rsidRPr="003B74C4">
        <w:t>EU sweep</w:t>
      </w:r>
      <w:r>
        <w:t>s</w:t>
      </w:r>
      <w:r w:rsidR="004456F1">
        <w:t>’</w:t>
      </w:r>
      <w:r w:rsidRPr="004456F1">
        <w:t>). Sweep</w:t>
      </w:r>
      <w:r w:rsidR="006B11F4">
        <w:t>s</w:t>
      </w:r>
      <w:r w:rsidRPr="003B74C4">
        <w:t xml:space="preserve"> are </w:t>
      </w:r>
      <w:r>
        <w:t xml:space="preserve">conducted, under </w:t>
      </w:r>
      <w:r w:rsidR="00F07893" w:rsidRPr="007C360B">
        <w:t xml:space="preserve">a coordination facilitated by </w:t>
      </w:r>
      <w:r w:rsidR="00F07893">
        <w:t>t</w:t>
      </w:r>
      <w:r w:rsidR="006B11F4">
        <w:t>he</w:t>
      </w:r>
      <w:r w:rsidRPr="004456F1">
        <w:t xml:space="preserve"> Commission</w:t>
      </w:r>
      <w:r>
        <w:t>, by national consumer protection authorities</w:t>
      </w:r>
      <w:r>
        <w:rPr>
          <w:rStyle w:val="FootnoteReference"/>
        </w:rPr>
        <w:footnoteReference w:id="66"/>
      </w:r>
      <w:r w:rsidRPr="006A44DB">
        <w:t>.</w:t>
      </w:r>
    </w:p>
    <w:p w:rsidR="00E6275D" w:rsidRPr="00AB32E0" w:rsidRDefault="00E6275D" w:rsidP="00E6275D">
      <w:pPr>
        <w:autoSpaceDE w:val="0"/>
        <w:autoSpaceDN w:val="0"/>
        <w:adjustRightInd w:val="0"/>
        <w:spacing w:after="0"/>
      </w:pPr>
      <w:r>
        <w:t>Two EU sweeps</w:t>
      </w:r>
      <w:r w:rsidRPr="00976590">
        <w:t xml:space="preserve"> have been carried out since </w:t>
      </w:r>
      <w:r>
        <w:t xml:space="preserve">the last Scoreboard </w:t>
      </w:r>
      <w:r w:rsidR="00975508">
        <w:t>was published</w:t>
      </w:r>
      <w:r>
        <w:t>:</w:t>
      </w:r>
    </w:p>
    <w:p w:rsidR="00E6275D" w:rsidRDefault="00E6275D" w:rsidP="00471146">
      <w:pPr>
        <w:numPr>
          <w:ilvl w:val="0"/>
          <w:numId w:val="40"/>
        </w:numPr>
        <w:shd w:val="clear" w:color="auto" w:fill="FFFFFF"/>
        <w:spacing w:after="0"/>
        <w:ind w:left="714" w:hanging="357"/>
      </w:pPr>
      <w:r w:rsidRPr="00AB32E0">
        <w:t xml:space="preserve">In summer 2013, national authorities checked </w:t>
      </w:r>
      <w:r w:rsidR="007479B0">
        <w:t>a</w:t>
      </w:r>
      <w:r w:rsidR="007479B0" w:rsidRPr="004456F1">
        <w:t xml:space="preserve"> </w:t>
      </w:r>
      <w:r w:rsidRPr="00AB32E0">
        <w:t>total</w:t>
      </w:r>
      <w:r w:rsidR="007479B0">
        <w:t xml:space="preserve"> of</w:t>
      </w:r>
      <w:r w:rsidRPr="00AB32E0">
        <w:t xml:space="preserve"> 552 websites selling </w:t>
      </w:r>
      <w:r w:rsidRPr="00AB32E0">
        <w:rPr>
          <w:b/>
        </w:rPr>
        <w:t>air travel and hotel accommodation</w:t>
      </w:r>
      <w:r w:rsidRPr="00AB32E0">
        <w:t>, including websites of both traders and intermediaries. Out of these, 69</w:t>
      </w:r>
      <w:r w:rsidR="004456F1" w:rsidRPr="004456F1">
        <w:rPr>
          <w:w w:val="50"/>
        </w:rPr>
        <w:t> </w:t>
      </w:r>
      <w:r w:rsidRPr="00AB32E0">
        <w:t xml:space="preserve">% (382 websites) were found to be non-compliant with EU consumer law. The biggest </w:t>
      </w:r>
      <w:r w:rsidRPr="004456F1">
        <w:t>problem</w:t>
      </w:r>
      <w:r w:rsidR="007479B0">
        <w:t>s</w:t>
      </w:r>
      <w:r w:rsidRPr="00AB32E0">
        <w:t xml:space="preserve"> were </w:t>
      </w:r>
      <w:r w:rsidR="007479B0">
        <w:t>a</w:t>
      </w:r>
      <w:r w:rsidRPr="00AB32E0">
        <w:t xml:space="preserve"> lack of information about the trader’s identity (in particular their email address) and instructions on how to complain. In addition, certain ancillary services (such as additional baggage, insurance or priority boarding) were not offered on an opt-in basis, as they are pre-ticked on the websites. </w:t>
      </w:r>
      <w:r w:rsidR="007479B0">
        <w:t>Also</w:t>
      </w:r>
      <w:r w:rsidRPr="00AB32E0">
        <w:t xml:space="preserve">, consumers were not given the total price of the service upfront, </w:t>
      </w:r>
      <w:r w:rsidR="003E0B61">
        <w:t xml:space="preserve">which </w:t>
      </w:r>
      <w:r w:rsidR="007479B0">
        <w:t>meant that they were</w:t>
      </w:r>
      <w:r w:rsidRPr="00AB32E0">
        <w:t xml:space="preserve"> not able to easily compare different offers. National enforcers contacted the companies in question to bring </w:t>
      </w:r>
      <w:r w:rsidR="003E0B61" w:rsidRPr="004456F1">
        <w:t>the</w:t>
      </w:r>
      <w:r w:rsidR="003E0B61">
        <w:t>m</w:t>
      </w:r>
      <w:r w:rsidR="003E0B61" w:rsidRPr="004456F1">
        <w:t xml:space="preserve"> </w:t>
      </w:r>
      <w:r w:rsidRPr="004456F1">
        <w:t>in</w:t>
      </w:r>
      <w:r w:rsidR="003E0B61">
        <w:t>to</w:t>
      </w:r>
      <w:r w:rsidRPr="00AB32E0">
        <w:t xml:space="preserve"> line with EU consumer law. As a result, around half of the </w:t>
      </w:r>
      <w:r w:rsidR="003E0B61">
        <w:t>no</w:t>
      </w:r>
      <w:r w:rsidR="003E0B61" w:rsidRPr="004456F1">
        <w:t>n</w:t>
      </w:r>
      <w:r w:rsidR="003E0B61">
        <w:t>-</w:t>
      </w:r>
      <w:r w:rsidR="003E0B61" w:rsidRPr="004456F1">
        <w:t>compliant</w:t>
      </w:r>
      <w:r w:rsidRPr="00AB32E0">
        <w:t xml:space="preserve"> websites had been corrected (by April 2014), with the remaining ones subject to further proceedings.</w:t>
      </w:r>
      <w:r w:rsidRPr="00AB32E0">
        <w:rPr>
          <w:rStyle w:val="FootnoteReference"/>
        </w:rPr>
        <w:footnoteReference w:id="67"/>
      </w:r>
    </w:p>
    <w:p w:rsidR="00E6275D" w:rsidRPr="00F407E8" w:rsidRDefault="00E6275D" w:rsidP="00471146">
      <w:pPr>
        <w:numPr>
          <w:ilvl w:val="0"/>
          <w:numId w:val="40"/>
        </w:numPr>
        <w:shd w:val="clear" w:color="auto" w:fill="FFFFFF"/>
        <w:spacing w:after="0"/>
        <w:ind w:left="714" w:hanging="357"/>
      </w:pPr>
      <w:r w:rsidRPr="00F407E8">
        <w:rPr>
          <w:rFonts w:eastAsia="Calibri"/>
        </w:rPr>
        <w:t xml:space="preserve">In autumn 2014, </w:t>
      </w:r>
      <w:r w:rsidRPr="00AB32E0">
        <w:t xml:space="preserve">the sweep on </w:t>
      </w:r>
      <w:r w:rsidRPr="00F407E8">
        <w:rPr>
          <w:b/>
        </w:rPr>
        <w:t xml:space="preserve">legal and commercial guarantees in </w:t>
      </w:r>
      <w:r w:rsidR="003E0B61">
        <w:rPr>
          <w:b/>
        </w:rPr>
        <w:t>the</w:t>
      </w:r>
      <w:r w:rsidRPr="004456F1">
        <w:rPr>
          <w:b/>
        </w:rPr>
        <w:t xml:space="preserve"> </w:t>
      </w:r>
      <w:r w:rsidRPr="00F407E8">
        <w:rPr>
          <w:b/>
        </w:rPr>
        <w:t>consumer electronics sector</w:t>
      </w:r>
      <w:r w:rsidRPr="00AB32E0">
        <w:t xml:space="preserve"> took place. Out of the </w:t>
      </w:r>
      <w:r w:rsidRPr="00F407E8">
        <w:rPr>
          <w:rFonts w:eastAsia="Calibri"/>
        </w:rPr>
        <w:t xml:space="preserve">total </w:t>
      </w:r>
      <w:r w:rsidR="003E0B61">
        <w:rPr>
          <w:rFonts w:eastAsia="Calibri"/>
        </w:rPr>
        <w:t>of</w:t>
      </w:r>
      <w:r w:rsidRPr="004456F1">
        <w:rPr>
          <w:rFonts w:eastAsia="Calibri"/>
        </w:rPr>
        <w:t xml:space="preserve"> </w:t>
      </w:r>
      <w:r w:rsidRPr="00F407E8">
        <w:rPr>
          <w:rFonts w:eastAsia="Calibri"/>
        </w:rPr>
        <w:t xml:space="preserve">437 websites </w:t>
      </w:r>
      <w:r w:rsidRPr="00AB32E0">
        <w:t xml:space="preserve">checked, </w:t>
      </w:r>
      <w:r w:rsidRPr="00F407E8">
        <w:rPr>
          <w:rFonts w:eastAsia="Calibri"/>
        </w:rPr>
        <w:t>54</w:t>
      </w:r>
      <w:r w:rsidR="004456F1" w:rsidRPr="004456F1">
        <w:rPr>
          <w:rFonts w:eastAsia="Calibri"/>
          <w:w w:val="50"/>
        </w:rPr>
        <w:t> </w:t>
      </w:r>
      <w:r w:rsidRPr="00F407E8">
        <w:rPr>
          <w:rFonts w:eastAsia="Calibri"/>
        </w:rPr>
        <w:t>% (235</w:t>
      </w:r>
      <w:r w:rsidRPr="00AB32E0">
        <w:t xml:space="preserve"> websites)</w:t>
      </w:r>
      <w:r w:rsidRPr="00F407E8">
        <w:rPr>
          <w:rFonts w:eastAsia="Calibri"/>
        </w:rPr>
        <w:t xml:space="preserve"> were found to be non-compliant with EU consumer law regarding information obligations about the statutory and commercial guarantees.</w:t>
      </w:r>
      <w:r w:rsidRPr="00AB32E0">
        <w:t xml:space="preserve"> The most prevalent problem was the lack of</w:t>
      </w:r>
      <w:r w:rsidR="003E0B61">
        <w:t xml:space="preserve"> a</w:t>
      </w:r>
      <w:r w:rsidRPr="00AB32E0">
        <w:t xml:space="preserve"> reminder about the legal guarantee of conformity for goods. In addition, commercial guarantees were presented in a misleading way (e.g. in relation to their duration and territorial scope) and did not clearly state that consumer rights under the legal guarantee are not affected. Finally, a significant proportion of websites contained incomplete or misleading information about the </w:t>
      </w:r>
      <w:r w:rsidRPr="004456F1">
        <w:t>trader</w:t>
      </w:r>
      <w:r w:rsidR="004456F1">
        <w:t>’</w:t>
      </w:r>
      <w:r w:rsidRPr="004456F1">
        <w:t>s</w:t>
      </w:r>
      <w:r w:rsidRPr="00AB32E0">
        <w:t xml:space="preserve"> name, geographical or email addresses. Following the action by national enforcers, </w:t>
      </w:r>
      <w:r w:rsidRPr="00AD4313">
        <w:t>157 websites had been corrected and 78 websites were subject to further enforcement actions (as of June 2015).</w:t>
      </w:r>
      <w:r w:rsidRPr="00AD4313">
        <w:rPr>
          <w:rStyle w:val="FootnoteReference"/>
        </w:rPr>
        <w:footnoteReference w:id="68"/>
      </w:r>
    </w:p>
    <w:p w:rsidR="00E6275D" w:rsidRDefault="00E6275D" w:rsidP="00E6275D">
      <w:pPr>
        <w:spacing w:after="0"/>
      </w:pPr>
      <w:r>
        <w:t xml:space="preserve">In addition to the EU sweeps, in March 2014 </w:t>
      </w:r>
      <w:r w:rsidRPr="0058163D">
        <w:rPr>
          <w:b/>
        </w:rPr>
        <w:t>t</w:t>
      </w:r>
      <w:r w:rsidRPr="008A62BE">
        <w:rPr>
          <w:b/>
        </w:rPr>
        <w:t xml:space="preserve">he </w:t>
      </w:r>
      <w:r>
        <w:rPr>
          <w:b/>
        </w:rPr>
        <w:t>screening</w:t>
      </w:r>
      <w:r w:rsidRPr="0058163D">
        <w:rPr>
          <w:b/>
        </w:rPr>
        <w:t xml:space="preserve"> of 2</w:t>
      </w:r>
      <w:r w:rsidR="004456F1" w:rsidRPr="004456F1">
        <w:rPr>
          <w:b/>
          <w:w w:val="50"/>
        </w:rPr>
        <w:t> </w:t>
      </w:r>
      <w:r w:rsidRPr="0058163D">
        <w:rPr>
          <w:b/>
        </w:rPr>
        <w:t xml:space="preserve">682 websites </w:t>
      </w:r>
      <w:r w:rsidRPr="00006CC3">
        <w:t>covering all 28</w:t>
      </w:r>
      <w:r w:rsidRPr="004456F1">
        <w:t xml:space="preserve"> </w:t>
      </w:r>
      <w:r w:rsidR="003E0B61">
        <w:t>EU</w:t>
      </w:r>
      <w:r w:rsidRPr="00006CC3">
        <w:t xml:space="preserve"> Member States </w:t>
      </w:r>
      <w:r>
        <w:t xml:space="preserve">was carried out on behalf of the </w:t>
      </w:r>
      <w:r w:rsidRPr="00CF2732">
        <w:t>Commission</w:t>
      </w:r>
      <w:r w:rsidR="00CF2732" w:rsidRPr="00CF2732">
        <w:t xml:space="preserve"> </w:t>
      </w:r>
      <w:r>
        <w:rPr>
          <w:rStyle w:val="FootnoteReference"/>
        </w:rPr>
        <w:footnoteReference w:id="69"/>
      </w:r>
      <w:r>
        <w:t xml:space="preserve"> to assess the state of compliance with key consumer laws. The websites were screened in five key sectors: </w:t>
      </w:r>
      <w:r w:rsidRPr="00006CC3">
        <w:t>clothing and sports goods (sport shoes), electronic goods (tablets), package travel (flight and hotel package holiday), recreation a</w:t>
      </w:r>
      <w:r>
        <w:t>nd culture (tickets for events),</w:t>
      </w:r>
      <w:r w:rsidRPr="00006CC3">
        <w:t xml:space="preserve"> and financial services (</w:t>
      </w:r>
      <w:r w:rsidR="002674A7" w:rsidRPr="004456F1">
        <w:t>short</w:t>
      </w:r>
      <w:r w:rsidR="002674A7">
        <w:t>-</w:t>
      </w:r>
      <w:r w:rsidRPr="00006CC3">
        <w:t>term consumer credit)</w:t>
      </w:r>
      <w:r>
        <w:rPr>
          <w:rStyle w:val="FootnoteReference"/>
        </w:rPr>
        <w:footnoteReference w:id="70"/>
      </w:r>
      <w:r w:rsidRPr="00006CC3">
        <w:t xml:space="preserve">. </w:t>
      </w:r>
    </w:p>
    <w:p w:rsidR="00E6275D" w:rsidRDefault="00E6275D" w:rsidP="00E6275D">
      <w:pPr>
        <w:spacing w:after="0"/>
      </w:pPr>
      <w:r>
        <w:t xml:space="preserve">The </w:t>
      </w:r>
      <w:r w:rsidR="002674A7">
        <w:t>results were as follows</w:t>
      </w:r>
      <w:r>
        <w:t xml:space="preserve">:  </w:t>
      </w:r>
    </w:p>
    <w:p w:rsidR="00E6275D" w:rsidRDefault="00E6275D" w:rsidP="00E6275D">
      <w:pPr>
        <w:numPr>
          <w:ilvl w:val="0"/>
          <w:numId w:val="33"/>
        </w:numPr>
        <w:spacing w:before="0" w:after="0"/>
      </w:pPr>
      <w:r w:rsidRPr="0001788D">
        <w:rPr>
          <w:b/>
          <w:lang w:val="en-US"/>
        </w:rPr>
        <w:t>Contact information</w:t>
      </w:r>
      <w:r>
        <w:t>: both business address and telephone number contact information was provided frequently across all sectors. In contrast, the number of instances where more than 20</w:t>
      </w:r>
      <w:r w:rsidR="004456F1" w:rsidRPr="004456F1">
        <w:rPr>
          <w:w w:val="50"/>
        </w:rPr>
        <w:t> </w:t>
      </w:r>
      <w:r>
        <w:t>% of websites did not provide an email address was much higher</w:t>
      </w:r>
      <w:r w:rsidR="002674A7">
        <w:t>.</w:t>
      </w:r>
    </w:p>
    <w:p w:rsidR="00E6275D" w:rsidRDefault="00E6275D" w:rsidP="00E6275D">
      <w:pPr>
        <w:numPr>
          <w:ilvl w:val="0"/>
          <w:numId w:val="33"/>
        </w:numPr>
        <w:spacing w:before="0" w:after="0"/>
      </w:pPr>
      <w:r w:rsidRPr="00184C21">
        <w:rPr>
          <w:b/>
        </w:rPr>
        <w:t>Relevant product information</w:t>
      </w:r>
      <w:r>
        <w:t xml:space="preserve"> was available in most sectors and countries, the exception being consumer credit, where in a large number of Member States (11 in total) more than 20</w:t>
      </w:r>
      <w:r w:rsidR="004456F1" w:rsidRPr="004456F1">
        <w:rPr>
          <w:w w:val="50"/>
        </w:rPr>
        <w:t> </w:t>
      </w:r>
      <w:r>
        <w:t xml:space="preserve">% of surveyed websites did not provide relevant information (in this particular case: the </w:t>
      </w:r>
      <w:r w:rsidR="002674A7">
        <w:t>a</w:t>
      </w:r>
      <w:r w:rsidRPr="004456F1">
        <w:t xml:space="preserve">nnual </w:t>
      </w:r>
      <w:r w:rsidR="002674A7">
        <w:t>p</w:t>
      </w:r>
      <w:r w:rsidRPr="004456F1">
        <w:t xml:space="preserve">ercentage </w:t>
      </w:r>
      <w:r w:rsidR="002674A7">
        <w:t>r</w:t>
      </w:r>
      <w:r>
        <w:t xml:space="preserve">ate of </w:t>
      </w:r>
      <w:r w:rsidR="002674A7">
        <w:t>c</w:t>
      </w:r>
      <w:r w:rsidRPr="004456F1">
        <w:t>harge</w:t>
      </w:r>
      <w:r w:rsidR="002674A7">
        <w:t xml:space="preserve"> (APR)</w:t>
      </w:r>
      <w:r w:rsidRPr="004456F1">
        <w:t>;</w:t>
      </w:r>
      <w:r>
        <w:t xml:space="preserve"> and an indication of the total cost of credit that a loan at a certain APR would incur). In a further seven Member States</w:t>
      </w:r>
      <w:r w:rsidR="002674A7">
        <w:t>,</w:t>
      </w:r>
      <w:r>
        <w:t xml:space="preserve"> 12</w:t>
      </w:r>
      <w:r w:rsidR="004456F1" w:rsidRPr="004456F1">
        <w:rPr>
          <w:w w:val="50"/>
        </w:rPr>
        <w:t> </w:t>
      </w:r>
      <w:r>
        <w:t>%-20</w:t>
      </w:r>
      <w:r w:rsidR="004456F1" w:rsidRPr="004456F1">
        <w:rPr>
          <w:w w:val="50"/>
        </w:rPr>
        <w:t> </w:t>
      </w:r>
      <w:r>
        <w:t xml:space="preserve">% were found not </w:t>
      </w:r>
      <w:r w:rsidR="002674A7">
        <w:t>to</w:t>
      </w:r>
      <w:r w:rsidRPr="004456F1">
        <w:t xml:space="preserve"> </w:t>
      </w:r>
      <w:r>
        <w:t>provide this information</w:t>
      </w:r>
      <w:r w:rsidR="002674A7">
        <w:t>.</w:t>
      </w:r>
    </w:p>
    <w:p w:rsidR="00E6275D" w:rsidRDefault="00E6275D" w:rsidP="00E6275D">
      <w:pPr>
        <w:numPr>
          <w:ilvl w:val="0"/>
          <w:numId w:val="33"/>
        </w:numPr>
        <w:spacing w:before="0" w:after="0"/>
      </w:pPr>
      <w:r>
        <w:t xml:space="preserve">Researchers also looked </w:t>
      </w:r>
      <w:r w:rsidRPr="00184C21">
        <w:rPr>
          <w:b/>
        </w:rPr>
        <w:t>for information on price and payment methods</w:t>
      </w:r>
      <w:r>
        <w:t xml:space="preserve">, and compared the initial advertised price with the last price displayed before it was necessary to enter payment details. For all of the four sectors where this comparison applied (i.e. all except consumer credit), there was a high rate of inconsistency between the initially stated price and </w:t>
      </w:r>
      <w:r w:rsidR="002674A7">
        <w:t>the</w:t>
      </w:r>
      <w:r w:rsidRPr="004456F1">
        <w:t xml:space="preserve"> </w:t>
      </w:r>
      <w:r>
        <w:t xml:space="preserve">final price the consumer was requested to pay. </w:t>
      </w:r>
      <w:r w:rsidRPr="00EB0F24">
        <w:t>This inconsistency was observed in 33</w:t>
      </w:r>
      <w:r w:rsidR="004456F1" w:rsidRPr="004456F1">
        <w:rPr>
          <w:w w:val="50"/>
        </w:rPr>
        <w:t> </w:t>
      </w:r>
      <w:r w:rsidRPr="00EB0F24">
        <w:t xml:space="preserve">% of websites in the </w:t>
      </w:r>
      <w:r w:rsidR="002674A7" w:rsidRPr="004456F1">
        <w:t>cloth</w:t>
      </w:r>
      <w:r w:rsidR="002674A7">
        <w:t>ing</w:t>
      </w:r>
      <w:r w:rsidR="002674A7" w:rsidRPr="004456F1">
        <w:t xml:space="preserve"> </w:t>
      </w:r>
      <w:r w:rsidRPr="00EB0F24">
        <w:t>and sports goods</w:t>
      </w:r>
      <w:r>
        <w:t xml:space="preserve"> </w:t>
      </w:r>
      <w:r w:rsidRPr="00EB0F24">
        <w:t>sector, in 26</w:t>
      </w:r>
      <w:r w:rsidR="004456F1" w:rsidRPr="004456F1">
        <w:rPr>
          <w:w w:val="50"/>
        </w:rPr>
        <w:t> </w:t>
      </w:r>
      <w:r w:rsidRPr="00EB0F24">
        <w:t>% of websites in the electronic goods sector, in 48</w:t>
      </w:r>
      <w:r w:rsidR="004456F1" w:rsidRPr="004456F1">
        <w:rPr>
          <w:w w:val="50"/>
        </w:rPr>
        <w:t> </w:t>
      </w:r>
      <w:r w:rsidRPr="00EB0F24">
        <w:t>% of websites in the package travel sector, and in 19</w:t>
      </w:r>
      <w:r w:rsidR="004456F1" w:rsidRPr="004456F1">
        <w:rPr>
          <w:w w:val="50"/>
        </w:rPr>
        <w:t> </w:t>
      </w:r>
      <w:r w:rsidRPr="00EB0F24">
        <w:t>% of websites in the recreation and culture sector.</w:t>
      </w:r>
    </w:p>
    <w:p w:rsidR="00E6275D" w:rsidRDefault="00E6275D" w:rsidP="00E6275D">
      <w:pPr>
        <w:numPr>
          <w:ilvl w:val="0"/>
          <w:numId w:val="33"/>
        </w:numPr>
        <w:spacing w:before="0" w:after="0"/>
      </w:pPr>
      <w:r>
        <w:t xml:space="preserve">Information concerning </w:t>
      </w:r>
      <w:r w:rsidRPr="00184C21">
        <w:rPr>
          <w:b/>
        </w:rPr>
        <w:t xml:space="preserve">the right </w:t>
      </w:r>
      <w:r w:rsidR="002674A7">
        <w:rPr>
          <w:b/>
        </w:rPr>
        <w:t>of</w:t>
      </w:r>
      <w:r w:rsidR="002674A7" w:rsidRPr="004456F1">
        <w:rPr>
          <w:b/>
        </w:rPr>
        <w:t xml:space="preserve"> </w:t>
      </w:r>
      <w:r w:rsidRPr="00184C21">
        <w:rPr>
          <w:b/>
        </w:rPr>
        <w:t>withdrawal</w:t>
      </w:r>
      <w:r>
        <w:t xml:space="preserve"> was also absent in a significant number of cases: in the electronic goods</w:t>
      </w:r>
      <w:r w:rsidR="00A87904" w:rsidRPr="00A87904">
        <w:t xml:space="preserve"> </w:t>
      </w:r>
      <w:r w:rsidR="00A87904" w:rsidRPr="004456F1">
        <w:t>sector</w:t>
      </w:r>
      <w:r>
        <w:t>, in six countries more than 20</w:t>
      </w:r>
      <w:r w:rsidR="004456F1" w:rsidRPr="004456F1">
        <w:rPr>
          <w:w w:val="50"/>
        </w:rPr>
        <w:t> </w:t>
      </w:r>
      <w:r>
        <w:t>% of surveyed websites did not provide clearly worded information on consumers</w:t>
      </w:r>
      <w:r w:rsidR="004456F1">
        <w:t>’</w:t>
      </w:r>
      <w:r>
        <w:t xml:space="preserve"> right to withdraw; in the cloth</w:t>
      </w:r>
      <w:r w:rsidR="001028C2">
        <w:t>ing</w:t>
      </w:r>
      <w:r>
        <w:t xml:space="preserve"> and sports goods</w:t>
      </w:r>
      <w:r w:rsidR="001028C2">
        <w:t xml:space="preserve"> sector</w:t>
      </w:r>
      <w:r>
        <w:t>, this was the case in three countries</w:t>
      </w:r>
      <w:r w:rsidR="001028C2">
        <w:t>.</w:t>
      </w:r>
    </w:p>
    <w:p w:rsidR="00E6275D" w:rsidRDefault="00E6275D" w:rsidP="00E6275D">
      <w:pPr>
        <w:numPr>
          <w:ilvl w:val="0"/>
          <w:numId w:val="33"/>
        </w:numPr>
        <w:spacing w:before="0" w:after="0"/>
      </w:pPr>
      <w:r w:rsidRPr="00184C21">
        <w:rPr>
          <w:b/>
        </w:rPr>
        <w:t xml:space="preserve">Information on delivery </w:t>
      </w:r>
      <w:r>
        <w:t>was also found to be absent in over 20</w:t>
      </w:r>
      <w:r w:rsidR="004456F1" w:rsidRPr="004456F1">
        <w:rPr>
          <w:w w:val="50"/>
        </w:rPr>
        <w:t> </w:t>
      </w:r>
      <w:r>
        <w:t>% of websites selling electronic goods and tickets for entertainment events (where the e-ticket option to print the ticket was not available) in a significant number of Member States</w:t>
      </w:r>
      <w:r w:rsidR="001028C2">
        <w:t>.</w:t>
      </w:r>
    </w:p>
    <w:p w:rsidR="00E6275D" w:rsidRDefault="00E6275D" w:rsidP="00E6275D">
      <w:pPr>
        <w:numPr>
          <w:ilvl w:val="0"/>
          <w:numId w:val="33"/>
        </w:numPr>
        <w:spacing w:before="0" w:after="0"/>
      </w:pPr>
      <w:r>
        <w:t>Across all sectors, websites used in Austria, Czech Republic, Germany, Denmark, Hungary and Sweden were found to provide the most information.</w:t>
      </w:r>
    </w:p>
    <w:p w:rsidR="00E6275D" w:rsidRDefault="005269EB" w:rsidP="00E6275D">
      <w:pPr>
        <w:autoSpaceDE w:val="0"/>
        <w:autoSpaceDN w:val="0"/>
        <w:adjustRightInd w:val="0"/>
        <w:spacing w:after="0"/>
      </w:pPr>
      <w:r>
        <w:t xml:space="preserve">Figure </w:t>
      </w:r>
      <w:r>
        <w:rPr>
          <w:noProof/>
        </w:rPr>
        <w:t>42</w:t>
      </w:r>
      <w:r w:rsidR="007F2D0A">
        <w:t xml:space="preserve"> </w:t>
      </w:r>
      <w:r w:rsidR="00E6275D" w:rsidRPr="00CF6A3D">
        <w:t xml:space="preserve">visualises the results </w:t>
      </w:r>
      <w:r w:rsidR="00A87904">
        <w:t>by means</w:t>
      </w:r>
      <w:r w:rsidR="00E6275D" w:rsidRPr="00CF6A3D">
        <w:t xml:space="preserve"> of colour coding. While greenish colours indicate low percentages of websites lacking relevant information, reddish colours indicate </w:t>
      </w:r>
      <w:r w:rsidR="00E709C0">
        <w:t>higher</w:t>
      </w:r>
      <w:r w:rsidR="00E709C0" w:rsidRPr="004456F1">
        <w:t xml:space="preserve"> </w:t>
      </w:r>
      <w:r w:rsidR="00E6275D" w:rsidRPr="00CF6A3D">
        <w:t xml:space="preserve">percentages of such websites. The </w:t>
      </w:r>
      <w:r w:rsidR="004456F1">
        <w:t>‘</w:t>
      </w:r>
      <w:r w:rsidR="00E6275D" w:rsidRPr="00CF6A3D">
        <w:t>bright red</w:t>
      </w:r>
      <w:r w:rsidR="004456F1">
        <w:t>’</w:t>
      </w:r>
      <w:r w:rsidR="00E6275D" w:rsidRPr="00CF6A3D">
        <w:t xml:space="preserve"> </w:t>
      </w:r>
      <w:r w:rsidR="00E6275D">
        <w:t xml:space="preserve">colour </w:t>
      </w:r>
      <w:r w:rsidR="00E6275D" w:rsidRPr="00CF6A3D">
        <w:t>indicates that more than 20</w:t>
      </w:r>
      <w:r w:rsidR="004456F1" w:rsidRPr="004456F1">
        <w:rPr>
          <w:w w:val="50"/>
        </w:rPr>
        <w:t> </w:t>
      </w:r>
      <w:r w:rsidR="00E6275D" w:rsidRPr="00CF6A3D">
        <w:t>% of surveyed websites in the specific sector and Member State do not provide the indicated information.</w:t>
      </w:r>
    </w:p>
    <w:p w:rsidR="00E6275D" w:rsidRDefault="00E6275D" w:rsidP="00E6275D">
      <w:pPr>
        <w:spacing w:before="0" w:after="0"/>
        <w:sectPr w:rsidR="00E6275D" w:rsidSect="00AF6267">
          <w:headerReference w:type="even" r:id="rId77"/>
          <w:headerReference w:type="default" r:id="rId78"/>
          <w:footerReference w:type="even" r:id="rId79"/>
          <w:footerReference w:type="default" r:id="rId80"/>
          <w:headerReference w:type="first" r:id="rId81"/>
          <w:footerReference w:type="first" r:id="rId82"/>
          <w:pgSz w:w="11906" w:h="16838"/>
          <w:pgMar w:top="1417" w:right="1417" w:bottom="1417" w:left="1417" w:header="708" w:footer="708" w:gutter="0"/>
          <w:cols w:space="708"/>
          <w:docGrid w:linePitch="360"/>
        </w:sectPr>
      </w:pPr>
    </w:p>
    <w:p w:rsidR="00BD031C" w:rsidRDefault="000655AD" w:rsidP="000655AD">
      <w:pPr>
        <w:pStyle w:val="Caption"/>
      </w:pPr>
      <w:bookmarkStart w:id="4" w:name="_Ref425944908"/>
      <w:bookmarkStart w:id="5" w:name="_Ref422412329"/>
      <w:r>
        <w:t xml:space="preserve">Figure </w:t>
      </w:r>
      <w:r w:rsidR="005269EB">
        <w:rPr>
          <w:noProof/>
        </w:rPr>
        <w:t>42</w:t>
      </w:r>
      <w:bookmarkEnd w:id="4"/>
      <w:r>
        <w:t xml:space="preserve">: </w:t>
      </w:r>
      <w:r w:rsidRPr="00B21B90">
        <w:t>Overview of results (percentage of surveyed websites on which indicated information was not available*)</w:t>
      </w:r>
      <w:bookmarkEnd w:id="5"/>
    </w:p>
    <w:p w:rsidR="00BD031C" w:rsidRDefault="008B418B" w:rsidP="00BD031C">
      <w:pPr>
        <w:pStyle w:val="Figure"/>
        <w:ind w:left="0" w:firstLine="0"/>
        <w:rPr>
          <w:color w:val="auto"/>
        </w:rPr>
      </w:pPr>
      <w:r>
        <w:rPr>
          <w:noProof/>
          <w:color w:val="auto"/>
          <w:lang w:eastAsia="en-GB"/>
        </w:rPr>
        <w:drawing>
          <wp:inline distT="0" distB="0" distL="0" distR="0" wp14:anchorId="04C3F460" wp14:editId="6C82CCDB">
            <wp:extent cx="3143250" cy="171450"/>
            <wp:effectExtent l="0" t="0" r="0" b="0"/>
            <wp:docPr id="43"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43250" cy="171450"/>
                    </a:xfrm>
                    <a:prstGeom prst="rect">
                      <a:avLst/>
                    </a:prstGeom>
                    <a:noFill/>
                    <a:ln>
                      <a:noFill/>
                    </a:ln>
                  </pic:spPr>
                </pic:pic>
              </a:graphicData>
            </a:graphic>
          </wp:inline>
        </w:drawing>
      </w:r>
    </w:p>
    <w:p w:rsidR="00BD031C" w:rsidRPr="007F2D0A" w:rsidRDefault="008B418B" w:rsidP="002716FC">
      <w:pPr>
        <w:pStyle w:val="Text1"/>
        <w:keepNext/>
        <w:spacing w:before="0" w:after="0"/>
        <w:ind w:left="0"/>
        <w:rPr>
          <w:noProof/>
          <w:lang w:eastAsia="en-GB"/>
        </w:rPr>
      </w:pPr>
      <w:r>
        <w:rPr>
          <w:noProof/>
          <w:lang w:eastAsia="en-GB"/>
        </w:rPr>
        <w:drawing>
          <wp:inline distT="0" distB="0" distL="0" distR="0" wp14:anchorId="70F9E06C" wp14:editId="3D237A9B">
            <wp:extent cx="7772400" cy="392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772400" cy="3924300"/>
                    </a:xfrm>
                    <a:prstGeom prst="rect">
                      <a:avLst/>
                    </a:prstGeom>
                    <a:noFill/>
                    <a:ln>
                      <a:noFill/>
                    </a:ln>
                  </pic:spPr>
                </pic:pic>
              </a:graphicData>
            </a:graphic>
          </wp:inline>
        </w:drawing>
      </w:r>
    </w:p>
    <w:p w:rsidR="00E6275D" w:rsidRDefault="00BD031C" w:rsidP="00BD031C">
      <w:pPr>
        <w:spacing w:after="0"/>
        <w:rPr>
          <w:sz w:val="20"/>
          <w:szCs w:val="20"/>
          <w:lang w:eastAsia="en-GB"/>
        </w:rPr>
      </w:pPr>
      <w:r>
        <w:rPr>
          <w:sz w:val="20"/>
          <w:szCs w:val="20"/>
          <w:lang w:eastAsia="en-GB"/>
        </w:rPr>
        <w:t xml:space="preserve">* For the category </w:t>
      </w:r>
      <w:r w:rsidR="004456F1">
        <w:rPr>
          <w:sz w:val="20"/>
          <w:szCs w:val="20"/>
          <w:lang w:eastAsia="en-GB"/>
        </w:rPr>
        <w:t>‘</w:t>
      </w:r>
      <w:r w:rsidRPr="004456F1">
        <w:rPr>
          <w:sz w:val="20"/>
          <w:szCs w:val="20"/>
          <w:lang w:eastAsia="en-GB"/>
        </w:rPr>
        <w:t>Final</w:t>
      </w:r>
      <w:r>
        <w:rPr>
          <w:sz w:val="20"/>
          <w:szCs w:val="20"/>
          <w:lang w:eastAsia="en-GB"/>
        </w:rPr>
        <w:t xml:space="preserve"> price matches initial price</w:t>
      </w:r>
      <w:r w:rsidR="004456F1">
        <w:rPr>
          <w:sz w:val="20"/>
          <w:szCs w:val="20"/>
          <w:lang w:eastAsia="en-GB"/>
        </w:rPr>
        <w:t>’</w:t>
      </w:r>
      <w:r>
        <w:rPr>
          <w:sz w:val="20"/>
          <w:szCs w:val="20"/>
          <w:lang w:eastAsia="en-GB"/>
        </w:rPr>
        <w:t xml:space="preserve"> this refers to the percentage of websites where prices did not match. For the category </w:t>
      </w:r>
      <w:r w:rsidR="004456F1">
        <w:rPr>
          <w:sz w:val="20"/>
          <w:szCs w:val="20"/>
          <w:lang w:eastAsia="en-GB"/>
        </w:rPr>
        <w:t>‘</w:t>
      </w:r>
      <w:r w:rsidRPr="004456F1">
        <w:rPr>
          <w:sz w:val="20"/>
          <w:szCs w:val="20"/>
          <w:lang w:eastAsia="en-GB"/>
        </w:rPr>
        <w:t>Information</w:t>
      </w:r>
      <w:r>
        <w:rPr>
          <w:sz w:val="20"/>
          <w:szCs w:val="20"/>
          <w:lang w:eastAsia="en-GB"/>
        </w:rPr>
        <w:t xml:space="preserve"> on right to withdraw</w:t>
      </w:r>
      <w:r w:rsidR="004456F1">
        <w:rPr>
          <w:sz w:val="20"/>
          <w:szCs w:val="20"/>
          <w:lang w:eastAsia="en-GB"/>
        </w:rPr>
        <w:t>’</w:t>
      </w:r>
      <w:r>
        <w:rPr>
          <w:sz w:val="20"/>
          <w:szCs w:val="20"/>
          <w:lang w:eastAsia="en-GB"/>
        </w:rPr>
        <w:t xml:space="preserve">, this refers to the percentage of websites for which the information was unclear or not provided. For the category </w:t>
      </w:r>
      <w:r w:rsidR="004456F1">
        <w:rPr>
          <w:sz w:val="20"/>
          <w:szCs w:val="20"/>
          <w:lang w:eastAsia="en-GB"/>
        </w:rPr>
        <w:t>‘</w:t>
      </w:r>
      <w:r w:rsidRPr="004456F1">
        <w:rPr>
          <w:sz w:val="20"/>
          <w:szCs w:val="20"/>
          <w:lang w:eastAsia="en-GB"/>
        </w:rPr>
        <w:t>Product information</w:t>
      </w:r>
      <w:r w:rsidR="004456F1">
        <w:rPr>
          <w:sz w:val="20"/>
          <w:szCs w:val="20"/>
          <w:lang w:eastAsia="en-GB"/>
        </w:rPr>
        <w:t>’</w:t>
      </w:r>
      <w:r>
        <w:rPr>
          <w:sz w:val="20"/>
          <w:szCs w:val="20"/>
          <w:lang w:eastAsia="en-GB"/>
        </w:rPr>
        <w:t>, this refers to the percentage of websites for which none of two specified piec</w:t>
      </w:r>
      <w:r w:rsidR="00E6275D">
        <w:rPr>
          <w:sz w:val="20"/>
          <w:szCs w:val="20"/>
          <w:lang w:eastAsia="en-GB"/>
        </w:rPr>
        <w:t>es of information were provided</w:t>
      </w:r>
      <w:r w:rsidR="001028C2">
        <w:rPr>
          <w:sz w:val="20"/>
          <w:szCs w:val="20"/>
          <w:lang w:eastAsia="en-GB"/>
        </w:rPr>
        <w:t>.</w:t>
      </w:r>
    </w:p>
    <w:p w:rsidR="00E6275D" w:rsidRDefault="00E6275D" w:rsidP="00BD031C">
      <w:pPr>
        <w:spacing w:after="0"/>
        <w:rPr>
          <w:sz w:val="20"/>
          <w:szCs w:val="20"/>
          <w:lang w:eastAsia="en-GB"/>
        </w:rPr>
        <w:sectPr w:rsidR="00E6275D" w:rsidSect="002716FC">
          <w:headerReference w:type="even" r:id="rId85"/>
          <w:headerReference w:type="default" r:id="rId86"/>
          <w:footerReference w:type="even" r:id="rId87"/>
          <w:footerReference w:type="default" r:id="rId88"/>
          <w:headerReference w:type="first" r:id="rId89"/>
          <w:footerReference w:type="first" r:id="rId90"/>
          <w:pgSz w:w="16838" w:h="11906" w:orient="landscape"/>
          <w:pgMar w:top="1418" w:right="1418" w:bottom="1418" w:left="1418" w:header="709" w:footer="709" w:gutter="0"/>
          <w:cols w:space="708"/>
          <w:docGrid w:linePitch="360"/>
        </w:sectPr>
      </w:pPr>
    </w:p>
    <w:p w:rsidR="00821430" w:rsidRDefault="00821430" w:rsidP="00567877">
      <w:pPr>
        <w:pStyle w:val="Heading1"/>
      </w:pPr>
      <w:r>
        <w:t>DETERMINANTS AND CORRELATES OF CONSUMER CONDITIONS</w:t>
      </w:r>
    </w:p>
    <w:p w:rsidR="00821430" w:rsidRDefault="00821430">
      <w:pPr>
        <w:pStyle w:val="Heading2"/>
        <w:numPr>
          <w:ilvl w:val="0"/>
          <w:numId w:val="0"/>
        </w:numPr>
        <w:ind w:left="850" w:hanging="850"/>
      </w:pPr>
      <w:r>
        <w:t>1. Link between consumer conditions and economic, social and governance indicators</w:t>
      </w:r>
    </w:p>
    <w:p w:rsidR="00821430" w:rsidRDefault="00821430">
      <w:r>
        <w:t>This section looks at the relationship between consumer conditions and some other key statistical indicators at country level.</w:t>
      </w:r>
    </w:p>
    <w:p w:rsidR="00821430" w:rsidRDefault="00821430">
      <w:pPr>
        <w:rPr>
          <w:b/>
          <w:i/>
        </w:rPr>
      </w:pPr>
      <w:r>
        <w:rPr>
          <w:b/>
          <w:i/>
        </w:rPr>
        <w:t xml:space="preserve">Consumer conditions appear linked to general economic situation   </w:t>
      </w:r>
    </w:p>
    <w:p w:rsidR="00821430" w:rsidRDefault="00821430">
      <w:r>
        <w:t xml:space="preserve">The Consumer Conditions Index (CCI) is correlated with some key macro-economic indicators, suggesting that a healthy consumer environment is linked to economic growth. While no clear cause-effect can be established, it is plausible to assume that the </w:t>
      </w:r>
      <w:r w:rsidRPr="004456F1">
        <w:t>relation</w:t>
      </w:r>
      <w:r w:rsidR="00F92913">
        <w:t>ship</w:t>
      </w:r>
      <w:r>
        <w:t xml:space="preserve"> works both ways: on the one hand, assessment of</w:t>
      </w:r>
      <w:r w:rsidR="00480337">
        <w:t xml:space="preserve"> the</w:t>
      </w:r>
      <w:r>
        <w:t xml:space="preserve"> consumer environment is influenced by the general economic conditions in the country and, on the other hand, consumers who feel protected, know their consumer rights and seek redress when needed can act as drivers of competition and innovation, which in turn </w:t>
      </w:r>
      <w:r w:rsidRPr="004456F1">
        <w:t>lead</w:t>
      </w:r>
      <w:r w:rsidR="00480337">
        <w:t>s</w:t>
      </w:r>
      <w:r>
        <w:t xml:space="preserve"> to economic growth.</w:t>
      </w:r>
    </w:p>
    <w:p w:rsidR="00821430" w:rsidRDefault="00821430">
      <w:r>
        <w:t xml:space="preserve">Figure </w:t>
      </w:r>
      <w:r w:rsidR="004E4581">
        <w:t>84</w:t>
      </w:r>
      <w:r>
        <w:t xml:space="preserve"> shows that the CCI is strongly correlated (0.76) with the gross adjusted disposable income of households, which is an indicator of consumption affordability in the different Member States</w:t>
      </w:r>
      <w:r>
        <w:rPr>
          <w:rStyle w:val="FootnoteReference"/>
        </w:rPr>
        <w:footnoteReference w:id="71"/>
      </w:r>
      <w:r>
        <w:t xml:space="preserve">. </w:t>
      </w:r>
    </w:p>
    <w:p w:rsidR="00821430" w:rsidRDefault="00ED08B2" w:rsidP="00ED08B2">
      <w:pPr>
        <w:pStyle w:val="Caption"/>
        <w:rPr>
          <w:b w:val="0"/>
        </w:rPr>
      </w:pPr>
      <w:r>
        <w:t xml:space="preserve">Figure </w:t>
      </w:r>
      <w:r w:rsidR="005269EB">
        <w:rPr>
          <w:noProof/>
        </w:rPr>
        <w:t>43</w:t>
      </w:r>
      <w:r w:rsidRPr="0050689D">
        <w:t xml:space="preserve">: Consumer </w:t>
      </w:r>
      <w:r w:rsidR="00480337">
        <w:t>C</w:t>
      </w:r>
      <w:r w:rsidRPr="004456F1">
        <w:t>onditions</w:t>
      </w:r>
      <w:r w:rsidRPr="0050689D">
        <w:t xml:space="preserve"> Index (2014) and </w:t>
      </w:r>
      <w:r w:rsidR="00480337">
        <w:t>g</w:t>
      </w:r>
      <w:r w:rsidRPr="004456F1">
        <w:t xml:space="preserve">ross </w:t>
      </w:r>
      <w:r w:rsidR="00480337">
        <w:t>a</w:t>
      </w:r>
      <w:r w:rsidRPr="004456F1">
        <w:t xml:space="preserve">djusted </w:t>
      </w:r>
      <w:r w:rsidR="00480337">
        <w:t>d</w:t>
      </w:r>
      <w:r w:rsidRPr="0050689D">
        <w:t>isposable income of households per capita in PPS (2012) EU28=100</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15237164" wp14:editId="0BC1BE15">
            <wp:extent cx="4391025" cy="3295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noFill/>
                    <a:ln>
                      <a:noFill/>
                    </a:ln>
                  </pic:spPr>
                </pic:pic>
              </a:graphicData>
            </a:graphic>
          </wp:inline>
        </w:drawing>
      </w:r>
    </w:p>
    <w:p w:rsidR="00821430" w:rsidRDefault="00821430">
      <w:r>
        <w:t>Similar correlations are found between the CCI and other macro-economic indicators such as GDP (0.70) and households’ consumption (0.67).</w:t>
      </w:r>
    </w:p>
    <w:p w:rsidR="00821430" w:rsidRDefault="00821430">
      <w:r>
        <w:t>There is also a strong correlation between the CCI and the global competitiveness index</w:t>
      </w:r>
      <w:r>
        <w:rPr>
          <w:rStyle w:val="FootnoteReference"/>
        </w:rPr>
        <w:footnoteReference w:id="72"/>
      </w:r>
      <w:r>
        <w:t xml:space="preserve"> (0.82). While no clear cause-effect relation can be established, </w:t>
      </w:r>
      <w:r w:rsidR="002C3AF6">
        <w:t>it is likely</w:t>
      </w:r>
      <w:r>
        <w:t xml:space="preserve"> that the quality of </w:t>
      </w:r>
      <w:r w:rsidR="004E4581">
        <w:t xml:space="preserve">the </w:t>
      </w:r>
      <w:r>
        <w:t>consumer environment has an impact on countries</w:t>
      </w:r>
      <w:r w:rsidR="004456F1">
        <w:t>’</w:t>
      </w:r>
      <w:r>
        <w:t xml:space="preserve"> capacity to be competitive.</w:t>
      </w:r>
    </w:p>
    <w:p w:rsidR="00821430" w:rsidRDefault="00ED08B2" w:rsidP="00ED08B2">
      <w:pPr>
        <w:pStyle w:val="Caption"/>
        <w:rPr>
          <w:b w:val="0"/>
        </w:rPr>
      </w:pPr>
      <w:r>
        <w:t xml:space="preserve">Figure </w:t>
      </w:r>
      <w:r w:rsidR="005269EB">
        <w:rPr>
          <w:noProof/>
        </w:rPr>
        <w:t>44</w:t>
      </w:r>
      <w:r>
        <w:t xml:space="preserve">: </w:t>
      </w:r>
      <w:r w:rsidRPr="003B019A">
        <w:t>Consumer conditions Index (2014) and Global Competitiveness Index (2014-2015)</w:t>
      </w:r>
    </w:p>
    <w:p w:rsidR="00821430" w:rsidRDefault="008B418B" w:rsidP="00CF2732">
      <w:pPr>
        <w:pStyle w:val="Text1"/>
        <w:keepNext/>
        <w:spacing w:before="0" w:after="0"/>
        <w:ind w:left="0"/>
        <w:rPr>
          <w:noProof/>
          <w:lang w:eastAsia="en-GB"/>
        </w:rPr>
      </w:pPr>
      <w:r>
        <w:rPr>
          <w:noProof/>
          <w:lang w:eastAsia="en-GB"/>
        </w:rPr>
        <w:drawing>
          <wp:inline distT="0" distB="0" distL="0" distR="0" wp14:anchorId="22A5DA50" wp14:editId="4FB4E8C2">
            <wp:extent cx="5305425" cy="3724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05425" cy="3724275"/>
                    </a:xfrm>
                    <a:prstGeom prst="rect">
                      <a:avLst/>
                    </a:prstGeom>
                    <a:noFill/>
                    <a:ln>
                      <a:noFill/>
                    </a:ln>
                  </pic:spPr>
                </pic:pic>
              </a:graphicData>
            </a:graphic>
          </wp:inline>
        </w:drawing>
      </w:r>
    </w:p>
    <w:p w:rsidR="00821430" w:rsidRDefault="00821430">
      <w:pPr>
        <w:rPr>
          <w:b/>
          <w:i/>
        </w:rPr>
      </w:pPr>
      <w:r>
        <w:rPr>
          <w:b/>
          <w:i/>
        </w:rPr>
        <w:t>Consumer conditions are negatively correlated with poverty and income inequalities</w:t>
      </w:r>
    </w:p>
    <w:p w:rsidR="00821430" w:rsidRDefault="00821430">
      <w:r>
        <w:t xml:space="preserve">The CCI shows a strong negative correlation with the material deprivation rate (-0.79), which measures the percentage of the population </w:t>
      </w:r>
      <w:r w:rsidR="002C3AF6">
        <w:t>that is</w:t>
      </w:r>
      <w:r w:rsidRPr="004456F1">
        <w:t xml:space="preserve"> </w:t>
      </w:r>
      <w:r>
        <w:t>not able to afford some basic items considered by most people to be desirable or even necessary to lead an adequate life</w:t>
      </w:r>
      <w:r>
        <w:rPr>
          <w:rStyle w:val="FootnoteReference"/>
        </w:rPr>
        <w:footnoteReference w:id="73"/>
      </w:r>
      <w:r>
        <w:t xml:space="preserve">.  </w:t>
      </w:r>
    </w:p>
    <w:p w:rsidR="00ED08B2" w:rsidRDefault="00ED08B2" w:rsidP="00ED08B2">
      <w:pPr>
        <w:pStyle w:val="Caption"/>
        <w:rPr>
          <w:noProof/>
          <w:lang w:eastAsia="en-GB"/>
        </w:rPr>
      </w:pPr>
      <w:r>
        <w:t xml:space="preserve">Figure </w:t>
      </w:r>
      <w:r w:rsidR="005269EB">
        <w:rPr>
          <w:noProof/>
        </w:rPr>
        <w:t>45</w:t>
      </w:r>
      <w:r w:rsidRPr="00D25EC6">
        <w:t xml:space="preserve">: Consumer </w:t>
      </w:r>
      <w:r w:rsidR="002C3AF6">
        <w:t>C</w:t>
      </w:r>
      <w:r w:rsidRPr="00D25EC6">
        <w:t>onditions Index (2014) and Material Deprivation Rate (2013)</w:t>
      </w:r>
    </w:p>
    <w:p w:rsidR="00821430" w:rsidRDefault="008B418B" w:rsidP="00CF2732">
      <w:pPr>
        <w:pStyle w:val="Text1"/>
        <w:keepNext/>
        <w:spacing w:before="0" w:after="0"/>
        <w:ind w:left="0"/>
        <w:rPr>
          <w:noProof/>
          <w:lang w:eastAsia="en-GB"/>
        </w:rPr>
      </w:pPr>
      <w:r>
        <w:rPr>
          <w:noProof/>
          <w:lang w:eastAsia="en-GB"/>
        </w:rPr>
        <w:drawing>
          <wp:inline distT="0" distB="0" distL="0" distR="0" wp14:anchorId="6A522F11" wp14:editId="6DE4A226">
            <wp:extent cx="5286375"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86375" cy="3714750"/>
                    </a:xfrm>
                    <a:prstGeom prst="rect">
                      <a:avLst/>
                    </a:prstGeom>
                    <a:noFill/>
                    <a:ln>
                      <a:noFill/>
                    </a:ln>
                  </pic:spPr>
                </pic:pic>
              </a:graphicData>
            </a:graphic>
          </wp:inline>
        </w:drawing>
      </w:r>
    </w:p>
    <w:p w:rsidR="00821430" w:rsidRDefault="00821430">
      <w:r>
        <w:t xml:space="preserve">National consumer </w:t>
      </w:r>
      <w:r w:rsidRPr="004456F1">
        <w:t>environment</w:t>
      </w:r>
      <w:r w:rsidR="002C3AF6">
        <w:t>s</w:t>
      </w:r>
      <w:r>
        <w:t xml:space="preserve"> appear to be also negatively linked to the distribution of income and social conditions. The CCI is negatively correlated with the Gini Index</w:t>
      </w:r>
      <w:r>
        <w:rPr>
          <w:rStyle w:val="FootnoteReference"/>
        </w:rPr>
        <w:footnoteReference w:id="74"/>
      </w:r>
      <w:r>
        <w:t xml:space="preserve"> (-0.61), which is a measure of income distribution within a country, indicating that consumer conditions are relatively worse in countries with greater income inequalities. In addition, there is a moderate positive correlation (0.42) between Gini Index and the dispersion of the CCI within countries</w:t>
      </w:r>
      <w:r>
        <w:rPr>
          <w:rStyle w:val="FootnoteReference"/>
        </w:rPr>
        <w:footnoteReference w:id="75"/>
      </w:r>
      <w:r>
        <w:t xml:space="preserve">, suggesting that </w:t>
      </w:r>
      <w:r w:rsidR="00993201">
        <w:rPr>
          <w:lang w:eastAsia="en-GB"/>
        </w:rPr>
        <w:t>in countries where income is less equally distributed</w:t>
      </w:r>
      <w:r w:rsidR="00993201">
        <w:t xml:space="preserve"> </w:t>
      </w:r>
      <w:r>
        <w:t xml:space="preserve">consumer conditions tend to be less uniform too. Similarly, it is interesting to note that the overall quality of </w:t>
      </w:r>
      <w:r w:rsidR="00C62D8A">
        <w:t>the</w:t>
      </w:r>
      <w:r w:rsidRPr="004456F1">
        <w:t xml:space="preserve"> </w:t>
      </w:r>
      <w:r>
        <w:t>consumer environment appears to be lower in countries where consumer conditions are more dispersed, as suggested by the negative correlation (-0.50) between the CCI and its dispersion at country level</w:t>
      </w:r>
      <w:r>
        <w:rPr>
          <w:rStyle w:val="FootnoteReference"/>
        </w:rPr>
        <w:footnoteReference w:id="76"/>
      </w:r>
      <w:r>
        <w:t xml:space="preserve">. </w:t>
      </w:r>
    </w:p>
    <w:p w:rsidR="00ED08B2" w:rsidRDefault="00ED08B2" w:rsidP="00ED08B2">
      <w:pPr>
        <w:pStyle w:val="Caption"/>
        <w:rPr>
          <w:b w:val="0"/>
        </w:rPr>
      </w:pPr>
      <w:r>
        <w:t xml:space="preserve">Figure </w:t>
      </w:r>
      <w:r w:rsidR="005269EB">
        <w:rPr>
          <w:noProof/>
        </w:rPr>
        <w:t>46</w:t>
      </w:r>
      <w:r w:rsidRPr="00C466BE">
        <w:t xml:space="preserve">: Consumer </w:t>
      </w:r>
      <w:r w:rsidR="00C40504">
        <w:t>C</w:t>
      </w:r>
      <w:r w:rsidRPr="00C466BE">
        <w:t>onditions Index (2014) and Gini Index on equivalised disposable income of households (2013)</w:t>
      </w:r>
    </w:p>
    <w:p w:rsidR="00821430" w:rsidRDefault="008B418B" w:rsidP="00CF2732">
      <w:pPr>
        <w:pStyle w:val="Text1"/>
        <w:keepNext/>
        <w:spacing w:before="0" w:after="0"/>
        <w:ind w:left="0"/>
        <w:rPr>
          <w:noProof/>
          <w:lang w:eastAsia="en-GB"/>
        </w:rPr>
      </w:pPr>
      <w:r>
        <w:rPr>
          <w:noProof/>
          <w:lang w:eastAsia="en-GB"/>
        </w:rPr>
        <w:drawing>
          <wp:inline distT="0" distB="0" distL="0" distR="0" wp14:anchorId="772D791F" wp14:editId="268C9B11">
            <wp:extent cx="5753100" cy="403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rsidR="00EF7741" w:rsidRDefault="00821430" w:rsidP="00EF7741">
      <w:pPr>
        <w:rPr>
          <w:color w:val="000000"/>
        </w:rPr>
      </w:pPr>
      <w:r>
        <w:t xml:space="preserve">Finally, consumer conditions are relatively better in countries </w:t>
      </w:r>
      <w:r w:rsidR="009A0743">
        <w:t xml:space="preserve">with </w:t>
      </w:r>
      <w:r w:rsidR="00C40504">
        <w:t>great</w:t>
      </w:r>
      <w:r w:rsidR="00C40504" w:rsidRPr="004456F1">
        <w:t xml:space="preserve">er </w:t>
      </w:r>
      <w:r>
        <w:t xml:space="preserve">gender </w:t>
      </w:r>
      <w:r w:rsidR="006D6772">
        <w:t>equality</w:t>
      </w:r>
      <w:r>
        <w:t xml:space="preserve">, as suggested by the </w:t>
      </w:r>
      <w:r w:rsidR="004909BB">
        <w:t xml:space="preserve">positive </w:t>
      </w:r>
      <w:r>
        <w:t>correlation (0.</w:t>
      </w:r>
      <w:r w:rsidR="006E2EDB">
        <w:t>8</w:t>
      </w:r>
      <w:r>
        <w:t xml:space="preserve">) between the CCI and the </w:t>
      </w:r>
      <w:r w:rsidR="00EF7741">
        <w:t xml:space="preserve">EU </w:t>
      </w:r>
      <w:r>
        <w:t>gender equality index</w:t>
      </w:r>
      <w:r>
        <w:rPr>
          <w:rStyle w:val="FootnoteReference"/>
        </w:rPr>
        <w:footnoteReference w:id="77"/>
      </w:r>
      <w:r>
        <w:t xml:space="preserve">.  </w:t>
      </w:r>
      <w:r w:rsidR="00EF7741">
        <w:rPr>
          <w:rFonts w:ascii="Calibri" w:hAnsi="Calibri"/>
          <w:color w:val="1F497D"/>
          <w:sz w:val="22"/>
          <w:szCs w:val="22"/>
        </w:rPr>
        <w:t> </w:t>
      </w:r>
    </w:p>
    <w:p w:rsidR="00821430" w:rsidRDefault="00821430">
      <w:pPr>
        <w:rPr>
          <w:b/>
          <w:i/>
        </w:rPr>
      </w:pPr>
      <w:r>
        <w:rPr>
          <w:b/>
          <w:i/>
        </w:rPr>
        <w:t xml:space="preserve">Consumer conditions are linked to the quality of governance   </w:t>
      </w:r>
    </w:p>
    <w:p w:rsidR="00821430" w:rsidRDefault="00821430">
      <w:r>
        <w:t xml:space="preserve">There is also a clear link between consumer conditions and the quality of governance in different countries, with high correlations between CCI and most of the World Bank governance indicators, in particular with the dimensions of ‘voice and accountability’ and ‘rule of law’ (correlations of almost 0.9). This suggests that while consumer conditions will depend to a certain extent on the </w:t>
      </w:r>
      <w:r w:rsidR="00C40504">
        <w:t>country’s</w:t>
      </w:r>
      <w:r w:rsidRPr="004456F1">
        <w:t xml:space="preserve"> </w:t>
      </w:r>
      <w:r>
        <w:t xml:space="preserve">general economic </w:t>
      </w:r>
      <w:r w:rsidR="00C40504">
        <w:t>circumstances</w:t>
      </w:r>
      <w:r>
        <w:t xml:space="preserve">, the quality of rule-making and </w:t>
      </w:r>
      <w:r w:rsidR="00C40504">
        <w:t>related</w:t>
      </w:r>
      <w:r>
        <w:t xml:space="preserve"> enforcement</w:t>
      </w:r>
      <w:r w:rsidR="002477D6">
        <w:t xml:space="preserve"> may also play a role</w:t>
      </w:r>
      <w:r>
        <w:t>.</w:t>
      </w:r>
      <w:r w:rsidR="00E44715">
        <w:t xml:space="preserve">   </w:t>
      </w:r>
    </w:p>
    <w:p w:rsidR="00ED08B2" w:rsidRDefault="00ED08B2" w:rsidP="0055096C">
      <w:pPr>
        <w:pStyle w:val="Caption"/>
        <w:spacing w:before="240"/>
        <w:rPr>
          <w:rFonts w:ascii="Helvetica" w:hAnsi="Helvetica" w:cs="Helvetica"/>
          <w:noProof/>
          <w:lang w:eastAsia="en-GB"/>
        </w:rPr>
      </w:pPr>
      <w:r>
        <w:t xml:space="preserve">Figure </w:t>
      </w:r>
      <w:r w:rsidR="005269EB">
        <w:rPr>
          <w:noProof/>
        </w:rPr>
        <w:t>47</w:t>
      </w:r>
      <w:r w:rsidRPr="009A455F">
        <w:t xml:space="preserve">: Consumer </w:t>
      </w:r>
      <w:r w:rsidR="00C40504">
        <w:t>C</w:t>
      </w:r>
      <w:r w:rsidRPr="009A455F">
        <w:t>onditions Index (2014) and Rule of Law indicator (2013)</w:t>
      </w:r>
    </w:p>
    <w:p w:rsidR="00821430" w:rsidRDefault="008B418B" w:rsidP="00CF2732">
      <w:pPr>
        <w:pStyle w:val="Text1"/>
        <w:keepNext/>
        <w:spacing w:before="0" w:after="0"/>
        <w:ind w:left="0"/>
        <w:rPr>
          <w:noProof/>
          <w:lang w:eastAsia="en-GB"/>
        </w:rPr>
      </w:pPr>
      <w:r>
        <w:rPr>
          <w:noProof/>
          <w:lang w:eastAsia="en-GB"/>
        </w:rPr>
        <w:drawing>
          <wp:inline distT="0" distB="0" distL="0" distR="0" wp14:anchorId="7B2597F0" wp14:editId="6C42DE4D">
            <wp:extent cx="5210175"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10175" cy="3657600"/>
                    </a:xfrm>
                    <a:prstGeom prst="rect">
                      <a:avLst/>
                    </a:prstGeom>
                    <a:noFill/>
                    <a:ln>
                      <a:noFill/>
                    </a:ln>
                  </pic:spPr>
                </pic:pic>
              </a:graphicData>
            </a:graphic>
          </wp:inline>
        </w:drawing>
      </w:r>
    </w:p>
    <w:p w:rsidR="00821430" w:rsidRDefault="00ED08B2" w:rsidP="0055096C">
      <w:pPr>
        <w:pStyle w:val="Caption"/>
        <w:spacing w:before="240"/>
        <w:rPr>
          <w:b w:val="0"/>
          <w:noProof/>
          <w:lang w:eastAsia="en-GB"/>
        </w:rPr>
      </w:pPr>
      <w:r>
        <w:t xml:space="preserve">Figure </w:t>
      </w:r>
      <w:r w:rsidR="005269EB">
        <w:rPr>
          <w:noProof/>
        </w:rPr>
        <w:t>48</w:t>
      </w:r>
      <w:r w:rsidRPr="00440F5C">
        <w:t xml:space="preserve">: Consumer </w:t>
      </w:r>
      <w:r w:rsidR="00C40504">
        <w:t>C</w:t>
      </w:r>
      <w:r w:rsidRPr="00440F5C">
        <w:t>onditions Index (2014) and Voice and Accountability indicator (2013)</w:t>
      </w:r>
    </w:p>
    <w:p w:rsidR="00821430" w:rsidRPr="00CF2732" w:rsidRDefault="008B418B" w:rsidP="00CF2732">
      <w:pPr>
        <w:pStyle w:val="Text1"/>
        <w:keepNext/>
        <w:spacing w:before="0" w:after="0"/>
        <w:ind w:left="0"/>
        <w:rPr>
          <w:noProof/>
          <w:lang w:eastAsia="en-GB"/>
        </w:rPr>
      </w:pPr>
      <w:r>
        <w:rPr>
          <w:noProof/>
          <w:lang w:eastAsia="en-GB"/>
        </w:rPr>
        <w:drawing>
          <wp:inline distT="0" distB="0" distL="0" distR="0" wp14:anchorId="5C572370" wp14:editId="15F75615">
            <wp:extent cx="5267325" cy="3695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821430" w:rsidRDefault="00821430">
      <w:pPr>
        <w:rPr>
          <w:highlight w:val="yellow"/>
        </w:rPr>
      </w:pPr>
    </w:p>
    <w:p w:rsidR="00821430" w:rsidRDefault="00821430">
      <w:pPr>
        <w:pStyle w:val="Heading2"/>
        <w:numPr>
          <w:ilvl w:val="0"/>
          <w:numId w:val="0"/>
        </w:numPr>
        <w:ind w:left="850" w:hanging="850"/>
      </w:pPr>
      <w:r>
        <w:t xml:space="preserve">2 </w:t>
      </w:r>
      <w:r>
        <w:tab/>
        <w:t>Impact of socio-demographic factors on consumer conditions</w:t>
      </w:r>
    </w:p>
    <w:p w:rsidR="00821430" w:rsidRDefault="00821430">
      <w:r>
        <w:t xml:space="preserve">The last edition of the Consumer Conditions Scoreboard (of July 2013) included, for the first time, </w:t>
      </w:r>
      <w:r w:rsidR="009E214F">
        <w:t xml:space="preserve">a </w:t>
      </w:r>
      <w:r>
        <w:t>socio-demographic breakdown of key results, as requested by the European Parliament.</w:t>
      </w:r>
      <w:r>
        <w:rPr>
          <w:rStyle w:val="FootnoteReference"/>
        </w:rPr>
        <w:footnoteReference w:id="78"/>
      </w:r>
      <w:r>
        <w:t xml:space="preserve"> This Scoreboard presents the results of a more advanced multivariate analysis</w:t>
      </w:r>
      <w:r w:rsidR="00630EBA">
        <w:rPr>
          <w:rStyle w:val="FootnoteReference"/>
        </w:rPr>
        <w:footnoteReference w:id="79"/>
      </w:r>
      <w:r>
        <w:t>, which estimates the effect of each socio-demographic characteristic with othe</w:t>
      </w:r>
      <w:r w:rsidR="000F73CB">
        <w:t>r characteristics held constant</w:t>
      </w:r>
      <w:r>
        <w:t xml:space="preserve">. </w:t>
      </w:r>
      <w:r w:rsidRPr="004456F1">
        <w:t>Table</w:t>
      </w:r>
      <w:r w:rsidR="00563BE2">
        <w:t xml:space="preserve"> </w:t>
      </w:r>
      <w:r w:rsidR="000F73CB" w:rsidRPr="004456F1">
        <w:t>5</w:t>
      </w:r>
      <w:r w:rsidR="000F73CB">
        <w:t xml:space="preserve"> </w:t>
      </w:r>
      <w:r>
        <w:t>shows the marginal impact of each socio-demographic category on the key consumer conditions indicators compared with the base category (</w:t>
      </w:r>
      <w:r w:rsidR="004456F1">
        <w:t>‘</w:t>
      </w:r>
      <w:r>
        <w:t>reference group</w:t>
      </w:r>
      <w:r w:rsidR="00563BE2">
        <w:t>’</w:t>
      </w:r>
      <w:r>
        <w:t>)</w:t>
      </w:r>
      <w:r>
        <w:rPr>
          <w:rStyle w:val="FootnoteReference"/>
        </w:rPr>
        <w:footnoteReference w:id="80"/>
      </w:r>
      <w:r>
        <w:t>.</w:t>
      </w:r>
    </w:p>
    <w:p w:rsidR="00821430" w:rsidRDefault="00821430">
      <w:pPr>
        <w:rPr>
          <w:b/>
          <w:i/>
        </w:rPr>
      </w:pPr>
      <w:r>
        <w:rPr>
          <w:b/>
          <w:i/>
        </w:rPr>
        <w:t>Financial situation has the strongest positive impact on consumer conditions</w:t>
      </w:r>
    </w:p>
    <w:p w:rsidR="00821430" w:rsidRDefault="00821430">
      <w:pPr>
        <w:spacing w:before="0" w:after="0"/>
      </w:pPr>
      <w:r>
        <w:t xml:space="preserve">By comparing marginal effects across the different dependent variables, the following conclusions can be </w:t>
      </w:r>
      <w:r w:rsidR="004E4581">
        <w:t>drawn</w:t>
      </w:r>
      <w:r>
        <w:t>:</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Financial situation is the background factor having, on average, the highest impact on all the consumer conditions variables considered in the multivariate analysis. Persons</w:t>
      </w:r>
      <w:r w:rsidRPr="004456F1">
        <w:rPr>
          <w:rFonts w:ascii="Times New Roman" w:hAnsi="Times New Roman"/>
          <w:color w:val="auto"/>
          <w:sz w:val="24"/>
        </w:rPr>
        <w:t xml:space="preserve"> </w:t>
      </w:r>
      <w:r w:rsidR="009E214F">
        <w:rPr>
          <w:rFonts w:ascii="Times New Roman" w:hAnsi="Times New Roman"/>
          <w:color w:val="auto"/>
          <w:sz w:val="24"/>
        </w:rPr>
        <w:t>who are</w:t>
      </w:r>
      <w:r>
        <w:rPr>
          <w:rFonts w:ascii="Times New Roman" w:hAnsi="Times New Roman"/>
          <w:color w:val="auto"/>
          <w:sz w:val="24"/>
        </w:rPr>
        <w:t xml:space="preserve"> not in financial difficulty score better on most of the indicators, with the highest marginal positive effect on trust in </w:t>
      </w:r>
      <w:r w:rsidRPr="004456F1">
        <w:rPr>
          <w:rFonts w:ascii="Times New Roman" w:hAnsi="Times New Roman"/>
          <w:color w:val="auto"/>
          <w:sz w:val="24"/>
        </w:rPr>
        <w:t>organi</w:t>
      </w:r>
      <w:r w:rsidR="004456F1">
        <w:rPr>
          <w:rFonts w:ascii="Times New Roman" w:hAnsi="Times New Roman"/>
          <w:color w:val="auto"/>
          <w:sz w:val="24"/>
        </w:rPr>
        <w:t>s</w:t>
      </w:r>
      <w:r w:rsidRPr="004456F1">
        <w:rPr>
          <w:rFonts w:ascii="Times New Roman" w:hAnsi="Times New Roman"/>
          <w:color w:val="auto"/>
          <w:sz w:val="24"/>
        </w:rPr>
        <w:t>ations</w:t>
      </w:r>
      <w:r>
        <w:rPr>
          <w:rFonts w:ascii="Times New Roman" w:hAnsi="Times New Roman"/>
          <w:color w:val="auto"/>
          <w:sz w:val="24"/>
        </w:rPr>
        <w:t>, confidence in online shopping and trust in product safety.</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Internet use</w:t>
      </w:r>
      <w:r w:rsidR="004E4581">
        <w:rPr>
          <w:rFonts w:ascii="Times New Roman" w:hAnsi="Times New Roman"/>
          <w:color w:val="auto"/>
          <w:sz w:val="24"/>
        </w:rPr>
        <w:t>,</w:t>
      </w:r>
      <w:r>
        <w:rPr>
          <w:rFonts w:ascii="Times New Roman" w:hAnsi="Times New Roman"/>
          <w:color w:val="auto"/>
          <w:sz w:val="24"/>
        </w:rPr>
        <w:t xml:space="preserve"> which also </w:t>
      </w:r>
      <w:r w:rsidR="00926B1B">
        <w:rPr>
          <w:rFonts w:ascii="Times New Roman" w:hAnsi="Times New Roman"/>
          <w:color w:val="auto"/>
          <w:sz w:val="24"/>
        </w:rPr>
        <w:t>play</w:t>
      </w:r>
      <w:r w:rsidR="00926B1B" w:rsidRPr="004456F1">
        <w:rPr>
          <w:rFonts w:ascii="Times New Roman" w:hAnsi="Times New Roman"/>
          <w:color w:val="auto"/>
          <w:sz w:val="24"/>
        </w:rPr>
        <w:t xml:space="preserve">s </w:t>
      </w:r>
      <w:r>
        <w:rPr>
          <w:rFonts w:ascii="Times New Roman" w:hAnsi="Times New Roman"/>
          <w:color w:val="auto"/>
          <w:sz w:val="24"/>
        </w:rPr>
        <w:t xml:space="preserve">an important </w:t>
      </w:r>
      <w:r w:rsidR="00926B1B">
        <w:rPr>
          <w:rFonts w:ascii="Times New Roman" w:hAnsi="Times New Roman"/>
          <w:color w:val="auto"/>
          <w:sz w:val="24"/>
        </w:rPr>
        <w:t>part</w:t>
      </w:r>
      <w:r>
        <w:rPr>
          <w:rFonts w:ascii="Times New Roman" w:hAnsi="Times New Roman"/>
          <w:color w:val="auto"/>
          <w:sz w:val="24"/>
        </w:rPr>
        <w:t xml:space="preserve"> in explaining consumer conditions, contributes positively on several consumer conditions indicators, with the highest impact (as can be expected) on confidence in online shopping, followed by satisfaction with complaint handling, trust in organisations, numerical skills, and trust in product safety. At the same time, Internet users are more exposed to shopping problems and to unfair or other illicit commercial practices, which may be </w:t>
      </w:r>
      <w:r w:rsidR="00926B1B">
        <w:rPr>
          <w:rFonts w:ascii="Times New Roman" w:hAnsi="Times New Roman"/>
          <w:color w:val="auto"/>
          <w:sz w:val="24"/>
        </w:rPr>
        <w:t>due to</w:t>
      </w:r>
      <w:r>
        <w:rPr>
          <w:rFonts w:ascii="Times New Roman" w:hAnsi="Times New Roman"/>
          <w:color w:val="auto"/>
          <w:sz w:val="24"/>
        </w:rPr>
        <w:t xml:space="preserve"> their more active shopping behaviour.</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 xml:space="preserve">Trust in environmental claims, perception of redress </w:t>
      </w:r>
      <w:r w:rsidRPr="004456F1">
        <w:rPr>
          <w:rFonts w:ascii="Times New Roman" w:hAnsi="Times New Roman"/>
          <w:color w:val="auto"/>
          <w:sz w:val="24"/>
        </w:rPr>
        <w:t>mechanism</w:t>
      </w:r>
      <w:r w:rsidR="001C236D">
        <w:rPr>
          <w:rFonts w:ascii="Times New Roman" w:hAnsi="Times New Roman"/>
          <w:color w:val="auto"/>
          <w:sz w:val="24"/>
        </w:rPr>
        <w:t>s</w:t>
      </w:r>
      <w:r>
        <w:rPr>
          <w:rFonts w:ascii="Times New Roman" w:hAnsi="Times New Roman"/>
          <w:color w:val="auto"/>
          <w:sz w:val="24"/>
        </w:rPr>
        <w:t xml:space="preserve"> and confidence in online shopping are all negatively correlated with age. At the same time, knowledge of consumer rights increases with age, except for the oldest age group (64+</w:t>
      </w:r>
      <w:r>
        <w:rPr>
          <w:rStyle w:val="FootnoteReference"/>
          <w:color w:val="auto"/>
        </w:rPr>
        <w:footnoteReference w:id="81"/>
      </w:r>
      <w:r>
        <w:rPr>
          <w:rFonts w:ascii="Times New Roman" w:hAnsi="Times New Roman"/>
          <w:color w:val="auto"/>
          <w:sz w:val="24"/>
        </w:rPr>
        <w:t>). For the remaining variables, the impact of age is very limited or statistically not significant.</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Gender has the greatest impact on confidence in online shopping, which is lower for females. Trust in product safety, knowledge of consumer rights, perception of redress mechanisms and trust in environmental claims are all lower among women too. Conversely, females are less likely to have experienced shopping problems with the goods/services purchased or to have come across unfair or other illicit commercial practices. The impact on other variables is less pronounced or statistically not significant.</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 xml:space="preserve">Knowledge of foreign languages appears to have </w:t>
      </w:r>
      <w:r w:rsidR="00C94C6C">
        <w:rPr>
          <w:rFonts w:ascii="Times New Roman" w:hAnsi="Times New Roman"/>
          <w:color w:val="auto"/>
          <w:sz w:val="24"/>
        </w:rPr>
        <w:t>a</w:t>
      </w:r>
      <w:r w:rsidRPr="004456F1">
        <w:rPr>
          <w:rFonts w:ascii="Times New Roman" w:hAnsi="Times New Roman"/>
          <w:color w:val="auto"/>
          <w:sz w:val="24"/>
        </w:rPr>
        <w:t xml:space="preserve"> </w:t>
      </w:r>
      <w:r>
        <w:rPr>
          <w:rFonts w:ascii="Times New Roman" w:hAnsi="Times New Roman"/>
          <w:color w:val="auto"/>
          <w:sz w:val="24"/>
        </w:rPr>
        <w:t xml:space="preserve">mixed impact on consumer conditions. It is positively correlated with knowledge of consumer rights, numerical skills and satisfaction with complaint handling. </w:t>
      </w:r>
      <w:r w:rsidR="001C236D" w:rsidRPr="004456F1">
        <w:rPr>
          <w:rFonts w:ascii="Times New Roman" w:hAnsi="Times New Roman"/>
          <w:color w:val="auto"/>
          <w:sz w:val="24"/>
        </w:rPr>
        <w:t>Some</w:t>
      </w:r>
      <w:r w:rsidR="001C236D">
        <w:rPr>
          <w:rFonts w:ascii="Times New Roman" w:hAnsi="Times New Roman"/>
          <w:color w:val="auto"/>
          <w:sz w:val="24"/>
        </w:rPr>
        <w:t>what</w:t>
      </w:r>
      <w:r w:rsidR="001C236D" w:rsidRPr="004456F1">
        <w:rPr>
          <w:rFonts w:ascii="Times New Roman" w:hAnsi="Times New Roman"/>
          <w:color w:val="auto"/>
          <w:sz w:val="24"/>
        </w:rPr>
        <w:t xml:space="preserve"> </w:t>
      </w:r>
      <w:r>
        <w:rPr>
          <w:rFonts w:ascii="Times New Roman" w:hAnsi="Times New Roman"/>
          <w:color w:val="auto"/>
          <w:sz w:val="24"/>
        </w:rPr>
        <w:t xml:space="preserve">counterintuitively, negative impact is seen on trust in </w:t>
      </w:r>
      <w:r w:rsidRPr="004456F1">
        <w:rPr>
          <w:rFonts w:ascii="Times New Roman" w:hAnsi="Times New Roman"/>
          <w:color w:val="auto"/>
          <w:sz w:val="24"/>
        </w:rPr>
        <w:t>organi</w:t>
      </w:r>
      <w:r w:rsidR="004456F1">
        <w:rPr>
          <w:rFonts w:ascii="Times New Roman" w:hAnsi="Times New Roman"/>
          <w:color w:val="auto"/>
          <w:sz w:val="24"/>
        </w:rPr>
        <w:t>s</w:t>
      </w:r>
      <w:r w:rsidRPr="004456F1">
        <w:rPr>
          <w:rFonts w:ascii="Times New Roman" w:hAnsi="Times New Roman"/>
          <w:color w:val="auto"/>
          <w:sz w:val="24"/>
        </w:rPr>
        <w:t>ations</w:t>
      </w:r>
      <w:r>
        <w:rPr>
          <w:rFonts w:ascii="Times New Roman" w:hAnsi="Times New Roman"/>
          <w:color w:val="auto"/>
          <w:sz w:val="24"/>
        </w:rPr>
        <w:t xml:space="preserve"> (highest impact), trust in redress mechanisms and trust in environmental claims. In addition, the more languages the respondents speak, the more likely they are to report shopping problems, unfair commercial practices and other illicit practices.</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Residents of</w:t>
      </w:r>
      <w:r w:rsidR="00C12172">
        <w:rPr>
          <w:rFonts w:ascii="Times New Roman" w:hAnsi="Times New Roman"/>
          <w:color w:val="auto"/>
          <w:sz w:val="24"/>
        </w:rPr>
        <w:t xml:space="preserve"> large</w:t>
      </w:r>
      <w:r>
        <w:rPr>
          <w:rFonts w:ascii="Times New Roman" w:hAnsi="Times New Roman"/>
          <w:color w:val="auto"/>
          <w:sz w:val="24"/>
        </w:rPr>
        <w:t xml:space="preserve"> towns experience more shopping problems </w:t>
      </w:r>
      <w:r w:rsidR="00B04A47">
        <w:rPr>
          <w:rFonts w:ascii="Times New Roman" w:hAnsi="Times New Roman"/>
          <w:color w:val="auto"/>
          <w:sz w:val="24"/>
        </w:rPr>
        <w:t xml:space="preserve">and </w:t>
      </w:r>
      <w:r>
        <w:rPr>
          <w:rFonts w:ascii="Times New Roman" w:hAnsi="Times New Roman"/>
          <w:color w:val="auto"/>
          <w:sz w:val="24"/>
        </w:rPr>
        <w:t>illicit commercial practices than those living in rural areas</w:t>
      </w:r>
      <w:r w:rsidR="00C12172">
        <w:rPr>
          <w:rFonts w:ascii="Times New Roman" w:hAnsi="Times New Roman"/>
          <w:color w:val="auto"/>
          <w:sz w:val="24"/>
        </w:rPr>
        <w:t xml:space="preserve"> and small towns</w:t>
      </w:r>
      <w:r>
        <w:rPr>
          <w:rFonts w:ascii="Times New Roman" w:hAnsi="Times New Roman"/>
          <w:color w:val="auto"/>
          <w:sz w:val="24"/>
        </w:rPr>
        <w:t>, probably because of their more active shopping habits. At the same time, they tend to be more satisfied with the way their complaints are handled.</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Education has little impact on consumer conditions indicators, except for confidence in online shopping, which increases with the level of education.</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 xml:space="preserve">Numerical skills have little impact on consumer conditions, except for a positive link with confidence in online shopping (probably because this explanatory variable is also correlated with internet skills) and </w:t>
      </w:r>
      <w:r w:rsidR="004456F1">
        <w:rPr>
          <w:rFonts w:ascii="Times New Roman" w:hAnsi="Times New Roman"/>
          <w:color w:val="auto"/>
          <w:sz w:val="24"/>
        </w:rPr>
        <w:t>—</w:t>
      </w:r>
      <w:r>
        <w:rPr>
          <w:rFonts w:ascii="Times New Roman" w:hAnsi="Times New Roman"/>
          <w:color w:val="auto"/>
          <w:sz w:val="24"/>
        </w:rPr>
        <w:t xml:space="preserve"> to a </w:t>
      </w:r>
      <w:r w:rsidR="006C29DB" w:rsidRPr="004456F1">
        <w:rPr>
          <w:rFonts w:ascii="Times New Roman" w:hAnsi="Times New Roman"/>
          <w:color w:val="auto"/>
          <w:sz w:val="24"/>
        </w:rPr>
        <w:t>l</w:t>
      </w:r>
      <w:r w:rsidR="006C29DB">
        <w:rPr>
          <w:rFonts w:ascii="Times New Roman" w:hAnsi="Times New Roman"/>
          <w:color w:val="auto"/>
          <w:sz w:val="24"/>
        </w:rPr>
        <w:t>ess</w:t>
      </w:r>
      <w:r w:rsidR="006C29DB" w:rsidRPr="004456F1">
        <w:rPr>
          <w:rFonts w:ascii="Times New Roman" w:hAnsi="Times New Roman"/>
          <w:color w:val="auto"/>
          <w:sz w:val="24"/>
        </w:rPr>
        <w:t xml:space="preserve">er </w:t>
      </w:r>
      <w:r>
        <w:rPr>
          <w:rFonts w:ascii="Times New Roman" w:hAnsi="Times New Roman"/>
          <w:color w:val="auto"/>
          <w:sz w:val="24"/>
        </w:rPr>
        <w:t xml:space="preserve">extent </w:t>
      </w:r>
      <w:r w:rsidR="004456F1">
        <w:rPr>
          <w:rFonts w:ascii="Times New Roman" w:hAnsi="Times New Roman"/>
          <w:color w:val="auto"/>
          <w:sz w:val="24"/>
        </w:rPr>
        <w:t>—</w:t>
      </w:r>
      <w:r>
        <w:rPr>
          <w:rFonts w:ascii="Times New Roman" w:hAnsi="Times New Roman"/>
          <w:color w:val="auto"/>
          <w:sz w:val="24"/>
        </w:rPr>
        <w:t xml:space="preserve"> with trust in product safety and satisfaction with complaint handling.</w:t>
      </w:r>
    </w:p>
    <w:p w:rsidR="00821430" w:rsidRDefault="00821430">
      <w:pPr>
        <w:pStyle w:val="ListParagraph"/>
        <w:numPr>
          <w:ilvl w:val="0"/>
          <w:numId w:val="28"/>
        </w:numPr>
        <w:rPr>
          <w:rFonts w:ascii="Times New Roman" w:hAnsi="Times New Roman"/>
          <w:color w:val="auto"/>
          <w:sz w:val="24"/>
        </w:rPr>
      </w:pPr>
      <w:r>
        <w:rPr>
          <w:rFonts w:ascii="Times New Roman" w:hAnsi="Times New Roman"/>
          <w:color w:val="auto"/>
          <w:sz w:val="24"/>
        </w:rPr>
        <w:t xml:space="preserve">Employment status does not play an important role in explaining consumer </w:t>
      </w:r>
      <w:r w:rsidR="004E4581">
        <w:rPr>
          <w:rFonts w:ascii="Times New Roman" w:hAnsi="Times New Roman"/>
          <w:color w:val="auto"/>
          <w:sz w:val="24"/>
        </w:rPr>
        <w:t>conditions</w:t>
      </w:r>
      <w:r>
        <w:rPr>
          <w:rFonts w:ascii="Times New Roman" w:hAnsi="Times New Roman"/>
          <w:color w:val="auto"/>
          <w:sz w:val="24"/>
        </w:rPr>
        <w:t>, except for confidence in online shopping and numerical skills, where white collar workers and the self-employed score higher than other occupational groups.</w:t>
      </w:r>
    </w:p>
    <w:p w:rsidR="00821430" w:rsidRDefault="00821430">
      <w:r>
        <w:t>Dispersion across background variables</w:t>
      </w:r>
      <w:r>
        <w:rPr>
          <w:rStyle w:val="FootnoteReference"/>
        </w:rPr>
        <w:footnoteReference w:id="82"/>
      </w:r>
      <w:r>
        <w:t xml:space="preserve"> is the highest for confidence in online shopping, trust in environmental claims and exposure to unfair commercial practices</w:t>
      </w:r>
      <w:r w:rsidR="006C29DB">
        <w:t>,</w:t>
      </w:r>
      <w:r>
        <w:t xml:space="preserve"> and the lowest for numerical skills, satisfaction with complaint handling and perception of redress mechanisms.</w:t>
      </w:r>
    </w:p>
    <w:p w:rsidR="00821430" w:rsidRDefault="00BD3EE5">
      <w:r>
        <w:t>T</w:t>
      </w:r>
      <w:r w:rsidR="00821430" w:rsidRPr="004456F1">
        <w:t>he</w:t>
      </w:r>
      <w:r w:rsidR="00821430">
        <w:t xml:space="preserve"> ongoing Commission study on consumer vulnerability across key markets (financial sector, energy and online environment), due to be finalised by the end of 2015</w:t>
      </w:r>
      <w:r>
        <w:t xml:space="preserve">, will shed more light </w:t>
      </w:r>
      <w:r w:rsidRPr="004456F1">
        <w:t>on the role of socio-demographic characteristics in explaining consumer conditions</w:t>
      </w:r>
      <w:r w:rsidR="00821430" w:rsidRPr="004456F1">
        <w:t>.</w:t>
      </w:r>
      <w:r w:rsidR="00821430">
        <w:t xml:space="preserve"> The study is also </w:t>
      </w:r>
      <w:r w:rsidR="004E4581">
        <w:t xml:space="preserve">expected </w:t>
      </w:r>
      <w:r w:rsidR="00821430">
        <w:t xml:space="preserve">to </w:t>
      </w:r>
      <w:r w:rsidR="004E4581">
        <w:t>provide</w:t>
      </w:r>
      <w:r w:rsidR="00821430">
        <w:t xml:space="preserve"> methodological </w:t>
      </w:r>
      <w:r w:rsidR="004E4581">
        <w:t>recommendations</w:t>
      </w:r>
      <w:r w:rsidR="00821430">
        <w:t xml:space="preserve"> to better capture the issue of consumer vulnerability. Another study – on online marketing to children – looks specifically into </w:t>
      </w:r>
      <w:r w:rsidR="00821430" w:rsidRPr="004456F1">
        <w:t>children</w:t>
      </w:r>
      <w:r>
        <w:t>’s</w:t>
      </w:r>
      <w:r w:rsidR="00821430">
        <w:t xml:space="preserve"> vulnerability online.</w:t>
      </w:r>
    </w:p>
    <w:p w:rsidR="00821430" w:rsidRDefault="00821430">
      <w:pPr>
        <w:sectPr w:rsidR="00821430">
          <w:headerReference w:type="even" r:id="rId97"/>
          <w:headerReference w:type="default" r:id="rId98"/>
          <w:footerReference w:type="even" r:id="rId99"/>
          <w:footerReference w:type="default" r:id="rId100"/>
          <w:headerReference w:type="first" r:id="rId101"/>
          <w:footerReference w:type="first" r:id="rId102"/>
          <w:pgSz w:w="11906" w:h="16838"/>
          <w:pgMar w:top="1417" w:right="1417" w:bottom="1417" w:left="1417" w:header="708" w:footer="708" w:gutter="0"/>
          <w:cols w:space="708"/>
          <w:docGrid w:linePitch="360"/>
        </w:sectPr>
      </w:pPr>
    </w:p>
    <w:p w:rsidR="006B5FC3" w:rsidRDefault="00ED08B2" w:rsidP="006B5FC3">
      <w:pPr>
        <w:pStyle w:val="Caption"/>
      </w:pPr>
      <w:r>
        <w:t xml:space="preserve">Table </w:t>
      </w:r>
      <w:r w:rsidR="005269EB">
        <w:rPr>
          <w:noProof/>
        </w:rPr>
        <w:t>1</w:t>
      </w:r>
      <w:r w:rsidRPr="00C779D7">
        <w:t>: Marginal effects from the multivariate</w:t>
      </w:r>
      <w:r w:rsidR="006B5FC3">
        <w:t xml:space="preserve"> analysis</w:t>
      </w:r>
      <w:r w:rsidRPr="00C779D7">
        <w:t xml:space="preserve"> </w:t>
      </w:r>
    </w:p>
    <w:p w:rsidR="00C27EF8" w:rsidRPr="00563BE2" w:rsidRDefault="008B418B" w:rsidP="006B5FC3">
      <w:pPr>
        <w:jc w:val="center"/>
      </w:pPr>
      <w:r>
        <w:rPr>
          <w:noProof/>
          <w:lang w:eastAsia="en-GB"/>
        </w:rPr>
        <w:drawing>
          <wp:inline distT="0" distB="0" distL="0" distR="0">
            <wp:extent cx="9248775" cy="3667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248775" cy="3667125"/>
                    </a:xfrm>
                    <a:prstGeom prst="rect">
                      <a:avLst/>
                    </a:prstGeom>
                    <a:noFill/>
                    <a:ln>
                      <a:noFill/>
                    </a:ln>
                  </pic:spPr>
                </pic:pic>
              </a:graphicData>
            </a:graphic>
          </wp:inline>
        </w:drawing>
      </w:r>
    </w:p>
    <w:p w:rsidR="00821430" w:rsidRDefault="00821430" w:rsidP="00563BE2">
      <w:pPr>
        <w:pStyle w:val="Caption"/>
        <w:rPr>
          <w:noProof/>
          <w:lang w:eastAsia="en-GB"/>
        </w:rPr>
      </w:pPr>
    </w:p>
    <w:p w:rsidR="00E116DC" w:rsidRDefault="006B5FC3">
      <w:pPr>
        <w:pStyle w:val="Heading1"/>
        <w:numPr>
          <w:ilvl w:val="0"/>
          <w:numId w:val="0"/>
        </w:numPr>
        <w:jc w:val="center"/>
      </w:pPr>
      <w:r>
        <w:br w:type="page"/>
      </w:r>
      <w:r w:rsidR="00821430">
        <w:t xml:space="preserve">ANNEX I  </w:t>
      </w:r>
    </w:p>
    <w:p w:rsidR="00821430" w:rsidRDefault="00821430">
      <w:pPr>
        <w:pStyle w:val="Heading1"/>
        <w:numPr>
          <w:ilvl w:val="0"/>
          <w:numId w:val="0"/>
        </w:numPr>
        <w:jc w:val="center"/>
      </w:pPr>
      <w:r>
        <w:t>Country Consumer Statistics</w:t>
      </w:r>
    </w:p>
    <w:p w:rsidR="00821430" w:rsidRDefault="00821430" w:rsidP="00A23288">
      <w:pPr>
        <w:pStyle w:val="Text1"/>
        <w:ind w:left="0"/>
      </w:pPr>
    </w:p>
    <w:p w:rsidR="00821430" w:rsidRDefault="00821430" w:rsidP="00A23288">
      <w:pPr>
        <w:pStyle w:val="Text1"/>
        <w:ind w:left="0"/>
      </w:pPr>
      <w:r>
        <w:t xml:space="preserve">The Country Consumer Statistics provide detailed indicators for each Member State, plus Iceland and Norway. </w:t>
      </w:r>
      <w:r w:rsidR="007A4063">
        <w:t>T</w:t>
      </w:r>
      <w:r w:rsidRPr="004456F1">
        <w:t>he</w:t>
      </w:r>
      <w:r>
        <w:t xml:space="preserve"> data come </w:t>
      </w:r>
      <w:r w:rsidR="007A4063">
        <w:t>mostly</w:t>
      </w:r>
      <w:r w:rsidRPr="004456F1">
        <w:t xml:space="preserve"> </w:t>
      </w:r>
      <w:r>
        <w:t xml:space="preserve">from the annual surveys of consumers and retailers. </w:t>
      </w:r>
      <w:r w:rsidRPr="004456F1">
        <w:t>Additional</w:t>
      </w:r>
      <w:r w:rsidR="007A4063">
        <w:t>ly,</w:t>
      </w:r>
      <w:r>
        <w:t xml:space="preserve"> data on the length of judicial proceedings and the information provided by Member States on public funding for national consumer organisations</w:t>
      </w:r>
      <w:r w:rsidR="007A4063">
        <w:t xml:space="preserve"> are included</w:t>
      </w:r>
      <w:r w:rsidRPr="004456F1">
        <w:t>.</w:t>
      </w:r>
      <w:r>
        <w:t xml:space="preserve"> </w:t>
      </w:r>
    </w:p>
    <w:p w:rsidR="0050439F" w:rsidRPr="00283F75" w:rsidRDefault="003E60C3" w:rsidP="0050439F">
      <w:pPr>
        <w:rPr>
          <w:rFonts w:eastAsia="Calibri"/>
        </w:rPr>
      </w:pPr>
      <w:r>
        <w:t xml:space="preserve">For each country, a </w:t>
      </w:r>
      <w:r w:rsidRPr="003E60C3">
        <w:rPr>
          <w:b/>
        </w:rPr>
        <w:t xml:space="preserve">table </w:t>
      </w:r>
      <w:r>
        <w:t>presents the 2014 data, the evolution over previous years as well as the difference between country scores and the EU28 average</w:t>
      </w:r>
      <w:r w:rsidR="005A5BB0">
        <w:t xml:space="preserve"> scores</w:t>
      </w:r>
      <w:r>
        <w:t xml:space="preserve"> (which is marked in green/red if the country score is within a quarter of the best/worst values in the EU). </w:t>
      </w:r>
    </w:p>
    <w:p w:rsidR="0050439F" w:rsidRPr="00283F75" w:rsidRDefault="003E60C3" w:rsidP="0050439F">
      <w:pPr>
        <w:rPr>
          <w:rFonts w:eastAsia="Calibri"/>
        </w:rPr>
      </w:pPr>
      <w:r>
        <w:rPr>
          <w:rFonts w:eastAsia="Calibri"/>
        </w:rPr>
        <w:t xml:space="preserve">The </w:t>
      </w:r>
      <w:r w:rsidRPr="003E60C3">
        <w:rPr>
          <w:rFonts w:eastAsia="Calibri"/>
          <w:b/>
        </w:rPr>
        <w:t>charts</w:t>
      </w:r>
      <w:r>
        <w:rPr>
          <w:rFonts w:eastAsia="Calibri"/>
        </w:rPr>
        <w:t xml:space="preserve"> </w:t>
      </w:r>
      <w:r w:rsidR="005A5BB0">
        <w:rPr>
          <w:rFonts w:eastAsia="Calibri"/>
        </w:rPr>
        <w:t>show</w:t>
      </w:r>
      <w:r>
        <w:rPr>
          <w:rFonts w:eastAsia="Calibri"/>
        </w:rPr>
        <w:t xml:space="preserve"> country performance on each of the three </w:t>
      </w:r>
      <w:r w:rsidR="005A5BB0">
        <w:rPr>
          <w:rFonts w:eastAsia="Calibri"/>
        </w:rPr>
        <w:t>dimensions of the</w:t>
      </w:r>
      <w:r>
        <w:rPr>
          <w:rFonts w:eastAsia="Calibri"/>
        </w:rPr>
        <w:t xml:space="preserve"> Consumer Conditions Index: knowledge and trust; compliance and enforcement; and complaints and dispute resolution (</w:t>
      </w:r>
      <w:r w:rsidR="005A5BB0">
        <w:rPr>
          <w:rFonts w:eastAsia="Calibri"/>
        </w:rPr>
        <w:t xml:space="preserve">whose composition is described in detail in </w:t>
      </w:r>
      <w:r>
        <w:rPr>
          <w:rFonts w:eastAsia="Calibri"/>
        </w:rPr>
        <w:t xml:space="preserve">Annex II). </w:t>
      </w:r>
      <w:r w:rsidR="005A5BB0" w:rsidRPr="005A5BB0">
        <w:rPr>
          <w:rFonts w:eastAsia="Calibri"/>
        </w:rPr>
        <w:t xml:space="preserve">The colours in </w:t>
      </w:r>
      <w:r w:rsidR="005A5BB0">
        <w:rPr>
          <w:rFonts w:eastAsia="Calibri"/>
        </w:rPr>
        <w:t>the</w:t>
      </w:r>
      <w:r w:rsidR="005A5BB0" w:rsidRPr="005A5BB0">
        <w:rPr>
          <w:rFonts w:eastAsia="Calibri"/>
        </w:rPr>
        <w:t xml:space="preserve"> charts indicate the quartile </w:t>
      </w:r>
      <w:r w:rsidR="005A5BB0">
        <w:rPr>
          <w:rFonts w:eastAsia="Calibri"/>
        </w:rPr>
        <w:t xml:space="preserve">that each </w:t>
      </w:r>
      <w:r w:rsidR="005A5BB0" w:rsidRPr="005A5BB0">
        <w:rPr>
          <w:rFonts w:eastAsia="Calibri"/>
        </w:rPr>
        <w:t>country falls into (dark green represents the best results, and red the worst, with light green and orange falling in between).</w:t>
      </w:r>
    </w:p>
    <w:p w:rsidR="00821430" w:rsidRDefault="00821430" w:rsidP="00A23288">
      <w:pPr>
        <w:pStyle w:val="Text1"/>
        <w:ind w:left="0"/>
      </w:pPr>
      <w:r>
        <w:t xml:space="preserve">The </w:t>
      </w:r>
      <w:r w:rsidRPr="00E116DC">
        <w:rPr>
          <w:b/>
        </w:rPr>
        <w:t>qualitative comments</w:t>
      </w:r>
      <w:r>
        <w:t xml:space="preserve"> focus on consistent country evolution over time. In addition, a country is mentioned if it scores among the </w:t>
      </w:r>
      <w:r w:rsidR="00C94C6C">
        <w:t>three</w:t>
      </w:r>
      <w:r w:rsidR="00C94C6C" w:rsidRPr="004456F1">
        <w:t xml:space="preserve"> </w:t>
      </w:r>
      <w:r>
        <w:t>highest/lowest values on a given indicator.</w:t>
      </w:r>
      <w:r w:rsidR="00A967DA">
        <w:rPr>
          <w:rStyle w:val="FootnoteReference"/>
        </w:rPr>
        <w:footnoteReference w:id="83"/>
      </w:r>
    </w:p>
    <w:p w:rsidR="00A23288" w:rsidRDefault="00A23288" w:rsidP="00A23288">
      <w:pPr>
        <w:pStyle w:val="Text1"/>
        <w:ind w:left="0"/>
      </w:pPr>
      <w:r>
        <w:br w:type="page"/>
      </w:r>
      <w:r w:rsidR="008B418B">
        <w:rPr>
          <w:noProof/>
          <w:lang w:eastAsia="en-GB"/>
        </w:rPr>
        <w:drawing>
          <wp:inline distT="0" distB="0" distL="0" distR="0">
            <wp:extent cx="9239250" cy="525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239250" cy="5257800"/>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48775" cy="5362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248775" cy="536257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r>
        <w:br w:type="page"/>
      </w:r>
      <w:r w:rsidR="008B418B">
        <w:rPr>
          <w:noProof/>
          <w:lang w:eastAsia="en-GB"/>
        </w:rPr>
        <w:drawing>
          <wp:inline distT="0" distB="0" distL="0" distR="0">
            <wp:extent cx="9239250" cy="5191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A23288" w:rsidRDefault="00A23288" w:rsidP="00A23288">
      <w:r>
        <w:br w:type="page"/>
      </w:r>
      <w:r w:rsidR="008B418B">
        <w:rPr>
          <w:noProof/>
          <w:lang w:eastAsia="en-GB"/>
        </w:rPr>
        <w:drawing>
          <wp:inline distT="0" distB="0" distL="0" distR="0">
            <wp:extent cx="9239250" cy="5191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A23288" w:rsidP="00A23288">
      <w:r>
        <w:br w:type="page"/>
      </w:r>
      <w:r w:rsidR="008B418B">
        <w:rPr>
          <w:noProof/>
          <w:lang w:eastAsia="en-GB"/>
        </w:rPr>
        <w:drawing>
          <wp:inline distT="0" distB="0" distL="0" distR="0">
            <wp:extent cx="9239250" cy="5191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295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239250" cy="5295900"/>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48775" cy="521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248775" cy="5219700"/>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267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239250" cy="52673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200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239250" cy="5200650"/>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5659FB" w:rsidRDefault="005659FB" w:rsidP="005659FB">
      <w:r>
        <w:br w:type="page"/>
      </w:r>
      <w:r w:rsidR="008B418B">
        <w:rPr>
          <w:noProof/>
          <w:lang w:eastAsia="en-GB"/>
        </w:rPr>
        <w:drawing>
          <wp:inline distT="0" distB="0" distL="0" distR="0">
            <wp:extent cx="9239250" cy="51911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CE3433" w:rsidRDefault="005659FB" w:rsidP="005659FB">
      <w:r>
        <w:br w:type="page"/>
      </w:r>
      <w:r w:rsidR="008B418B">
        <w:rPr>
          <w:noProof/>
          <w:lang w:eastAsia="en-GB"/>
        </w:rPr>
        <w:drawing>
          <wp:inline distT="0" distB="0" distL="0" distR="0">
            <wp:extent cx="9239250" cy="5191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CE3433" w:rsidRDefault="00CE3433" w:rsidP="00CE3433">
      <w:r>
        <w:br w:type="page"/>
      </w:r>
      <w:r w:rsidR="008B418B">
        <w:rPr>
          <w:noProof/>
          <w:lang w:eastAsia="en-GB"/>
        </w:rPr>
        <w:drawing>
          <wp:inline distT="0" distB="0" distL="0" distR="0">
            <wp:extent cx="9239250" cy="539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239250" cy="5391150"/>
                    </a:xfrm>
                    <a:prstGeom prst="rect">
                      <a:avLst/>
                    </a:prstGeom>
                    <a:noFill/>
                    <a:ln>
                      <a:noFill/>
                    </a:ln>
                  </pic:spPr>
                </pic:pic>
              </a:graphicData>
            </a:graphic>
          </wp:inline>
        </w:drawing>
      </w:r>
      <w:r>
        <w:br w:type="page"/>
      </w:r>
      <w:r w:rsidR="008B418B">
        <w:rPr>
          <w:noProof/>
          <w:lang w:eastAsia="en-GB"/>
        </w:rPr>
        <w:drawing>
          <wp:inline distT="0" distB="0" distL="0" distR="0">
            <wp:extent cx="9239250" cy="51911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CE3433" w:rsidRDefault="00CE3433" w:rsidP="00CE3433">
      <w:r>
        <w:br w:type="page"/>
      </w:r>
      <w:r w:rsidR="008B418B">
        <w:rPr>
          <w:noProof/>
          <w:lang w:eastAsia="en-GB"/>
        </w:rPr>
        <w:drawing>
          <wp:inline distT="0" distB="0" distL="0" distR="0">
            <wp:extent cx="9239250" cy="5191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CE3433" w:rsidRDefault="00CE3433" w:rsidP="00CE3433">
      <w:r>
        <w:br w:type="page"/>
      </w:r>
      <w:r w:rsidR="008B418B">
        <w:rPr>
          <w:noProof/>
          <w:lang w:eastAsia="en-GB"/>
        </w:rPr>
        <w:drawing>
          <wp:inline distT="0" distB="0" distL="0" distR="0">
            <wp:extent cx="9239250" cy="51911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821430" w:rsidRDefault="00CE3433" w:rsidP="00CE3433">
      <w:r>
        <w:br w:type="page"/>
      </w:r>
      <w:r w:rsidR="008B418B">
        <w:rPr>
          <w:noProof/>
          <w:lang w:eastAsia="en-GB"/>
        </w:rPr>
        <w:drawing>
          <wp:inline distT="0" distB="0" distL="0" distR="0">
            <wp:extent cx="9239250" cy="5191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239250" cy="5191125"/>
                    </a:xfrm>
                    <a:prstGeom prst="rect">
                      <a:avLst/>
                    </a:prstGeom>
                    <a:noFill/>
                    <a:ln>
                      <a:noFill/>
                    </a:ln>
                  </pic:spPr>
                </pic:pic>
              </a:graphicData>
            </a:graphic>
          </wp:inline>
        </w:drawing>
      </w:r>
    </w:p>
    <w:p w:rsidR="00821430" w:rsidRDefault="00821430">
      <w:pPr>
        <w:rPr>
          <w:noProof/>
          <w:lang w:eastAsia="en-GB"/>
        </w:rPr>
        <w:sectPr w:rsidR="00821430" w:rsidSect="00E93563">
          <w:headerReference w:type="even" r:id="rId134"/>
          <w:headerReference w:type="default" r:id="rId135"/>
          <w:footerReference w:type="even" r:id="rId136"/>
          <w:footerReference w:type="default" r:id="rId137"/>
          <w:headerReference w:type="first" r:id="rId138"/>
          <w:footerReference w:type="first" r:id="rId139"/>
          <w:pgSz w:w="16839" w:h="11907" w:orient="landscape"/>
          <w:pgMar w:top="1417" w:right="1134" w:bottom="1417" w:left="1134" w:header="709" w:footer="709" w:gutter="0"/>
          <w:cols w:space="708"/>
          <w:docGrid w:linePitch="360"/>
        </w:sectPr>
      </w:pPr>
    </w:p>
    <w:p w:rsidR="00E116DC" w:rsidRPr="00D85BFE" w:rsidRDefault="00821430">
      <w:pPr>
        <w:pStyle w:val="Heading1"/>
        <w:numPr>
          <w:ilvl w:val="0"/>
          <w:numId w:val="0"/>
        </w:numPr>
        <w:jc w:val="center"/>
      </w:pPr>
      <w:r w:rsidRPr="00D85BFE">
        <w:t xml:space="preserve">ANNEX II </w:t>
      </w:r>
    </w:p>
    <w:p w:rsidR="00821430" w:rsidRPr="00D85BFE" w:rsidRDefault="00821430">
      <w:pPr>
        <w:pStyle w:val="Heading1"/>
        <w:numPr>
          <w:ilvl w:val="0"/>
          <w:numId w:val="0"/>
        </w:numPr>
        <w:jc w:val="center"/>
      </w:pPr>
      <w:r w:rsidRPr="00D85BFE">
        <w:t xml:space="preserve"> Consumer Conditions Index</w:t>
      </w:r>
    </w:p>
    <w:p w:rsidR="00E73B17" w:rsidRPr="00E73B17" w:rsidRDefault="00E73B17" w:rsidP="00E73B17">
      <w:r w:rsidRPr="00E73B17">
        <w:t xml:space="preserve">The Consumer Conditions Index (CCI) is a composite indicator, calculated at country level, to benchmark national consumer </w:t>
      </w:r>
      <w:r w:rsidRPr="004456F1">
        <w:t>environment</w:t>
      </w:r>
      <w:r w:rsidR="00E52ABB">
        <w:t>s</w:t>
      </w:r>
      <w:r w:rsidRPr="00E73B17">
        <w:t xml:space="preserve"> and</w:t>
      </w:r>
      <w:r w:rsidR="00E52ABB">
        <w:t xml:space="preserve"> to</w:t>
      </w:r>
      <w:r w:rsidRPr="00E73B17">
        <w:t xml:space="preserve"> test links between consumer conditions and other economic, social and governance indicators. It is based on a set of key indicators (relating to domestic transactions), stemming from EU-wide</w:t>
      </w:r>
      <w:r w:rsidR="005B73D5" w:rsidRPr="005B73D5">
        <w:t xml:space="preserve"> </w:t>
      </w:r>
      <w:r w:rsidR="005B73D5" w:rsidRPr="00E73B17">
        <w:t>consumers</w:t>
      </w:r>
      <w:r w:rsidR="004456F1">
        <w:t>’</w:t>
      </w:r>
      <w:r w:rsidR="005B73D5" w:rsidRPr="00E73B17">
        <w:t xml:space="preserve"> and retailers</w:t>
      </w:r>
      <w:r w:rsidR="004456F1">
        <w:t>’</w:t>
      </w:r>
      <w:r w:rsidRPr="00E73B17">
        <w:t xml:space="preserve"> surveys. The indicators are grouped under three main pillars, each having an equal weight (33</w:t>
      </w:r>
      <w:r w:rsidR="005B73D5">
        <w:t>.</w:t>
      </w:r>
      <w:r w:rsidRPr="00E73B17">
        <w:t>3</w:t>
      </w:r>
      <w:r w:rsidR="004456F1" w:rsidRPr="004456F1">
        <w:rPr>
          <w:w w:val="50"/>
        </w:rPr>
        <w:t> </w:t>
      </w:r>
      <w:r w:rsidRPr="00E73B17">
        <w:t>%) in the total score.</w:t>
      </w:r>
    </w:p>
    <w:p w:rsidR="00E73B17" w:rsidRPr="00F71C44" w:rsidRDefault="00E73B17" w:rsidP="00471146">
      <w:pPr>
        <w:pStyle w:val="ListParagraph"/>
        <w:numPr>
          <w:ilvl w:val="0"/>
          <w:numId w:val="42"/>
        </w:numPr>
        <w:spacing w:before="120" w:after="120"/>
        <w:rPr>
          <w:rFonts w:ascii="Times New Roman" w:hAnsi="Times New Roman"/>
          <w:color w:val="auto"/>
          <w:sz w:val="24"/>
        </w:rPr>
      </w:pPr>
      <w:r w:rsidRPr="00F71C44">
        <w:rPr>
          <w:rFonts w:ascii="Times New Roman" w:hAnsi="Times New Roman"/>
          <w:color w:val="auto"/>
          <w:sz w:val="24"/>
        </w:rPr>
        <w:t>Knowledge and trust (with two separate sub-pillars, having an equal weight of 16</w:t>
      </w:r>
      <w:r w:rsidR="005B73D5" w:rsidRPr="00F71C44">
        <w:rPr>
          <w:rFonts w:ascii="Times New Roman" w:hAnsi="Times New Roman"/>
          <w:color w:val="auto"/>
          <w:sz w:val="24"/>
        </w:rPr>
        <w:t>.</w:t>
      </w:r>
      <w:r w:rsidRPr="00F71C44">
        <w:rPr>
          <w:rFonts w:ascii="Times New Roman" w:hAnsi="Times New Roman"/>
          <w:color w:val="auto"/>
          <w:sz w:val="24"/>
        </w:rPr>
        <w:t>7</w:t>
      </w:r>
      <w:r w:rsidR="004456F1" w:rsidRPr="00F71C44">
        <w:rPr>
          <w:rFonts w:ascii="Times New Roman" w:hAnsi="Times New Roman"/>
          <w:color w:val="auto"/>
          <w:w w:val="50"/>
          <w:sz w:val="24"/>
        </w:rPr>
        <w:t> </w:t>
      </w:r>
      <w:r w:rsidRPr="00F71C44">
        <w:rPr>
          <w:rFonts w:ascii="Times New Roman" w:hAnsi="Times New Roman"/>
          <w:color w:val="auto"/>
          <w:sz w:val="24"/>
        </w:rPr>
        <w:t>%)</w:t>
      </w:r>
    </w:p>
    <w:p w:rsidR="00E73B17" w:rsidRPr="00F71C44" w:rsidRDefault="00E73B17" w:rsidP="00471146">
      <w:pPr>
        <w:pStyle w:val="ListParagraph"/>
        <w:numPr>
          <w:ilvl w:val="0"/>
          <w:numId w:val="42"/>
        </w:numPr>
        <w:spacing w:before="120" w:after="120"/>
        <w:rPr>
          <w:rFonts w:ascii="Times New Roman" w:hAnsi="Times New Roman"/>
          <w:color w:val="auto"/>
          <w:sz w:val="24"/>
        </w:rPr>
      </w:pPr>
      <w:r w:rsidRPr="00F71C44">
        <w:rPr>
          <w:rFonts w:ascii="Times New Roman" w:hAnsi="Times New Roman"/>
          <w:color w:val="auto"/>
          <w:sz w:val="24"/>
        </w:rPr>
        <w:t>Compliance and enforcement</w:t>
      </w:r>
    </w:p>
    <w:p w:rsidR="00E73B17" w:rsidRPr="00F71C44" w:rsidRDefault="00E73B17" w:rsidP="00471146">
      <w:pPr>
        <w:pStyle w:val="ListParagraph"/>
        <w:numPr>
          <w:ilvl w:val="0"/>
          <w:numId w:val="42"/>
        </w:numPr>
        <w:spacing w:before="120" w:after="120"/>
        <w:rPr>
          <w:rFonts w:ascii="Times New Roman" w:hAnsi="Times New Roman"/>
          <w:color w:val="auto"/>
          <w:sz w:val="24"/>
        </w:rPr>
      </w:pPr>
      <w:r w:rsidRPr="00F71C44">
        <w:rPr>
          <w:rFonts w:ascii="Times New Roman" w:hAnsi="Times New Roman"/>
          <w:color w:val="auto"/>
          <w:sz w:val="24"/>
        </w:rPr>
        <w:t>Complaints and dispute resolution</w:t>
      </w:r>
    </w:p>
    <w:p w:rsidR="00E73B17" w:rsidRPr="00E73B17" w:rsidRDefault="00E73B17" w:rsidP="00E73B17">
      <w:r w:rsidRPr="00E73B17">
        <w:t>A score for each (sub-)pillar is calculated as a simple arithmetic average of the indicators contained in it.</w:t>
      </w:r>
    </w:p>
    <w:p w:rsidR="00E73B17" w:rsidRPr="00E73B17" w:rsidRDefault="00E73B17" w:rsidP="00E73B17">
      <w:r w:rsidRPr="00E73B17">
        <w:t>The CCI has undergone a thorough statistical audit</w:t>
      </w:r>
      <w:r w:rsidR="00F71C44">
        <w:rPr>
          <w:rStyle w:val="FootnoteReference"/>
        </w:rPr>
        <w:footnoteReference w:id="84"/>
      </w:r>
      <w:r w:rsidRPr="00E73B17">
        <w:t xml:space="preserve">. In particular, the correlation and principal component analyses resulted in minor adjustments </w:t>
      </w:r>
      <w:r w:rsidR="00585E71">
        <w:t>to</w:t>
      </w:r>
      <w:r w:rsidR="00585E71" w:rsidRPr="004456F1">
        <w:t xml:space="preserve"> </w:t>
      </w:r>
      <w:r w:rsidRPr="00E73B17">
        <w:t xml:space="preserve">the initial version of the Index, which enhanced its overall robustness. The sensitivity and uncertainty analyses showed that the data standardisation, different aggregation formulas or unequal weighting of pillars/indicators would not </w:t>
      </w:r>
      <w:r w:rsidR="00F71C44">
        <w:t>considerably</w:t>
      </w:r>
      <w:r w:rsidR="00585E71">
        <w:t xml:space="preserve"> change</w:t>
      </w:r>
      <w:r w:rsidRPr="00E73B17">
        <w:t xml:space="preserve"> the overall results. </w:t>
      </w:r>
    </w:p>
    <w:p w:rsidR="00BF0313" w:rsidRPr="00B1729D" w:rsidRDefault="00BF0313" w:rsidP="00BF0313">
      <w:pPr>
        <w:autoSpaceDE w:val="0"/>
        <w:autoSpaceDN w:val="0"/>
        <w:adjustRightInd w:val="0"/>
        <w:spacing w:before="0" w:after="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5"/>
        <w:gridCol w:w="7356"/>
      </w:tblGrid>
      <w:tr w:rsidR="00B1729D" w:rsidRPr="00B1729D" w:rsidTr="00867201">
        <w:trPr>
          <w:tblHeader/>
        </w:trPr>
        <w:tc>
          <w:tcPr>
            <w:tcW w:w="7355" w:type="dxa"/>
            <w:tcBorders>
              <w:bottom w:val="single" w:sz="4" w:space="0" w:color="auto"/>
            </w:tcBorders>
            <w:shd w:val="clear" w:color="auto" w:fill="auto"/>
          </w:tcPr>
          <w:p w:rsidR="00B1729D" w:rsidRPr="00B1729D" w:rsidRDefault="00B1729D" w:rsidP="00867201">
            <w:pPr>
              <w:jc w:val="center"/>
              <w:rPr>
                <w:rFonts w:ascii="Arial" w:hAnsi="Arial"/>
                <w:b/>
                <w:sz w:val="20"/>
                <w:szCs w:val="20"/>
              </w:rPr>
            </w:pPr>
            <w:r w:rsidRPr="00B1729D">
              <w:rPr>
                <w:rFonts w:ascii="Arial" w:hAnsi="Arial"/>
                <w:b/>
                <w:sz w:val="20"/>
                <w:szCs w:val="20"/>
              </w:rPr>
              <w:t>Consumers’ Survey</w:t>
            </w:r>
          </w:p>
        </w:tc>
        <w:tc>
          <w:tcPr>
            <w:tcW w:w="7356" w:type="dxa"/>
            <w:tcBorders>
              <w:bottom w:val="single" w:sz="4" w:space="0" w:color="auto"/>
            </w:tcBorders>
            <w:shd w:val="clear" w:color="auto" w:fill="auto"/>
          </w:tcPr>
          <w:p w:rsidR="00B1729D" w:rsidRPr="00B1729D" w:rsidRDefault="00B1729D" w:rsidP="00867201">
            <w:pPr>
              <w:jc w:val="center"/>
              <w:rPr>
                <w:rFonts w:ascii="Arial" w:hAnsi="Arial"/>
                <w:b/>
                <w:sz w:val="20"/>
                <w:szCs w:val="20"/>
              </w:rPr>
            </w:pPr>
            <w:r w:rsidRPr="00B1729D">
              <w:rPr>
                <w:rFonts w:ascii="Arial" w:hAnsi="Arial"/>
                <w:b/>
                <w:sz w:val="20"/>
                <w:szCs w:val="20"/>
              </w:rPr>
              <w:t>Retailers’ Survey</w:t>
            </w:r>
          </w:p>
        </w:tc>
      </w:tr>
      <w:tr w:rsidR="00B1729D" w:rsidRPr="00B1729D" w:rsidTr="00867201">
        <w:tc>
          <w:tcPr>
            <w:tcW w:w="14711" w:type="dxa"/>
            <w:gridSpan w:val="2"/>
            <w:tcBorders>
              <w:bottom w:val="single" w:sz="4" w:space="0" w:color="auto"/>
            </w:tcBorders>
            <w:shd w:val="clear" w:color="auto" w:fill="E0E0E0"/>
          </w:tcPr>
          <w:p w:rsidR="00B1729D" w:rsidRPr="00B1729D" w:rsidRDefault="00B1729D" w:rsidP="00867201">
            <w:pPr>
              <w:jc w:val="center"/>
              <w:rPr>
                <w:rFonts w:ascii="Arial" w:hAnsi="Arial"/>
                <w:b/>
                <w:sz w:val="20"/>
                <w:szCs w:val="20"/>
              </w:rPr>
            </w:pPr>
            <w:r w:rsidRPr="00B1729D">
              <w:rPr>
                <w:rFonts w:ascii="Arial" w:hAnsi="Arial"/>
                <w:b/>
                <w:sz w:val="20"/>
                <w:szCs w:val="20"/>
              </w:rPr>
              <w:t>PILLAR 1: KNOWLEDGE &amp; TRUST – 33</w:t>
            </w:r>
            <w:r w:rsidR="004456F1">
              <w:rPr>
                <w:rFonts w:ascii="Arial" w:hAnsi="Arial"/>
                <w:b/>
                <w:sz w:val="20"/>
                <w:szCs w:val="20"/>
              </w:rPr>
              <w:t>.</w:t>
            </w:r>
            <w:r w:rsidRPr="00B1729D">
              <w:rPr>
                <w:rFonts w:ascii="Arial" w:hAnsi="Arial"/>
                <w:b/>
                <w:sz w:val="20"/>
                <w:szCs w:val="20"/>
              </w:rPr>
              <w:t>3</w:t>
            </w:r>
            <w:r w:rsidR="004456F1" w:rsidRPr="004456F1">
              <w:rPr>
                <w:rFonts w:ascii="Arial" w:hAnsi="Arial"/>
                <w:b/>
                <w:w w:val="50"/>
                <w:sz w:val="20"/>
                <w:szCs w:val="20"/>
              </w:rPr>
              <w:t> </w:t>
            </w:r>
            <w:r w:rsidRPr="00B1729D">
              <w:rPr>
                <w:rFonts w:ascii="Arial" w:hAnsi="Arial"/>
                <w:b/>
                <w:sz w:val="20"/>
                <w:szCs w:val="20"/>
              </w:rPr>
              <w:t>%</w:t>
            </w:r>
          </w:p>
        </w:tc>
      </w:tr>
      <w:tr w:rsidR="00B1729D" w:rsidRPr="00B1729D" w:rsidTr="00867201">
        <w:tc>
          <w:tcPr>
            <w:tcW w:w="14711" w:type="dxa"/>
            <w:gridSpan w:val="2"/>
            <w:shd w:val="clear" w:color="auto" w:fill="F3F3F3"/>
          </w:tcPr>
          <w:p w:rsidR="00B1729D" w:rsidRPr="00B1729D" w:rsidRDefault="00B1729D" w:rsidP="00867201">
            <w:pPr>
              <w:jc w:val="center"/>
              <w:rPr>
                <w:rFonts w:ascii="Arial" w:hAnsi="Arial"/>
                <w:b/>
                <w:sz w:val="20"/>
                <w:szCs w:val="20"/>
              </w:rPr>
            </w:pPr>
            <w:r w:rsidRPr="00B1729D">
              <w:rPr>
                <w:rFonts w:ascii="Arial" w:hAnsi="Arial"/>
                <w:b/>
                <w:sz w:val="20"/>
                <w:szCs w:val="20"/>
              </w:rPr>
              <w:t>Knowledge sub-pillar – 16</w:t>
            </w:r>
            <w:r w:rsidR="004456F1">
              <w:rPr>
                <w:rFonts w:ascii="Arial" w:hAnsi="Arial"/>
                <w:b/>
                <w:sz w:val="20"/>
                <w:szCs w:val="20"/>
              </w:rPr>
              <w:t>.</w:t>
            </w:r>
            <w:r w:rsidRPr="00B1729D">
              <w:rPr>
                <w:rFonts w:ascii="Arial" w:hAnsi="Arial"/>
                <w:b/>
                <w:sz w:val="20"/>
                <w:szCs w:val="20"/>
              </w:rPr>
              <w:t>7</w:t>
            </w:r>
            <w:r w:rsidR="004456F1" w:rsidRPr="004456F1">
              <w:rPr>
                <w:rFonts w:ascii="Arial" w:hAnsi="Arial"/>
                <w:b/>
                <w:w w:val="50"/>
                <w:sz w:val="20"/>
                <w:szCs w:val="20"/>
              </w:rPr>
              <w:t> </w:t>
            </w:r>
            <w:r w:rsidRPr="00B1729D">
              <w:rPr>
                <w:rFonts w:ascii="Arial" w:hAnsi="Arial"/>
                <w:b/>
                <w:sz w:val="20"/>
                <w:szCs w:val="20"/>
              </w:rPr>
              <w:t>%</w:t>
            </w:r>
          </w:p>
        </w:tc>
      </w:tr>
      <w:tr w:rsidR="00B1729D" w:rsidRPr="00B1729D" w:rsidTr="00867201">
        <w:tc>
          <w:tcPr>
            <w:tcW w:w="7355" w:type="dxa"/>
            <w:tcBorders>
              <w:bottom w:val="single" w:sz="4" w:space="0" w:color="auto"/>
            </w:tcBorders>
            <w:shd w:val="clear" w:color="auto" w:fill="auto"/>
          </w:tcPr>
          <w:p w:rsidR="00B1729D" w:rsidRPr="00B1729D" w:rsidRDefault="00B1729D" w:rsidP="002467AB">
            <w:pPr>
              <w:rPr>
                <w:rFonts w:ascii="Arial" w:hAnsi="Arial"/>
                <w:sz w:val="20"/>
                <w:szCs w:val="20"/>
              </w:rPr>
            </w:pPr>
            <w:r w:rsidRPr="00B1729D">
              <w:rPr>
                <w:rFonts w:ascii="Arial" w:hAnsi="Arial"/>
                <w:b/>
                <w:sz w:val="20"/>
                <w:szCs w:val="20"/>
              </w:rPr>
              <w:t>Knowledge of consumer rights</w:t>
            </w:r>
            <w:r w:rsidRPr="00B1729D">
              <w:rPr>
                <w:rFonts w:ascii="Arial" w:hAnsi="Arial"/>
                <w:sz w:val="20"/>
                <w:szCs w:val="20"/>
              </w:rPr>
              <w:t>: Average percentage of consumers’ correct answers to 3 questions (distance purchases cooling-off period, product guarantee</w:t>
            </w:r>
            <w:r w:rsidR="00B74FB4">
              <w:rPr>
                <w:rFonts w:ascii="Arial" w:hAnsi="Arial"/>
                <w:sz w:val="20"/>
                <w:szCs w:val="20"/>
              </w:rPr>
              <w:t>s</w:t>
            </w:r>
            <w:r w:rsidRPr="00B1729D">
              <w:rPr>
                <w:rFonts w:ascii="Arial" w:hAnsi="Arial"/>
                <w:sz w:val="20"/>
                <w:szCs w:val="20"/>
              </w:rPr>
              <w:t>, unsolicited products).</w:t>
            </w:r>
          </w:p>
        </w:tc>
        <w:tc>
          <w:tcPr>
            <w:tcW w:w="7356" w:type="dxa"/>
            <w:tcBorders>
              <w:bottom w:val="single" w:sz="4" w:space="0" w:color="auto"/>
            </w:tcBorders>
            <w:shd w:val="clear" w:color="auto" w:fill="auto"/>
          </w:tcPr>
          <w:p w:rsidR="00B1729D" w:rsidRPr="00B1729D" w:rsidRDefault="00B1729D" w:rsidP="00344CC7">
            <w:pPr>
              <w:rPr>
                <w:rFonts w:ascii="Arial" w:hAnsi="Arial"/>
                <w:sz w:val="20"/>
                <w:szCs w:val="20"/>
              </w:rPr>
            </w:pPr>
            <w:r w:rsidRPr="00B1729D">
              <w:rPr>
                <w:rFonts w:ascii="Arial" w:hAnsi="Arial"/>
                <w:b/>
                <w:sz w:val="20"/>
                <w:szCs w:val="20"/>
              </w:rPr>
              <w:t>Knowledge of consumer rights</w:t>
            </w:r>
            <w:r w:rsidRPr="00B1729D">
              <w:rPr>
                <w:rFonts w:ascii="Arial" w:hAnsi="Arial"/>
                <w:sz w:val="20"/>
                <w:szCs w:val="20"/>
              </w:rPr>
              <w:t>: Average percentage of retailers’ correct answers to 5 questions (product guarantees, seeking payment in marketing material, insufficient quantity of discounted products, promoting products for children, premium rate phone number).</w:t>
            </w:r>
          </w:p>
        </w:tc>
      </w:tr>
      <w:tr w:rsidR="00B1729D" w:rsidRPr="00B1729D" w:rsidTr="00867201">
        <w:tc>
          <w:tcPr>
            <w:tcW w:w="14711" w:type="dxa"/>
            <w:gridSpan w:val="2"/>
            <w:shd w:val="clear" w:color="auto" w:fill="F3F3F3"/>
          </w:tcPr>
          <w:p w:rsidR="00B1729D" w:rsidRPr="00B1729D" w:rsidRDefault="00B1729D" w:rsidP="00867201">
            <w:pPr>
              <w:jc w:val="center"/>
              <w:rPr>
                <w:rFonts w:ascii="Arial" w:hAnsi="Arial"/>
                <w:sz w:val="20"/>
                <w:szCs w:val="20"/>
              </w:rPr>
            </w:pPr>
            <w:r w:rsidRPr="00B1729D">
              <w:rPr>
                <w:rFonts w:ascii="Arial" w:hAnsi="Arial"/>
                <w:b/>
                <w:sz w:val="20"/>
                <w:szCs w:val="20"/>
              </w:rPr>
              <w:t>Trust sub-pillar – 16</w:t>
            </w:r>
            <w:r w:rsidR="004456F1">
              <w:rPr>
                <w:rFonts w:ascii="Arial" w:hAnsi="Arial"/>
                <w:b/>
                <w:sz w:val="20"/>
                <w:szCs w:val="20"/>
              </w:rPr>
              <w:t>.</w:t>
            </w:r>
            <w:r w:rsidRPr="00B1729D">
              <w:rPr>
                <w:rFonts w:ascii="Arial" w:hAnsi="Arial"/>
                <w:b/>
                <w:sz w:val="20"/>
                <w:szCs w:val="20"/>
              </w:rPr>
              <w:t>7</w:t>
            </w:r>
            <w:r w:rsidR="004456F1" w:rsidRPr="004456F1">
              <w:rPr>
                <w:rFonts w:ascii="Arial" w:hAnsi="Arial"/>
                <w:b/>
                <w:w w:val="50"/>
                <w:sz w:val="20"/>
                <w:szCs w:val="20"/>
              </w:rPr>
              <w:t> </w:t>
            </w:r>
            <w:r w:rsidRPr="00B1729D">
              <w:rPr>
                <w:rFonts w:ascii="Arial" w:hAnsi="Arial"/>
                <w:b/>
                <w:sz w:val="20"/>
                <w:szCs w:val="20"/>
              </w:rPr>
              <w:t>%</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organisations</w:t>
            </w:r>
            <w:r w:rsidRPr="00B1729D">
              <w:rPr>
                <w:rFonts w:ascii="Arial" w:hAnsi="Arial"/>
                <w:sz w:val="20"/>
                <w:szCs w:val="20"/>
              </w:rPr>
              <w:t>: Average percentage of consumers who agree that in their country public authorities protect their rights as a consumer; retailers and service providers respect their rights as a consumer; and non-governmental consumer organisations protect their rights as a consumer.</w:t>
            </w:r>
          </w:p>
        </w:tc>
        <w:tc>
          <w:tcPr>
            <w:tcW w:w="7356" w:type="dxa"/>
            <w:shd w:val="clear" w:color="auto" w:fill="auto"/>
          </w:tcPr>
          <w:p w:rsidR="00B1729D" w:rsidRPr="00B1729D" w:rsidRDefault="00B1729D" w:rsidP="00B1729D">
            <w:pPr>
              <w:rPr>
                <w:rFonts w:ascii="Arial" w:hAnsi="Arial"/>
                <w:sz w:val="20"/>
                <w:szCs w:val="20"/>
              </w:rPr>
            </w:pP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redress mechanisms</w:t>
            </w:r>
            <w:r w:rsidRPr="00B1729D">
              <w:rPr>
                <w:rFonts w:ascii="Arial" w:hAnsi="Arial"/>
                <w:sz w:val="20"/>
                <w:szCs w:val="20"/>
              </w:rPr>
              <w:t xml:space="preserve">: Average percentage of consumers who agree that in their country it is easy to settle disputes with retailers and service providers through an out-of-court body and that it is easy to settle disputes through the courts. </w:t>
            </w:r>
          </w:p>
        </w:tc>
        <w:tc>
          <w:tcPr>
            <w:tcW w:w="7356" w:type="dxa"/>
            <w:shd w:val="clear" w:color="auto" w:fill="auto"/>
          </w:tcPr>
          <w:p w:rsidR="00B1729D" w:rsidRPr="00B1729D" w:rsidRDefault="00B1729D" w:rsidP="00B1729D">
            <w:pPr>
              <w:rPr>
                <w:rFonts w:ascii="Arial" w:hAnsi="Arial"/>
                <w:sz w:val="20"/>
                <w:szCs w:val="20"/>
              </w:rPr>
            </w:pP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product safety</w:t>
            </w:r>
            <w:r w:rsidRPr="00B1729D">
              <w:rPr>
                <w:rFonts w:ascii="Arial" w:hAnsi="Arial"/>
                <w:sz w:val="20"/>
                <w:szCs w:val="20"/>
              </w:rPr>
              <w:t>: Percentage of consumers who think that essentially all non-food products on the market in their country are safe or that a small number of products are unsafe.</w:t>
            </w: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product safety</w:t>
            </w:r>
            <w:r w:rsidRPr="00B1729D">
              <w:rPr>
                <w:rFonts w:ascii="Arial" w:hAnsi="Arial"/>
                <w:sz w:val="20"/>
                <w:szCs w:val="20"/>
              </w:rPr>
              <w:t>: Percentage of retailers who think that essentially all non-food products on the market in their country are safe or that a small number of products are unsafe.</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environmental claims</w:t>
            </w:r>
            <w:r w:rsidRPr="00B1729D">
              <w:rPr>
                <w:rFonts w:ascii="Arial" w:hAnsi="Arial"/>
                <w:sz w:val="20"/>
                <w:szCs w:val="20"/>
              </w:rPr>
              <w:t>: Percentage of consumers who agree that most environmental claims about goods or services in their country are reliable.</w:t>
            </w: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Trust in environmental claims</w:t>
            </w:r>
            <w:r w:rsidRPr="00B1729D">
              <w:rPr>
                <w:rFonts w:ascii="Arial" w:hAnsi="Arial"/>
                <w:sz w:val="20"/>
                <w:szCs w:val="20"/>
              </w:rPr>
              <w:t>: Percentage of retailers who think that most environmental claims about goods or services in their sector in their country are reliable.</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Confidence in online shopping</w:t>
            </w:r>
            <w:r w:rsidRPr="00B1729D">
              <w:rPr>
                <w:rFonts w:ascii="Arial" w:hAnsi="Arial"/>
                <w:sz w:val="20"/>
                <w:szCs w:val="20"/>
              </w:rPr>
              <w:t xml:space="preserve">: Percentage of consumers who feel confident purchasing goods or services via the </w:t>
            </w:r>
            <w:r w:rsidR="0068783F">
              <w:rPr>
                <w:rFonts w:ascii="Arial" w:hAnsi="Arial"/>
                <w:sz w:val="20"/>
                <w:szCs w:val="20"/>
              </w:rPr>
              <w:t>I</w:t>
            </w:r>
            <w:r w:rsidRPr="00B1729D">
              <w:rPr>
                <w:rFonts w:ascii="Arial" w:hAnsi="Arial"/>
                <w:sz w:val="20"/>
                <w:szCs w:val="20"/>
              </w:rPr>
              <w:t>nternet from retailers or service providers in their country.</w:t>
            </w: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Confidence in online selling</w:t>
            </w:r>
            <w:r w:rsidRPr="00B1729D">
              <w:rPr>
                <w:rFonts w:ascii="Arial" w:hAnsi="Arial"/>
                <w:sz w:val="20"/>
                <w:szCs w:val="20"/>
              </w:rPr>
              <w:t>: Percentage of retailers who are confident to sell online only to consumers in their own country or who are confident when selling both in their own country and in other EU countries.</w:t>
            </w:r>
            <w:r w:rsidR="00E44715">
              <w:rPr>
                <w:rFonts w:ascii="Arial" w:hAnsi="Arial"/>
                <w:sz w:val="20"/>
                <w:szCs w:val="20"/>
              </w:rPr>
              <w:t xml:space="preserve"> </w:t>
            </w:r>
          </w:p>
        </w:tc>
      </w:tr>
      <w:tr w:rsidR="00B1729D" w:rsidRPr="00B1729D" w:rsidTr="00867201">
        <w:tc>
          <w:tcPr>
            <w:tcW w:w="14711" w:type="dxa"/>
            <w:gridSpan w:val="2"/>
            <w:tcBorders>
              <w:bottom w:val="single" w:sz="4" w:space="0" w:color="auto"/>
            </w:tcBorders>
            <w:shd w:val="clear" w:color="auto" w:fill="E0E0E0"/>
          </w:tcPr>
          <w:p w:rsidR="00B1729D" w:rsidRPr="00B1729D" w:rsidRDefault="00B1729D" w:rsidP="00867201">
            <w:pPr>
              <w:jc w:val="center"/>
              <w:rPr>
                <w:rFonts w:ascii="Arial" w:hAnsi="Arial"/>
                <w:b/>
                <w:sz w:val="20"/>
                <w:szCs w:val="20"/>
              </w:rPr>
            </w:pPr>
            <w:r w:rsidRPr="00B1729D">
              <w:rPr>
                <w:rFonts w:ascii="Arial" w:hAnsi="Arial"/>
                <w:b/>
                <w:sz w:val="20"/>
                <w:szCs w:val="20"/>
              </w:rPr>
              <w:t>PILLAR 2: COMPLIANCE &amp; ENFORCEMENT – 33</w:t>
            </w:r>
            <w:r w:rsidR="004456F1">
              <w:rPr>
                <w:rFonts w:ascii="Arial" w:hAnsi="Arial"/>
                <w:b/>
                <w:sz w:val="20"/>
                <w:szCs w:val="20"/>
              </w:rPr>
              <w:t>.</w:t>
            </w:r>
            <w:r w:rsidRPr="00B1729D">
              <w:rPr>
                <w:rFonts w:ascii="Arial" w:hAnsi="Arial"/>
                <w:b/>
                <w:sz w:val="20"/>
                <w:szCs w:val="20"/>
              </w:rPr>
              <w:t>3</w:t>
            </w:r>
            <w:r w:rsidR="004456F1" w:rsidRPr="004456F1">
              <w:rPr>
                <w:rFonts w:ascii="Arial" w:hAnsi="Arial"/>
                <w:b/>
                <w:w w:val="50"/>
                <w:sz w:val="20"/>
                <w:szCs w:val="20"/>
              </w:rPr>
              <w:t> </w:t>
            </w:r>
            <w:r w:rsidRPr="00B1729D">
              <w:rPr>
                <w:rFonts w:ascii="Arial" w:hAnsi="Arial"/>
                <w:b/>
                <w:sz w:val="20"/>
                <w:szCs w:val="20"/>
              </w:rPr>
              <w:t>%</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Unfair commercial practices</w:t>
            </w:r>
            <w:r w:rsidRPr="00B1729D">
              <w:rPr>
                <w:rFonts w:ascii="Arial" w:hAnsi="Arial"/>
                <w:sz w:val="20"/>
                <w:szCs w:val="20"/>
              </w:rPr>
              <w:t>: Average percentage of consumers who report having experienced the following unfair commercial practices with retailers or service providers in their country in the past 12 months (persistent sales calls or messages, fake limited-time offers, fake free-of charge offers, asking to pay money to collect a fake prize, other unfair commercial practices).</w:t>
            </w: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Unfair commercial practices</w:t>
            </w:r>
            <w:r w:rsidRPr="00B1729D">
              <w:rPr>
                <w:rFonts w:ascii="Arial" w:hAnsi="Arial"/>
                <w:sz w:val="20"/>
                <w:szCs w:val="20"/>
              </w:rPr>
              <w:t>: Average percentage of retailers who report coming across unfair commercial practices by their domestic competitors in the past 12 months (persistent commercial calls or messages, fake limited-time offers, fake free-of charge offers, asking to pay for unsolicited products, fake reviews, other unfair commercial practices).</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Other illicit practices</w:t>
            </w:r>
            <w:r w:rsidRPr="00B1729D">
              <w:rPr>
                <w:rFonts w:ascii="Arial" w:hAnsi="Arial"/>
                <w:sz w:val="20"/>
                <w:szCs w:val="20"/>
              </w:rPr>
              <w:t xml:space="preserve">: Average percentage of consumers who report having experienced unfair contract terms and unanticipated charges with retailers or service providers in their country in the past 12 months. </w:t>
            </w:r>
          </w:p>
        </w:tc>
        <w:tc>
          <w:tcPr>
            <w:tcW w:w="7356" w:type="dxa"/>
            <w:shd w:val="clear" w:color="auto" w:fill="auto"/>
          </w:tcPr>
          <w:p w:rsidR="00B1729D" w:rsidRPr="00B1729D" w:rsidRDefault="00B1729D" w:rsidP="00B1729D">
            <w:pPr>
              <w:rPr>
                <w:rFonts w:ascii="Arial" w:hAnsi="Arial"/>
                <w:sz w:val="20"/>
                <w:szCs w:val="20"/>
              </w:rPr>
            </w:pP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Compliance with consumer legislation</w:t>
            </w:r>
            <w:r w:rsidRPr="00B1729D">
              <w:rPr>
                <w:rFonts w:ascii="Arial" w:hAnsi="Arial"/>
                <w:sz w:val="20"/>
                <w:szCs w:val="20"/>
              </w:rPr>
              <w:t>: Average percentage of retailers who agree that in their country: their competitors comply with consumer legislation; it is easy to comply with consumer legislation in their sector; and the costs of compliance with consumer legislation in their sector are reasonable.</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Enforcement of consumer and product safety legislation</w:t>
            </w:r>
            <w:r w:rsidRPr="00B1729D">
              <w:rPr>
                <w:rFonts w:ascii="Arial" w:hAnsi="Arial"/>
                <w:sz w:val="20"/>
                <w:szCs w:val="20"/>
              </w:rPr>
              <w:t xml:space="preserve">: Average percentage of retailers who agree that in their sector in their country: public authorities actively monitor and ensure compliance with consumer legislation; consumer NGOs actively monitor compliance with consumer legislation; self-regulatory bodies actively monitor </w:t>
            </w:r>
            <w:r w:rsidR="0068783F">
              <w:rPr>
                <w:rFonts w:ascii="Arial" w:hAnsi="Arial"/>
                <w:sz w:val="20"/>
                <w:szCs w:val="20"/>
              </w:rPr>
              <w:t>adherence to</w:t>
            </w:r>
            <w:r w:rsidRPr="00B1729D">
              <w:rPr>
                <w:rFonts w:ascii="Arial" w:hAnsi="Arial"/>
                <w:sz w:val="20"/>
                <w:szCs w:val="20"/>
              </w:rPr>
              <w:t xml:space="preserve"> relevant codes; media regularly report on </w:t>
            </w:r>
            <w:r w:rsidRPr="004456F1">
              <w:rPr>
                <w:rFonts w:ascii="Arial" w:hAnsi="Arial"/>
                <w:sz w:val="20"/>
                <w:szCs w:val="20"/>
              </w:rPr>
              <w:t>business</w:t>
            </w:r>
            <w:r w:rsidR="0068783F">
              <w:rPr>
                <w:rFonts w:ascii="Arial" w:hAnsi="Arial"/>
                <w:sz w:val="20"/>
                <w:szCs w:val="20"/>
              </w:rPr>
              <w:t>es</w:t>
            </w:r>
            <w:r w:rsidRPr="00B1729D">
              <w:rPr>
                <w:rFonts w:ascii="Arial" w:hAnsi="Arial"/>
                <w:sz w:val="20"/>
                <w:szCs w:val="20"/>
              </w:rPr>
              <w:t xml:space="preserve"> which do not respect consumer legislation; and public authorities actively monitor and ensure compliance with product safety legislation.</w:t>
            </w:r>
          </w:p>
        </w:tc>
      </w:tr>
      <w:tr w:rsidR="00B1729D" w:rsidRPr="00B1729D" w:rsidTr="00867201">
        <w:tc>
          <w:tcPr>
            <w:tcW w:w="14711" w:type="dxa"/>
            <w:gridSpan w:val="2"/>
            <w:tcBorders>
              <w:bottom w:val="single" w:sz="4" w:space="0" w:color="auto"/>
            </w:tcBorders>
            <w:shd w:val="clear" w:color="auto" w:fill="E0E0E0"/>
          </w:tcPr>
          <w:p w:rsidR="00B1729D" w:rsidRPr="00B1729D" w:rsidRDefault="00B1729D" w:rsidP="00867201">
            <w:pPr>
              <w:jc w:val="center"/>
              <w:rPr>
                <w:rFonts w:ascii="Arial" w:hAnsi="Arial"/>
                <w:b/>
                <w:sz w:val="20"/>
                <w:szCs w:val="20"/>
              </w:rPr>
            </w:pPr>
            <w:r w:rsidRPr="00B1729D">
              <w:rPr>
                <w:rFonts w:ascii="Arial" w:hAnsi="Arial"/>
                <w:b/>
                <w:sz w:val="20"/>
                <w:szCs w:val="20"/>
              </w:rPr>
              <w:t>PILLAR 3: COMPLAINTS &amp; DISPUTE RESOLUTION – 33</w:t>
            </w:r>
            <w:r w:rsidR="004456F1">
              <w:rPr>
                <w:rFonts w:ascii="Arial" w:hAnsi="Arial"/>
                <w:b/>
                <w:sz w:val="20"/>
                <w:szCs w:val="20"/>
              </w:rPr>
              <w:t>.</w:t>
            </w:r>
            <w:r w:rsidRPr="00B1729D">
              <w:rPr>
                <w:rFonts w:ascii="Arial" w:hAnsi="Arial"/>
                <w:b/>
                <w:sz w:val="20"/>
                <w:szCs w:val="20"/>
              </w:rPr>
              <w:t>3</w:t>
            </w:r>
            <w:r w:rsidR="004456F1" w:rsidRPr="004456F1">
              <w:rPr>
                <w:rFonts w:ascii="Arial" w:hAnsi="Arial"/>
                <w:b/>
                <w:w w:val="50"/>
                <w:sz w:val="20"/>
                <w:szCs w:val="20"/>
              </w:rPr>
              <w:t> </w:t>
            </w:r>
            <w:r w:rsidRPr="00B1729D">
              <w:rPr>
                <w:rFonts w:ascii="Arial" w:hAnsi="Arial"/>
                <w:b/>
                <w:sz w:val="20"/>
                <w:szCs w:val="20"/>
              </w:rPr>
              <w:t>%</w:t>
            </w: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Problems and complaints</w:t>
            </w:r>
            <w:r w:rsidRPr="00B1729D">
              <w:rPr>
                <w:rFonts w:ascii="Arial" w:hAnsi="Arial"/>
                <w:sz w:val="20"/>
                <w:szCs w:val="20"/>
              </w:rPr>
              <w:t>: Composite indicator based on questions on the occurrence of problems in the past 12 months when buying or using any goods or services domestically, follow-up with complaints to different bodies (retailer/service provider, manufacturer, public authority, ADR body, court), reasons for not complaining and satisfaction with complaint handling.</w:t>
            </w:r>
          </w:p>
          <w:p w:rsidR="00B1729D" w:rsidRPr="00B1729D" w:rsidRDefault="00B1729D" w:rsidP="00B1729D">
            <w:pPr>
              <w:rPr>
                <w:rFonts w:ascii="Arial" w:hAnsi="Arial"/>
                <w:sz w:val="20"/>
                <w:szCs w:val="20"/>
              </w:rPr>
            </w:pPr>
          </w:p>
          <w:p w:rsidR="00B1729D" w:rsidRPr="00B1729D" w:rsidRDefault="00B1729D" w:rsidP="00B1729D">
            <w:pPr>
              <w:rPr>
                <w:rFonts w:ascii="Arial" w:hAnsi="Arial"/>
                <w:sz w:val="20"/>
                <w:szCs w:val="20"/>
              </w:rPr>
            </w:pPr>
          </w:p>
        </w:tc>
        <w:tc>
          <w:tcPr>
            <w:tcW w:w="7356" w:type="dxa"/>
            <w:shd w:val="clear" w:color="auto" w:fill="auto"/>
          </w:tcPr>
          <w:p w:rsidR="00B1729D" w:rsidRPr="00B1729D" w:rsidRDefault="00B1729D" w:rsidP="00B1729D">
            <w:pPr>
              <w:rPr>
                <w:rFonts w:ascii="Arial" w:hAnsi="Arial"/>
                <w:sz w:val="20"/>
                <w:szCs w:val="20"/>
              </w:rPr>
            </w:pPr>
          </w:p>
        </w:tc>
      </w:tr>
      <w:tr w:rsidR="00B1729D" w:rsidRPr="00B1729D" w:rsidTr="00867201">
        <w:tc>
          <w:tcPr>
            <w:tcW w:w="7355" w:type="dxa"/>
            <w:shd w:val="clear" w:color="auto" w:fill="auto"/>
          </w:tcPr>
          <w:p w:rsidR="00B1729D" w:rsidRPr="00B1729D" w:rsidRDefault="00B1729D" w:rsidP="00B1729D">
            <w:pPr>
              <w:rPr>
                <w:rFonts w:ascii="Arial" w:hAnsi="Arial"/>
                <w:sz w:val="20"/>
                <w:szCs w:val="20"/>
              </w:rPr>
            </w:pPr>
          </w:p>
        </w:tc>
        <w:tc>
          <w:tcPr>
            <w:tcW w:w="7356" w:type="dxa"/>
            <w:shd w:val="clear" w:color="auto" w:fill="auto"/>
          </w:tcPr>
          <w:p w:rsidR="00B1729D" w:rsidRPr="00B1729D" w:rsidRDefault="00B1729D" w:rsidP="00B1729D">
            <w:pPr>
              <w:rPr>
                <w:rFonts w:ascii="Arial" w:hAnsi="Arial"/>
                <w:sz w:val="20"/>
                <w:szCs w:val="20"/>
              </w:rPr>
            </w:pPr>
            <w:r w:rsidRPr="00B1729D">
              <w:rPr>
                <w:rFonts w:ascii="Arial" w:hAnsi="Arial"/>
                <w:b/>
                <w:sz w:val="20"/>
                <w:szCs w:val="20"/>
              </w:rPr>
              <w:t>Participation in ADR mechanisms</w:t>
            </w:r>
            <w:r w:rsidRPr="00B1729D">
              <w:rPr>
                <w:rFonts w:ascii="Arial" w:hAnsi="Arial"/>
                <w:sz w:val="20"/>
                <w:szCs w:val="20"/>
              </w:rPr>
              <w:t xml:space="preserve">: Percentage </w:t>
            </w:r>
            <w:r w:rsidR="0068783F" w:rsidRPr="004456F1">
              <w:rPr>
                <w:rFonts w:ascii="Arial" w:hAnsi="Arial"/>
                <w:sz w:val="20"/>
                <w:szCs w:val="20"/>
              </w:rPr>
              <w:t>o</w:t>
            </w:r>
            <w:r w:rsidR="0068783F">
              <w:rPr>
                <w:rFonts w:ascii="Arial" w:hAnsi="Arial"/>
                <w:sz w:val="20"/>
                <w:szCs w:val="20"/>
              </w:rPr>
              <w:t>f</w:t>
            </w:r>
            <w:r w:rsidR="0068783F" w:rsidRPr="004456F1">
              <w:rPr>
                <w:rFonts w:ascii="Arial" w:hAnsi="Arial"/>
                <w:sz w:val="20"/>
                <w:szCs w:val="20"/>
              </w:rPr>
              <w:t xml:space="preserve"> </w:t>
            </w:r>
            <w:r w:rsidRPr="00B1729D">
              <w:rPr>
                <w:rFonts w:ascii="Arial" w:hAnsi="Arial"/>
                <w:sz w:val="20"/>
                <w:szCs w:val="20"/>
              </w:rPr>
              <w:t xml:space="preserve">retailers who are willing or mandated by law to use ADR in </w:t>
            </w:r>
            <w:r w:rsidR="0068783F">
              <w:rPr>
                <w:rFonts w:ascii="Arial" w:hAnsi="Arial"/>
                <w:sz w:val="20"/>
                <w:szCs w:val="20"/>
              </w:rPr>
              <w:t>the event</w:t>
            </w:r>
            <w:r w:rsidR="0068783F" w:rsidRPr="004456F1">
              <w:rPr>
                <w:rFonts w:ascii="Arial" w:hAnsi="Arial"/>
                <w:sz w:val="20"/>
                <w:szCs w:val="20"/>
              </w:rPr>
              <w:t xml:space="preserve"> </w:t>
            </w:r>
            <w:r w:rsidRPr="00B1729D">
              <w:rPr>
                <w:rFonts w:ascii="Arial" w:hAnsi="Arial"/>
                <w:sz w:val="20"/>
                <w:szCs w:val="20"/>
              </w:rPr>
              <w:t>of consumer complaints.</w:t>
            </w:r>
          </w:p>
        </w:tc>
      </w:tr>
    </w:tbl>
    <w:p w:rsidR="00821430" w:rsidRPr="00DB4770" w:rsidRDefault="00821430" w:rsidP="00B1729D">
      <w:pPr>
        <w:pStyle w:val="Text1"/>
        <w:ind w:left="0"/>
      </w:pPr>
    </w:p>
    <w:sectPr w:rsidR="00821430" w:rsidRPr="00DB4770" w:rsidSect="000A7C2E">
      <w:headerReference w:type="even" r:id="rId140"/>
      <w:headerReference w:type="default" r:id="rId141"/>
      <w:footerReference w:type="even" r:id="rId142"/>
      <w:footerReference w:type="default" r:id="rId143"/>
      <w:headerReference w:type="first" r:id="rId144"/>
      <w:footerReference w:type="first" r:id="rId145"/>
      <w:pgSz w:w="16839" w:h="11907" w:orient="landscape"/>
      <w:pgMar w:top="1417" w:right="1134" w:bottom="141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A38" w:rsidRDefault="00101A38">
      <w:pPr>
        <w:spacing w:before="0" w:after="0"/>
      </w:pPr>
      <w:r>
        <w:separator/>
      </w:r>
    </w:p>
  </w:endnote>
  <w:endnote w:type="continuationSeparator" w:id="0">
    <w:p w:rsidR="00101A38" w:rsidRDefault="00101A38">
      <w:pPr>
        <w:spacing w:before="0" w:after="0"/>
      </w:pPr>
      <w:r>
        <w:continuationSeparator/>
      </w:r>
    </w:p>
  </w:endnote>
  <w:endnote w:type="continuationNotice" w:id="1">
    <w:p w:rsidR="00101A38" w:rsidRDefault="00101A3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JLKB A+ Calibri">
    <w:altName w:val="MJLKB A+ 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Bold">
    <w:altName w:val="Tahoma"/>
    <w:panose1 w:val="020B0804030504040204"/>
    <w:charset w:val="00"/>
    <w:family w:val="auto"/>
    <w:pitch w:val="variable"/>
    <w:sig w:usb0="00000003" w:usb1="00000000" w:usb2="00000000" w:usb3="00000000" w:csb0="00000001" w:csb1="00000000"/>
  </w:font>
  <w:font w:name="EC Square Sans Pro Medium">
    <w:charset w:val="00"/>
    <w:family w:val="swiss"/>
    <w:pitch w:val="variable"/>
    <w:sig w:usb0="A00002BF" w:usb1="5000E0FB" w:usb2="00000000" w:usb3="00000000" w:csb0="0000019F" w:csb1="00000000"/>
  </w:font>
  <w:font w:name="EC Square Sans Pro">
    <w:charset w:val="00"/>
    <w:family w:val="swiss"/>
    <w:pitch w:val="variable"/>
    <w:sig w:usb0="A00002BF" w:usb1="5000E0F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MT">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62" w:rsidRPr="00003B62" w:rsidRDefault="00003B62" w:rsidP="00003B6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Pr="00CF2732" w:rsidRDefault="00332609">
    <w:pPr>
      <w:pStyle w:val="FooterCoverPage"/>
      <w:rPr>
        <w:rFonts w:ascii="Arial" w:hAnsi="Arial"/>
        <w:b/>
        <w:sz w:val="4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jc w:val="right"/>
    </w:pPr>
    <w:r>
      <w:fldChar w:fldCharType="begin"/>
    </w:r>
    <w:r>
      <w:instrText xml:space="preserve"> PAGE   \* MERGEFORMAT </w:instrText>
    </w:r>
    <w:r>
      <w:fldChar w:fldCharType="separate"/>
    </w:r>
    <w:r w:rsidR="003F66E8">
      <w:rPr>
        <w:noProof/>
      </w:rPr>
      <w:t>110</w:t>
    </w:r>
    <w:r>
      <w:rPr>
        <w:noProof/>
      </w:rPr>
      <w:fldChar w:fldCharType="end"/>
    </w:r>
  </w:p>
  <w:p w:rsidR="00332609" w:rsidRPr="00CF2732" w:rsidRDefault="00332609">
    <w:pPr>
      <w:pStyle w:val="FooterCoverPage"/>
      <w:rPr>
        <w:rFonts w:ascii="Arial" w:hAnsi="Arial"/>
        <w:b/>
        <w:sz w:val="48"/>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Pr="00CF2732" w:rsidRDefault="00332609">
    <w:pPr>
      <w:pStyle w:val="FooterCoverPage"/>
      <w:rPr>
        <w:rFonts w:ascii="Arial" w:hAnsi="Arial"/>
        <w:b/>
        <w:sz w:val="48"/>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1E0" w:firstRow="1" w:lastRow="1" w:firstColumn="1" w:lastColumn="1" w:noHBand="0" w:noVBand="0"/>
    </w:tblPr>
    <w:tblGrid>
      <w:gridCol w:w="3420"/>
      <w:gridCol w:w="1400"/>
      <w:gridCol w:w="1205"/>
      <w:gridCol w:w="200"/>
      <w:gridCol w:w="2211"/>
      <w:gridCol w:w="69"/>
      <w:gridCol w:w="1134"/>
    </w:tblGrid>
    <w:tr w:rsidR="00003B62" w:rsidRPr="00D94637" w:rsidTr="00003B62">
      <w:trPr>
        <w:jc w:val="center"/>
      </w:trPr>
      <w:tc>
        <w:tcPr>
          <w:tcW w:w="5000" w:type="pct"/>
          <w:gridSpan w:val="7"/>
          <w:shd w:val="clear" w:color="auto" w:fill="auto"/>
          <w:tcMar>
            <w:top w:w="57" w:type="dxa"/>
          </w:tcMar>
        </w:tcPr>
        <w:p w:rsidR="00003B62" w:rsidRPr="00D94637" w:rsidRDefault="00003B62" w:rsidP="00D94637">
          <w:pPr>
            <w:pStyle w:val="FooterText"/>
            <w:pBdr>
              <w:top w:val="single" w:sz="4" w:space="1" w:color="auto"/>
            </w:pBdr>
            <w:spacing w:before="200"/>
            <w:rPr>
              <w:sz w:val="2"/>
              <w:szCs w:val="2"/>
            </w:rPr>
          </w:pPr>
          <w:bookmarkStart w:id="3" w:name="FOOTER_STANDARD"/>
        </w:p>
      </w:tc>
    </w:tr>
    <w:tr w:rsidR="00003B62" w:rsidRPr="00B310DC" w:rsidTr="00003B62">
      <w:trPr>
        <w:jc w:val="center"/>
      </w:trPr>
      <w:tc>
        <w:tcPr>
          <w:tcW w:w="2500" w:type="pct"/>
          <w:gridSpan w:val="2"/>
          <w:shd w:val="clear" w:color="auto" w:fill="auto"/>
          <w:tcMar>
            <w:top w:w="0" w:type="dxa"/>
          </w:tcMar>
        </w:tcPr>
        <w:p w:rsidR="00003B62" w:rsidRPr="00AD7BF2" w:rsidRDefault="00003B62" w:rsidP="004F54B2">
          <w:pPr>
            <w:pStyle w:val="FooterText"/>
          </w:pPr>
          <w:r>
            <w:t>13074/15</w:t>
          </w:r>
          <w:r w:rsidRPr="002511D8">
            <w:t xml:space="preserve"> </w:t>
          </w:r>
          <w:r>
            <w:t>ADD 1</w:t>
          </w:r>
        </w:p>
      </w:tc>
      <w:tc>
        <w:tcPr>
          <w:tcW w:w="625" w:type="pct"/>
          <w:shd w:val="clear" w:color="auto" w:fill="auto"/>
          <w:tcMar>
            <w:top w:w="0" w:type="dxa"/>
          </w:tcMar>
        </w:tcPr>
        <w:p w:rsidR="00003B62" w:rsidRPr="00AD7BF2" w:rsidRDefault="00003B62" w:rsidP="00D94637">
          <w:pPr>
            <w:pStyle w:val="FooterText"/>
            <w:jc w:val="center"/>
          </w:pPr>
        </w:p>
      </w:tc>
      <w:tc>
        <w:tcPr>
          <w:tcW w:w="1287" w:type="pct"/>
          <w:gridSpan w:val="3"/>
          <w:shd w:val="clear" w:color="auto" w:fill="auto"/>
          <w:tcMar>
            <w:top w:w="0" w:type="dxa"/>
          </w:tcMar>
        </w:tcPr>
        <w:p w:rsidR="00003B62" w:rsidRPr="002511D8" w:rsidRDefault="00003B62" w:rsidP="00D94637">
          <w:pPr>
            <w:pStyle w:val="FooterText"/>
            <w:jc w:val="center"/>
          </w:pPr>
          <w:r>
            <w:t>LL/gb</w:t>
          </w:r>
        </w:p>
      </w:tc>
      <w:tc>
        <w:tcPr>
          <w:tcW w:w="588" w:type="pct"/>
          <w:shd w:val="clear" w:color="auto" w:fill="auto"/>
          <w:tcMar>
            <w:top w:w="0" w:type="dxa"/>
          </w:tcMar>
        </w:tcPr>
        <w:p w:rsidR="00003B62" w:rsidRPr="00B310DC" w:rsidRDefault="00003B62" w:rsidP="00D94637">
          <w:pPr>
            <w:pStyle w:val="FooterText"/>
            <w:jc w:val="right"/>
          </w:pPr>
          <w:r>
            <w:fldChar w:fldCharType="begin"/>
          </w:r>
          <w:r>
            <w:instrText xml:space="preserve"> PAGE  \* MERGEFORMAT </w:instrText>
          </w:r>
          <w:r>
            <w:fldChar w:fldCharType="separate"/>
          </w:r>
          <w:r>
            <w:rPr>
              <w:noProof/>
            </w:rPr>
            <w:t>0</w:t>
          </w:r>
          <w:r>
            <w:fldChar w:fldCharType="end"/>
          </w:r>
        </w:p>
      </w:tc>
    </w:tr>
    <w:tr w:rsidR="00003B62" w:rsidRPr="00D94637" w:rsidTr="00003B62">
      <w:trPr>
        <w:jc w:val="center"/>
      </w:trPr>
      <w:tc>
        <w:tcPr>
          <w:tcW w:w="1774" w:type="pct"/>
          <w:shd w:val="clear" w:color="auto" w:fill="auto"/>
        </w:tcPr>
        <w:p w:rsidR="00003B62" w:rsidRPr="00AD7BF2" w:rsidRDefault="00003B62" w:rsidP="00D94637">
          <w:pPr>
            <w:pStyle w:val="FooterText"/>
            <w:spacing w:before="40"/>
          </w:pPr>
        </w:p>
      </w:tc>
      <w:tc>
        <w:tcPr>
          <w:tcW w:w="1455" w:type="pct"/>
          <w:gridSpan w:val="3"/>
          <w:shd w:val="clear" w:color="auto" w:fill="auto"/>
        </w:tcPr>
        <w:p w:rsidR="00003B62" w:rsidRPr="00AD7BF2" w:rsidRDefault="00003B62" w:rsidP="00D204D6">
          <w:pPr>
            <w:pStyle w:val="FooterText"/>
            <w:spacing w:before="40"/>
            <w:jc w:val="center"/>
          </w:pPr>
          <w:r>
            <w:t>DG G 3A</w:t>
          </w:r>
        </w:p>
      </w:tc>
      <w:tc>
        <w:tcPr>
          <w:tcW w:w="1147" w:type="pct"/>
          <w:shd w:val="clear" w:color="auto" w:fill="auto"/>
        </w:tcPr>
        <w:p w:rsidR="00003B62" w:rsidRPr="00D94637" w:rsidRDefault="00003B62" w:rsidP="00D94637">
          <w:pPr>
            <w:pStyle w:val="FooterText"/>
            <w:jc w:val="right"/>
            <w:rPr>
              <w:b/>
              <w:position w:val="-4"/>
              <w:sz w:val="36"/>
            </w:rPr>
          </w:pPr>
        </w:p>
      </w:tc>
      <w:tc>
        <w:tcPr>
          <w:tcW w:w="625" w:type="pct"/>
          <w:gridSpan w:val="2"/>
          <w:shd w:val="clear" w:color="auto" w:fill="auto"/>
        </w:tcPr>
        <w:p w:rsidR="00003B62" w:rsidRPr="00D94637" w:rsidRDefault="00003B62" w:rsidP="00D94637">
          <w:pPr>
            <w:pStyle w:val="FooterText"/>
            <w:jc w:val="right"/>
            <w:rPr>
              <w:sz w:val="16"/>
            </w:rPr>
          </w:pPr>
          <w:r>
            <w:rPr>
              <w:b/>
              <w:position w:val="-4"/>
              <w:sz w:val="36"/>
            </w:rPr>
            <w:t>EN</w:t>
          </w:r>
        </w:p>
      </w:tc>
    </w:tr>
    <w:bookmarkEnd w:id="3"/>
  </w:tbl>
  <w:p w:rsidR="00DB4770" w:rsidRPr="00003B62" w:rsidRDefault="00DB4770" w:rsidP="00003B62">
    <w:pPr>
      <w:pStyle w:val="FooterCouncil"/>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jc w:val="right"/>
    </w:pPr>
    <w:r>
      <w:fldChar w:fldCharType="begin"/>
    </w:r>
    <w:r>
      <w:instrText xml:space="preserve"> PAGE   \* MERGEFORMAT </w:instrText>
    </w:r>
    <w:r>
      <w:fldChar w:fldCharType="separate"/>
    </w:r>
    <w:r w:rsidR="003F66E8">
      <w:rPr>
        <w:noProof/>
      </w:rPr>
      <w:t>119</w:t>
    </w:r>
    <w:r>
      <w:rPr>
        <w:noProof/>
      </w:rPr>
      <w:fldChar w:fldCharType="end"/>
    </w:r>
  </w:p>
  <w:p w:rsidR="00332609" w:rsidRDefault="00332609">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jc w:val="center"/>
    </w:pPr>
    <w:r>
      <w:fldChar w:fldCharType="begin"/>
    </w:r>
    <w:r>
      <w:instrText xml:space="preserve"> PAGE   \* MERGEFORMAT </w:instrText>
    </w:r>
    <w:r>
      <w:fldChar w:fldCharType="separate"/>
    </w:r>
    <w:r w:rsidR="003F66E8">
      <w:rPr>
        <w:noProof/>
      </w:rPr>
      <w:t>152</w:t>
    </w:r>
    <w:r>
      <w:rPr>
        <w:noProof/>
      </w:rPr>
      <w:fldChar w:fldCharType="end"/>
    </w:r>
  </w:p>
  <w:p w:rsidR="00332609" w:rsidRDefault="00332609">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jc w:val="center"/>
    </w:pPr>
    <w:r>
      <w:fldChar w:fldCharType="begin"/>
    </w:r>
    <w:r>
      <w:instrText xml:space="preserve"> PAGE   \* MERGEFORMAT </w:instrText>
    </w:r>
    <w:r>
      <w:fldChar w:fldCharType="separate"/>
    </w:r>
    <w:r w:rsidR="003F66E8">
      <w:rPr>
        <w:noProof/>
      </w:rPr>
      <w:t>156</w:t>
    </w:r>
    <w:r>
      <w:rPr>
        <w:noProof/>
      </w:rPr>
      <w:fldChar w:fldCharType="end"/>
    </w:r>
  </w:p>
  <w:p w:rsidR="00332609" w:rsidRDefault="00332609">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1E0" w:firstRow="1" w:lastRow="1" w:firstColumn="1" w:lastColumn="1" w:noHBand="0" w:noVBand="0"/>
    </w:tblPr>
    <w:tblGrid>
      <w:gridCol w:w="3420"/>
      <w:gridCol w:w="1400"/>
      <w:gridCol w:w="1205"/>
      <w:gridCol w:w="200"/>
      <w:gridCol w:w="2211"/>
      <w:gridCol w:w="69"/>
      <w:gridCol w:w="1134"/>
    </w:tblGrid>
    <w:tr w:rsidR="00003B62" w:rsidRPr="00D94637" w:rsidTr="00003B62">
      <w:trPr>
        <w:jc w:val="center"/>
      </w:trPr>
      <w:tc>
        <w:tcPr>
          <w:tcW w:w="5000" w:type="pct"/>
          <w:gridSpan w:val="7"/>
          <w:shd w:val="clear" w:color="auto" w:fill="auto"/>
          <w:tcMar>
            <w:top w:w="57" w:type="dxa"/>
          </w:tcMar>
        </w:tcPr>
        <w:p w:rsidR="00003B62" w:rsidRPr="00D94637" w:rsidRDefault="00003B62" w:rsidP="00D94637">
          <w:pPr>
            <w:pStyle w:val="FooterText"/>
            <w:pBdr>
              <w:top w:val="single" w:sz="4" w:space="1" w:color="auto"/>
            </w:pBdr>
            <w:spacing w:before="200"/>
            <w:rPr>
              <w:sz w:val="2"/>
              <w:szCs w:val="2"/>
            </w:rPr>
          </w:pPr>
        </w:p>
      </w:tc>
    </w:tr>
    <w:tr w:rsidR="00003B62" w:rsidRPr="00B310DC" w:rsidTr="00003B62">
      <w:trPr>
        <w:jc w:val="center"/>
      </w:trPr>
      <w:tc>
        <w:tcPr>
          <w:tcW w:w="2500" w:type="pct"/>
          <w:gridSpan w:val="2"/>
          <w:shd w:val="clear" w:color="auto" w:fill="auto"/>
          <w:tcMar>
            <w:top w:w="0" w:type="dxa"/>
          </w:tcMar>
        </w:tcPr>
        <w:p w:rsidR="00003B62" w:rsidRPr="00AD7BF2" w:rsidRDefault="00003B62" w:rsidP="004F54B2">
          <w:pPr>
            <w:pStyle w:val="FooterText"/>
          </w:pPr>
          <w:r>
            <w:t>13074/15</w:t>
          </w:r>
          <w:r w:rsidRPr="002511D8">
            <w:t xml:space="preserve"> </w:t>
          </w:r>
          <w:r>
            <w:t>ADD 1</w:t>
          </w:r>
        </w:p>
      </w:tc>
      <w:tc>
        <w:tcPr>
          <w:tcW w:w="625" w:type="pct"/>
          <w:shd w:val="clear" w:color="auto" w:fill="auto"/>
          <w:tcMar>
            <w:top w:w="0" w:type="dxa"/>
          </w:tcMar>
        </w:tcPr>
        <w:p w:rsidR="00003B62" w:rsidRPr="00AD7BF2" w:rsidRDefault="00003B62" w:rsidP="00D94637">
          <w:pPr>
            <w:pStyle w:val="FooterText"/>
            <w:jc w:val="center"/>
          </w:pPr>
        </w:p>
      </w:tc>
      <w:tc>
        <w:tcPr>
          <w:tcW w:w="1287" w:type="pct"/>
          <w:gridSpan w:val="3"/>
          <w:shd w:val="clear" w:color="auto" w:fill="auto"/>
          <w:tcMar>
            <w:top w:w="0" w:type="dxa"/>
          </w:tcMar>
        </w:tcPr>
        <w:p w:rsidR="00003B62" w:rsidRPr="002511D8" w:rsidRDefault="00003B62" w:rsidP="00D94637">
          <w:pPr>
            <w:pStyle w:val="FooterText"/>
            <w:jc w:val="center"/>
          </w:pPr>
          <w:r>
            <w:t>LL/gb</w:t>
          </w:r>
        </w:p>
      </w:tc>
      <w:tc>
        <w:tcPr>
          <w:tcW w:w="588" w:type="pct"/>
          <w:shd w:val="clear" w:color="auto" w:fill="auto"/>
          <w:tcMar>
            <w:top w:w="0" w:type="dxa"/>
          </w:tcMar>
        </w:tcPr>
        <w:p w:rsidR="00003B62" w:rsidRPr="00B310DC" w:rsidRDefault="00003B62" w:rsidP="00D94637">
          <w:pPr>
            <w:pStyle w:val="FooterText"/>
            <w:jc w:val="right"/>
          </w:pPr>
        </w:p>
      </w:tc>
    </w:tr>
    <w:tr w:rsidR="00003B62" w:rsidRPr="00D94637" w:rsidTr="00003B62">
      <w:trPr>
        <w:jc w:val="center"/>
      </w:trPr>
      <w:tc>
        <w:tcPr>
          <w:tcW w:w="1774" w:type="pct"/>
          <w:shd w:val="clear" w:color="auto" w:fill="auto"/>
        </w:tcPr>
        <w:p w:rsidR="00003B62" w:rsidRPr="00AD7BF2" w:rsidRDefault="00003B62" w:rsidP="00D94637">
          <w:pPr>
            <w:pStyle w:val="FooterText"/>
            <w:spacing w:before="40"/>
          </w:pPr>
        </w:p>
      </w:tc>
      <w:tc>
        <w:tcPr>
          <w:tcW w:w="1455" w:type="pct"/>
          <w:gridSpan w:val="3"/>
          <w:shd w:val="clear" w:color="auto" w:fill="auto"/>
        </w:tcPr>
        <w:p w:rsidR="00003B62" w:rsidRPr="00AD7BF2" w:rsidRDefault="00003B62" w:rsidP="00D204D6">
          <w:pPr>
            <w:pStyle w:val="FooterText"/>
            <w:spacing w:before="40"/>
            <w:jc w:val="center"/>
          </w:pPr>
          <w:r>
            <w:t>DG G 3A</w:t>
          </w:r>
        </w:p>
      </w:tc>
      <w:tc>
        <w:tcPr>
          <w:tcW w:w="1147" w:type="pct"/>
          <w:shd w:val="clear" w:color="auto" w:fill="auto"/>
        </w:tcPr>
        <w:p w:rsidR="00003B62" w:rsidRPr="00D94637" w:rsidRDefault="00003B62" w:rsidP="00D94637">
          <w:pPr>
            <w:pStyle w:val="FooterText"/>
            <w:jc w:val="right"/>
            <w:rPr>
              <w:b/>
              <w:position w:val="-4"/>
              <w:sz w:val="36"/>
            </w:rPr>
          </w:pPr>
        </w:p>
      </w:tc>
      <w:tc>
        <w:tcPr>
          <w:tcW w:w="625" w:type="pct"/>
          <w:gridSpan w:val="2"/>
          <w:shd w:val="clear" w:color="auto" w:fill="auto"/>
        </w:tcPr>
        <w:p w:rsidR="00003B62" w:rsidRPr="00D94637" w:rsidRDefault="00003B62" w:rsidP="00D94637">
          <w:pPr>
            <w:pStyle w:val="FooterText"/>
            <w:jc w:val="right"/>
            <w:rPr>
              <w:sz w:val="16"/>
            </w:rPr>
          </w:pPr>
          <w:r>
            <w:rPr>
              <w:b/>
              <w:position w:val="-4"/>
              <w:sz w:val="36"/>
            </w:rPr>
            <w:t>EN</w:t>
          </w:r>
        </w:p>
      </w:tc>
    </w:tr>
  </w:tbl>
  <w:p w:rsidR="005269EB" w:rsidRPr="00003B62" w:rsidRDefault="005269EB" w:rsidP="00003B62">
    <w:pPr>
      <w:pStyle w:val="FooterCounci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Default="008B418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Pr="00DB4770" w:rsidRDefault="008B418B" w:rsidP="00DB4770">
    <w:pPr>
      <w:pStyle w:val="FooterCoverPage"/>
      <w:rPr>
        <w:rFonts w:ascii="Arial" w:hAnsi="Arial" w:cs="Arial"/>
        <w:b/>
        <w:sz w:val="48"/>
      </w:rPr>
    </w:pPr>
    <w:r w:rsidRPr="00DB4770">
      <w:rPr>
        <w:rFonts w:ascii="Arial" w:hAnsi="Arial" w:cs="Arial"/>
        <w:b/>
        <w:sz w:val="48"/>
      </w:rPr>
      <w:t>EN</w:t>
    </w:r>
    <w:r w:rsidRPr="00DB4770">
      <w:rPr>
        <w:rFonts w:ascii="Arial" w:hAnsi="Arial" w:cs="Arial"/>
        <w:b/>
        <w:sz w:val="48"/>
      </w:rPr>
      <w:tab/>
    </w:r>
    <w:r w:rsidRPr="00DB4770">
      <w:rPr>
        <w:rFonts w:ascii="Arial" w:hAnsi="Arial" w:cs="Arial"/>
        <w:b/>
        <w:sz w:val="48"/>
      </w:rPr>
      <w:tab/>
    </w:r>
    <w:r>
      <w:t xml:space="preserve"> </w:t>
    </w:r>
    <w:r w:rsidRPr="00DB4770">
      <w:tab/>
    </w:r>
    <w:r w:rsidRPr="00DB4770">
      <w:rPr>
        <w:rFonts w:ascii="Arial" w:hAnsi="Arial" w:cs="Arial"/>
        <w:b/>
        <w:sz w:val="48"/>
      </w:rPr>
      <w:t>EN</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Default="008B418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793" w:rsidRDefault="00327793">
    <w:pPr>
      <w:pStyle w:val="Footer"/>
      <w:jc w:val="center"/>
    </w:pPr>
    <w:r>
      <w:fldChar w:fldCharType="begin"/>
    </w:r>
    <w:r>
      <w:instrText xml:space="preserve"> PAGE   \* MERGEFORMAT </w:instrText>
    </w:r>
    <w:r>
      <w:fldChar w:fldCharType="separate"/>
    </w:r>
    <w:r w:rsidR="003F66E8">
      <w:rPr>
        <w:noProof/>
      </w:rPr>
      <w:t>75</w:t>
    </w:r>
    <w:r>
      <w:rPr>
        <w:noProof/>
      </w:rPr>
      <w:fldChar w:fldCharType="end"/>
    </w:r>
  </w:p>
  <w:p w:rsidR="00332609" w:rsidRPr="00332609" w:rsidRDefault="00332609">
    <w:pPr>
      <w:pStyle w:val="FooterCoverPage"/>
      <w:rPr>
        <w:rFonts w:ascii="Arial" w:hAnsi="Arial"/>
        <w:b/>
        <w:sz w:val="4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A38" w:rsidRDefault="00101A38">
      <w:pPr>
        <w:spacing w:before="0" w:after="0"/>
      </w:pPr>
      <w:r>
        <w:separator/>
      </w:r>
    </w:p>
  </w:footnote>
  <w:footnote w:type="continuationSeparator" w:id="0">
    <w:p w:rsidR="00101A38" w:rsidRDefault="00101A38">
      <w:pPr>
        <w:spacing w:before="0" w:after="0"/>
      </w:pPr>
      <w:r>
        <w:continuationSeparator/>
      </w:r>
    </w:p>
  </w:footnote>
  <w:footnote w:type="continuationNotice" w:id="1">
    <w:p w:rsidR="00101A38" w:rsidRDefault="00101A38">
      <w:pPr>
        <w:spacing w:before="0" w:after="0"/>
      </w:pPr>
    </w:p>
  </w:footnote>
  <w:footnote w:id="2">
    <w:p w:rsidR="00332609" w:rsidRDefault="00332609">
      <w:pPr>
        <w:spacing w:after="0"/>
        <w:contextualSpacing/>
        <w:rPr>
          <w:sz w:val="20"/>
          <w:szCs w:val="20"/>
        </w:rPr>
      </w:pPr>
      <w:r>
        <w:rPr>
          <w:rStyle w:val="FootnoteReference"/>
          <w:sz w:val="20"/>
          <w:szCs w:val="20"/>
        </w:rPr>
        <w:footnoteRef/>
      </w:r>
      <w:r>
        <w:rPr>
          <w:sz w:val="20"/>
          <w:szCs w:val="20"/>
        </w:rPr>
        <w:t xml:space="preserve"> It was estimated (in 2011) that EU consumers could save €11.</w:t>
      </w:r>
      <w:r w:rsidRPr="004456F1">
        <w:rPr>
          <w:sz w:val="20"/>
          <w:szCs w:val="20"/>
        </w:rPr>
        <w:t>7</w:t>
      </w:r>
      <w:r>
        <w:rPr>
          <w:sz w:val="20"/>
          <w:szCs w:val="20"/>
        </w:rPr>
        <w:t xml:space="preserve"> </w:t>
      </w:r>
      <w:r w:rsidRPr="004456F1">
        <w:rPr>
          <w:sz w:val="20"/>
          <w:szCs w:val="20"/>
        </w:rPr>
        <w:t>b</w:t>
      </w:r>
      <w:r>
        <w:rPr>
          <w:sz w:val="20"/>
          <w:szCs w:val="20"/>
        </w:rPr>
        <w:t>illio</w:t>
      </w:r>
      <w:r w:rsidRPr="004456F1">
        <w:rPr>
          <w:sz w:val="20"/>
          <w:szCs w:val="20"/>
        </w:rPr>
        <w:t>n</w:t>
      </w:r>
      <w:r>
        <w:rPr>
          <w:sz w:val="20"/>
          <w:szCs w:val="20"/>
        </w:rPr>
        <w:t xml:space="preserve"> annually thanks to lower prices and wider choice offered by online shopping (In-depth study on E-commerce in goods) </w:t>
      </w:r>
      <w:hyperlink r:id="rId1" w:history="1">
        <w:r>
          <w:rPr>
            <w:rStyle w:val="Hyperlink"/>
            <w:sz w:val="20"/>
            <w:szCs w:val="20"/>
          </w:rPr>
          <w:t>http://ec.europa.eu/consumers/consumer_evidence/market_studies/e_commerce/index_en.htm</w:t>
        </w:r>
      </w:hyperlink>
      <w:r>
        <w:rPr>
          <w:sz w:val="20"/>
          <w:szCs w:val="20"/>
        </w:rPr>
        <w:t xml:space="preserve">) </w:t>
      </w:r>
    </w:p>
  </w:footnote>
  <w:footnote w:id="3">
    <w:p w:rsidR="00332609" w:rsidRDefault="00332609">
      <w:pPr>
        <w:spacing w:after="0"/>
        <w:contextualSpacing/>
        <w:rPr>
          <w:sz w:val="20"/>
          <w:szCs w:val="20"/>
        </w:rPr>
      </w:pPr>
    </w:p>
    <w:p w:rsidR="00332609" w:rsidRDefault="00332609">
      <w:pPr>
        <w:spacing w:after="0"/>
        <w:contextualSpacing/>
        <w:rPr>
          <w:sz w:val="20"/>
          <w:szCs w:val="20"/>
        </w:rPr>
      </w:pPr>
      <w:r>
        <w:rPr>
          <w:rStyle w:val="FootnoteReference"/>
          <w:sz w:val="20"/>
          <w:szCs w:val="20"/>
        </w:rPr>
        <w:footnoteRef/>
      </w:r>
      <w:r>
        <w:rPr>
          <w:sz w:val="20"/>
          <w:szCs w:val="20"/>
        </w:rPr>
        <w:t xml:space="preserve"> 2011/83/EU  </w:t>
      </w:r>
    </w:p>
  </w:footnote>
  <w:footnote w:id="4">
    <w:p w:rsidR="00332609" w:rsidRDefault="00332609" w:rsidP="00470C47">
      <w:pPr>
        <w:pStyle w:val="FootnoteText"/>
      </w:pPr>
      <w:r>
        <w:rPr>
          <w:rStyle w:val="FootnoteReference"/>
        </w:rPr>
        <w:footnoteRef/>
      </w:r>
      <w:r>
        <w:t xml:space="preserve"> COM(2015) 192 final</w:t>
      </w:r>
    </w:p>
  </w:footnote>
  <w:footnote w:id="5">
    <w:p w:rsidR="00332609" w:rsidRDefault="00332609" w:rsidP="00470C47">
      <w:pPr>
        <w:pStyle w:val="FootnoteText"/>
      </w:pPr>
      <w:r>
        <w:rPr>
          <w:rStyle w:val="FootnoteReference"/>
        </w:rPr>
        <w:footnoteRef/>
      </w:r>
      <w:r>
        <w:t xml:space="preserve"> Flash Eurobarometer 397 ‘Consumer attitudes towards cross-border trade and consumer protection’, 2014. (See </w:t>
      </w:r>
      <w:r w:rsidRPr="00D05FAB">
        <w:t xml:space="preserve">footnote </w:t>
      </w:r>
      <w:r>
        <w:t>10 for more methodological information).</w:t>
      </w:r>
    </w:p>
  </w:footnote>
  <w:footnote w:id="6">
    <w:p w:rsidR="00332609" w:rsidRDefault="00332609" w:rsidP="00470C47">
      <w:pPr>
        <w:pStyle w:val="FootnoteText"/>
      </w:pPr>
      <w:r>
        <w:rPr>
          <w:rStyle w:val="FootnoteReference"/>
        </w:rPr>
        <w:footnoteRef/>
      </w:r>
      <w:r>
        <w:t xml:space="preserve"> Flash Eurobarometer 396 ‘Retailers’ attitudes towards cross-border trade and consumer protection’, 2014. (See </w:t>
      </w:r>
      <w:r w:rsidRPr="00D05FAB">
        <w:t xml:space="preserve">footnote </w:t>
      </w:r>
      <w:r>
        <w:t>11 for more methodological information).</w:t>
      </w:r>
    </w:p>
  </w:footnote>
  <w:footnote w:id="7">
    <w:p w:rsidR="00332609" w:rsidRDefault="00332609" w:rsidP="00470C47">
      <w:pPr>
        <w:pStyle w:val="FootnoteText"/>
      </w:pPr>
      <w:r>
        <w:rPr>
          <w:rStyle w:val="FootnoteReference"/>
        </w:rPr>
        <w:footnoteRef/>
      </w:r>
      <w:r>
        <w:t xml:space="preserve"> Eurostat Community Survey on ICT usage in households and by individuals, 2014.</w:t>
      </w:r>
    </w:p>
  </w:footnote>
  <w:footnote w:id="8">
    <w:p w:rsidR="00332609" w:rsidRDefault="00332609" w:rsidP="00470C47">
      <w:pPr>
        <w:pStyle w:val="FootnoteText"/>
      </w:pPr>
      <w:r>
        <w:rPr>
          <w:rStyle w:val="FootnoteReference"/>
        </w:rPr>
        <w:footnoteRef/>
      </w:r>
      <w:r>
        <w:t xml:space="preserve"> Eurostat Community survey on ICT usage and e-commerce in enterprises, 2014.</w:t>
      </w:r>
    </w:p>
  </w:footnote>
  <w:footnote w:id="9">
    <w:p w:rsidR="00332609" w:rsidRDefault="00332609" w:rsidP="00470C47">
      <w:pPr>
        <w:pStyle w:val="FootnoteText"/>
      </w:pPr>
      <w:r>
        <w:rPr>
          <w:rStyle w:val="FootnoteReference"/>
        </w:rPr>
        <w:footnoteRef/>
      </w:r>
      <w:r>
        <w:t xml:space="preserve"> Consumer surveys identifying the main cross-border obstacles to the Digital Single Market and where they matter most, GfK on behalf of the European Commission, 2015 — 2015 DSM consumer survey. The survey was conducted using online panels, in February-March 2015, among consumers with Internet access at home. The total sample size was 23</w:t>
      </w:r>
      <w:r w:rsidRPr="004456F1">
        <w:rPr>
          <w:w w:val="50"/>
        </w:rPr>
        <w:t> </w:t>
      </w:r>
      <w:r>
        <w:t xml:space="preserve">599 respondents in the 28 EU Member States, Iceland and Norway (1000 respondents in the 19 larger countries, 500 in 7 smaller countries and 250 in 4 smallest countries). The sampling and the weighting procedures were designed to ensure sample representativeness. </w:t>
      </w:r>
    </w:p>
  </w:footnote>
  <w:footnote w:id="10">
    <w:p w:rsidR="00F3570B" w:rsidRPr="009F1C5B" w:rsidRDefault="00F3570B" w:rsidP="00F3570B">
      <w:pPr>
        <w:pStyle w:val="FootnoteText"/>
      </w:pPr>
      <w:r>
        <w:rPr>
          <w:rStyle w:val="FootnoteReference"/>
        </w:rPr>
        <w:footnoteRef/>
      </w:r>
      <w:r>
        <w:t xml:space="preserve"> </w:t>
      </w:r>
      <w:r w:rsidRPr="004C2315">
        <w:t>EU-wide 'sweeps' coordinated by the Commission (</w:t>
      </w:r>
      <w:hyperlink r:id="rId2" w:history="1">
        <w:r w:rsidRPr="004C2315">
          <w:rPr>
            <w:rStyle w:val="Hyperlink"/>
          </w:rPr>
          <w:t>http://ec.europa.eu/consumers/enforcement/sweeps/index_en.htm</w:t>
        </w:r>
      </w:hyperlink>
      <w:r w:rsidRPr="004C2315">
        <w:t>) and a study contracted in the context of the review of the Consumer Protection Cooperation Regulation (see footnotes 12</w:t>
      </w:r>
      <w:r>
        <w:t>5</w:t>
      </w:r>
      <w:r w:rsidRPr="004C2315">
        <w:t>-12</w:t>
      </w:r>
      <w:r>
        <w:t>7</w:t>
      </w:r>
      <w:r w:rsidRPr="004C2315">
        <w:t>).</w:t>
      </w:r>
    </w:p>
  </w:footnote>
  <w:footnote w:id="11">
    <w:p w:rsidR="00332609" w:rsidRDefault="00332609" w:rsidP="00470C47">
      <w:pPr>
        <w:pStyle w:val="FootnoteText"/>
      </w:pPr>
      <w:r>
        <w:rPr>
          <w:rStyle w:val="FootnoteReference"/>
        </w:rPr>
        <w:footnoteRef/>
      </w:r>
      <w:r>
        <w:t xml:space="preserve"> </w:t>
      </w:r>
      <w:hyperlink r:id="rId3" w:history="1">
        <w:r>
          <w:rPr>
            <w:rStyle w:val="Hyperlink"/>
          </w:rPr>
          <w:t>http://digital-agenda-data.eu/datasets/desi/visualizations</w:t>
        </w:r>
      </w:hyperlink>
      <w:r>
        <w:t xml:space="preserve"> </w:t>
      </w:r>
    </w:p>
  </w:footnote>
  <w:footnote w:id="12">
    <w:p w:rsidR="00332609" w:rsidRDefault="00332609" w:rsidP="00470C47">
      <w:pPr>
        <w:pStyle w:val="FootnoteText"/>
      </w:pPr>
      <w:r>
        <w:rPr>
          <w:rStyle w:val="FootnoteReference"/>
        </w:rPr>
        <w:footnoteRef/>
      </w:r>
      <w:r>
        <w:t xml:space="preserve"> Eurostat</w:t>
      </w:r>
      <w:r w:rsidR="00065802">
        <w:t xml:space="preserve"> </w:t>
      </w:r>
      <w:r w:rsidR="00065802" w:rsidRPr="00065802">
        <w:t>Community Survey on ICT usage in households and by individuals. 2014 (isoc_ec_ibuy)</w:t>
      </w:r>
      <w:r w:rsidR="00065802">
        <w:t>.</w:t>
      </w:r>
    </w:p>
  </w:footnote>
  <w:footnote w:id="13">
    <w:p w:rsidR="00332609" w:rsidRDefault="00332609" w:rsidP="00470C47">
      <w:pPr>
        <w:pStyle w:val="FootnoteText"/>
      </w:pPr>
      <w:r>
        <w:rPr>
          <w:rStyle w:val="FootnoteReference"/>
        </w:rPr>
        <w:footnoteRef/>
      </w:r>
      <w:r>
        <w:t xml:space="preserve"> 2015 DSM consumer survey.</w:t>
      </w:r>
    </w:p>
  </w:footnote>
  <w:footnote w:id="14">
    <w:p w:rsidR="00332609" w:rsidRDefault="00332609" w:rsidP="00470C47">
      <w:pPr>
        <w:pStyle w:val="FootnoteText"/>
      </w:pPr>
      <w:r>
        <w:rPr>
          <w:rStyle w:val="FootnoteReference"/>
        </w:rPr>
        <w:footnoteRef/>
      </w:r>
      <w:r>
        <w:t xml:space="preserve"> Eurostat</w:t>
      </w:r>
      <w:r w:rsidR="00065802">
        <w:t xml:space="preserve"> </w:t>
      </w:r>
      <w:r w:rsidR="00065802" w:rsidRPr="00065802">
        <w:t>Community Survey on ICT usage in households and by individuals. 2014 (isoc_ec_ibuy)</w:t>
      </w:r>
      <w:r w:rsidR="00065802">
        <w:t>.</w:t>
      </w:r>
    </w:p>
  </w:footnote>
  <w:footnote w:id="15">
    <w:p w:rsidR="00332609" w:rsidRDefault="00332609" w:rsidP="00470C47">
      <w:pPr>
        <w:pStyle w:val="FootnoteText"/>
      </w:pPr>
      <w:r>
        <w:rPr>
          <w:rStyle w:val="FootnoteReference"/>
        </w:rPr>
        <w:footnoteRef/>
      </w:r>
      <w:r>
        <w:t xml:space="preserve"> 2015 DSM consumer survey</w:t>
      </w:r>
      <w:r w:rsidR="00065802">
        <w:t>.</w:t>
      </w:r>
    </w:p>
  </w:footnote>
  <w:footnote w:id="16">
    <w:p w:rsidR="00332609" w:rsidRDefault="00332609" w:rsidP="00470C47">
      <w:pPr>
        <w:pStyle w:val="FootnoteText"/>
      </w:pPr>
      <w:r>
        <w:rPr>
          <w:rStyle w:val="FootnoteReference"/>
        </w:rPr>
        <w:footnoteRef/>
      </w:r>
      <w:r>
        <w:t xml:space="preserve"> This analysis consisted in comparing websites indicated for the latest purchase with consumers’ answers on the location of the online seller.</w:t>
      </w:r>
    </w:p>
  </w:footnote>
  <w:footnote w:id="17">
    <w:p w:rsidR="00332609" w:rsidRDefault="00332609" w:rsidP="00470C47">
      <w:pPr>
        <w:pStyle w:val="FootnoteText"/>
      </w:pPr>
      <w:r>
        <w:rPr>
          <w:rStyle w:val="FootnoteReference"/>
        </w:rPr>
        <w:footnoteRef/>
      </w:r>
      <w:r>
        <w:t xml:space="preserve"> Eurostat. </w:t>
      </w:r>
    </w:p>
  </w:footnote>
  <w:footnote w:id="18">
    <w:p w:rsidR="00332609" w:rsidRDefault="00332609" w:rsidP="00470C47">
      <w:pPr>
        <w:pStyle w:val="FootnoteText"/>
      </w:pPr>
      <w:r>
        <w:rPr>
          <w:rStyle w:val="FootnoteReference"/>
        </w:rPr>
        <w:footnoteRef/>
      </w:r>
      <w:r>
        <w:t xml:space="preserve"> When it comes to the most recent online purchase, respondents who use comfortably 2, 3 or 4 languages for personal interests during their online activities report much higher proportions of cross-border purchasing (14</w:t>
      </w:r>
      <w:r w:rsidRPr="004456F1">
        <w:rPr>
          <w:w w:val="50"/>
        </w:rPr>
        <w:t> </w:t>
      </w:r>
      <w:r>
        <w:t>%, 17</w:t>
      </w:r>
      <w:r w:rsidRPr="004456F1">
        <w:rPr>
          <w:w w:val="50"/>
        </w:rPr>
        <w:t> </w:t>
      </w:r>
      <w:r>
        <w:t>% and 23</w:t>
      </w:r>
      <w:r w:rsidRPr="004456F1">
        <w:rPr>
          <w:w w:val="50"/>
        </w:rPr>
        <w:t> </w:t>
      </w:r>
      <w:r>
        <w:t>% respectively), as opposed to those who only speak their native language (10</w:t>
      </w:r>
      <w:r w:rsidRPr="004456F1">
        <w:rPr>
          <w:w w:val="50"/>
        </w:rPr>
        <w:t> </w:t>
      </w:r>
      <w:r w:rsidRPr="004456F1">
        <w:t>%)</w:t>
      </w:r>
      <w:r>
        <w:t>.</w:t>
      </w:r>
    </w:p>
  </w:footnote>
  <w:footnote w:id="19">
    <w:p w:rsidR="00332609" w:rsidRDefault="00332609" w:rsidP="00470C47">
      <w:pPr>
        <w:pStyle w:val="FootnoteText"/>
      </w:pPr>
      <w:r>
        <w:rPr>
          <w:rStyle w:val="FootnoteReference"/>
        </w:rPr>
        <w:footnoteRef/>
      </w:r>
      <w:r>
        <w:t xml:space="preserve"> Eurobarometer 397.</w:t>
      </w:r>
    </w:p>
  </w:footnote>
  <w:footnote w:id="20">
    <w:p w:rsidR="00332609" w:rsidRDefault="00332609" w:rsidP="00470C47">
      <w:pPr>
        <w:pStyle w:val="FootnoteText"/>
      </w:pPr>
      <w:r>
        <w:rPr>
          <w:rStyle w:val="FootnoteReference"/>
        </w:rPr>
        <w:footnoteRef/>
      </w:r>
      <w:r>
        <w:t xml:space="preserve"> 2015 DSM consumer survey, 21</w:t>
      </w:r>
      <w:r w:rsidRPr="004456F1">
        <w:rPr>
          <w:w w:val="50"/>
        </w:rPr>
        <w:t> </w:t>
      </w:r>
      <w:r>
        <w:t>% of those respondents who travel to other countries at least a few times per year reported that their latest online purchase was from a seller/provider in another EU28 country vs only 8</w:t>
      </w:r>
      <w:r w:rsidRPr="004456F1">
        <w:rPr>
          <w:w w:val="50"/>
        </w:rPr>
        <w:t> </w:t>
      </w:r>
      <w:r>
        <w:t>% of those who rarely or never travel abroad.</w:t>
      </w:r>
    </w:p>
  </w:footnote>
  <w:footnote w:id="21">
    <w:p w:rsidR="00332609" w:rsidRDefault="00332609" w:rsidP="00470C47">
      <w:pPr>
        <w:pStyle w:val="FootnoteText"/>
      </w:pPr>
      <w:r>
        <w:rPr>
          <w:rStyle w:val="FootnoteReference"/>
        </w:rPr>
        <w:footnoteRef/>
      </w:r>
      <w:r>
        <w:t xml:space="preserve"> Eurostat Community survey on ICT usage and e-commerce in enterprises</w:t>
      </w:r>
      <w:r w:rsidR="00B4685E">
        <w:t>, 2014</w:t>
      </w:r>
      <w:r>
        <w:t>.</w:t>
      </w:r>
    </w:p>
  </w:footnote>
  <w:footnote w:id="22">
    <w:p w:rsidR="00481705" w:rsidRPr="00481705" w:rsidRDefault="00481705">
      <w:pPr>
        <w:pStyle w:val="FootnoteText"/>
      </w:pPr>
      <w:r>
        <w:rPr>
          <w:rStyle w:val="FootnoteReference"/>
        </w:rPr>
        <w:footnoteRef/>
      </w:r>
      <w:r>
        <w:t xml:space="preserve"> Data refer to the calendar year preceding the survey year.</w:t>
      </w:r>
    </w:p>
  </w:footnote>
  <w:footnote w:id="23">
    <w:p w:rsidR="00332609" w:rsidRDefault="00332609" w:rsidP="00470C47">
      <w:pPr>
        <w:pStyle w:val="FootnoteText"/>
      </w:pPr>
      <w:r>
        <w:rPr>
          <w:rStyle w:val="FootnoteReference"/>
        </w:rPr>
        <w:footnoteRef/>
      </w:r>
      <w:r>
        <w:t xml:space="preserve"> Flash Eurobarometer 396, ‘Retailers’ attitudes towards cross-border trade and consumer protection’</w:t>
      </w:r>
      <w:r w:rsidRPr="004456F1">
        <w:t>,</w:t>
      </w:r>
      <w:r>
        <w:t xml:space="preserve"> 2014.</w:t>
      </w:r>
    </w:p>
  </w:footnote>
  <w:footnote w:id="24">
    <w:p w:rsidR="00332609" w:rsidRDefault="00332609" w:rsidP="00470C47">
      <w:pPr>
        <w:pStyle w:val="FootnoteText"/>
      </w:pPr>
      <w:r>
        <w:rPr>
          <w:rStyle w:val="FootnoteReference"/>
        </w:rPr>
        <w:footnoteRef/>
      </w:r>
      <w:r>
        <w:t xml:space="preserve"> Flash Eurobarometer 396, ‘Retailers’ attitudes towards cross-border trade and consumer protection’</w:t>
      </w:r>
      <w:r w:rsidRPr="004456F1">
        <w:t>,</w:t>
      </w:r>
      <w:r>
        <w:t xml:space="preserve"> 2014.</w:t>
      </w:r>
    </w:p>
  </w:footnote>
  <w:footnote w:id="25">
    <w:p w:rsidR="00332609" w:rsidRDefault="00332609" w:rsidP="00470C47">
      <w:pPr>
        <w:pStyle w:val="FootnoteText"/>
      </w:pPr>
      <w:r>
        <w:rPr>
          <w:rStyle w:val="FootnoteReference"/>
        </w:rPr>
        <w:footnoteRef/>
      </w:r>
      <w:r>
        <w:t xml:space="preserve"> Flash Eurobarometer 396, ‘Retailers’ attitudes towards cross-border trade and consumer protection’</w:t>
      </w:r>
      <w:r w:rsidRPr="004456F1">
        <w:t>,</w:t>
      </w:r>
      <w:r>
        <w:t xml:space="preserve"> 2014.</w:t>
      </w:r>
    </w:p>
  </w:footnote>
  <w:footnote w:id="26">
    <w:p w:rsidR="00332609" w:rsidRDefault="00332609" w:rsidP="00470C47">
      <w:pPr>
        <w:pStyle w:val="FootnoteText"/>
      </w:pPr>
      <w:r>
        <w:rPr>
          <w:rStyle w:val="FootnoteReference"/>
        </w:rPr>
        <w:footnoteRef/>
      </w:r>
      <w:r>
        <w:t xml:space="preserve"> E-commerce and distance selling in Europe Report, 2014/2015, EMOTA.</w:t>
      </w:r>
    </w:p>
  </w:footnote>
  <w:footnote w:id="27">
    <w:p w:rsidR="00332609" w:rsidRPr="005802C6" w:rsidRDefault="00332609">
      <w:pPr>
        <w:spacing w:after="0"/>
        <w:contextualSpacing/>
        <w:rPr>
          <w:rFonts w:eastAsia="Arial Unicode MS"/>
          <w:i/>
          <w:sz w:val="20"/>
          <w:szCs w:val="20"/>
        </w:rPr>
      </w:pPr>
      <w:r>
        <w:rPr>
          <w:rStyle w:val="FootnoteReference"/>
          <w:sz w:val="20"/>
          <w:szCs w:val="20"/>
        </w:rPr>
        <w:footnoteRef/>
      </w:r>
      <w:r>
        <w:rPr>
          <w:sz w:val="20"/>
          <w:szCs w:val="20"/>
        </w:rPr>
        <w:t xml:space="preserve"> </w:t>
      </w:r>
      <w:r>
        <w:rPr>
          <w:rFonts w:eastAsia="Arial Unicode MS"/>
          <w:sz w:val="20"/>
          <w:szCs w:val="20"/>
        </w:rPr>
        <w:t xml:space="preserve">Eurostat </w:t>
      </w:r>
      <w:r w:rsidRPr="005802C6">
        <w:rPr>
          <w:rFonts w:eastAsia="Arial Unicode MS"/>
          <w:sz w:val="20"/>
          <w:szCs w:val="20"/>
        </w:rPr>
        <w:t>Community Survey on ICT usage in households and by individuals (isoc_ec_ibuy</w:t>
      </w:r>
      <w:r w:rsidRPr="004456F1">
        <w:rPr>
          <w:rFonts w:eastAsia="Arial Unicode MS"/>
          <w:sz w:val="20"/>
          <w:szCs w:val="20"/>
        </w:rPr>
        <w:t>)</w:t>
      </w:r>
      <w:r>
        <w:rPr>
          <w:rFonts w:eastAsia="Arial Unicode MS"/>
          <w:sz w:val="20"/>
          <w:szCs w:val="20"/>
        </w:rPr>
        <w:t>.</w:t>
      </w:r>
    </w:p>
  </w:footnote>
  <w:footnote w:id="28">
    <w:p w:rsidR="00332609" w:rsidRPr="005802C6" w:rsidRDefault="00332609" w:rsidP="005802C6">
      <w:pPr>
        <w:pStyle w:val="PlainText"/>
        <w:rPr>
          <w:rFonts w:ascii="Times New Roman" w:hAnsi="Times New Roman"/>
          <w:sz w:val="20"/>
          <w:szCs w:val="20"/>
        </w:rPr>
      </w:pPr>
      <w:r w:rsidRPr="005802C6">
        <w:rPr>
          <w:rStyle w:val="FootnoteReference"/>
          <w:rFonts w:ascii="Times New Roman" w:hAnsi="Times New Roman"/>
          <w:sz w:val="20"/>
          <w:szCs w:val="20"/>
        </w:rPr>
        <w:footnoteRef/>
      </w:r>
      <w:r w:rsidRPr="005802C6">
        <w:rPr>
          <w:rFonts w:ascii="Times New Roman" w:hAnsi="Times New Roman"/>
          <w:sz w:val="20"/>
          <w:szCs w:val="20"/>
        </w:rPr>
        <w:t xml:space="preserve"> Global games market report—2015, SuperData Research, May 2015</w:t>
      </w:r>
      <w:r>
        <w:rPr>
          <w:rFonts w:ascii="Times New Roman" w:hAnsi="Times New Roman"/>
          <w:sz w:val="20"/>
          <w:szCs w:val="20"/>
        </w:rPr>
        <w:t>.</w:t>
      </w:r>
    </w:p>
  </w:footnote>
  <w:footnote w:id="29">
    <w:p w:rsidR="00332609" w:rsidRPr="005802C6" w:rsidRDefault="00332609" w:rsidP="00470C47">
      <w:pPr>
        <w:pStyle w:val="FootnoteText"/>
      </w:pPr>
      <w:r w:rsidRPr="005802C6">
        <w:rPr>
          <w:rStyle w:val="FootnoteReference"/>
        </w:rPr>
        <w:footnoteRef/>
      </w:r>
      <w:r w:rsidRPr="005802C6">
        <w:t xml:space="preserve"> </w:t>
      </w:r>
      <w:hyperlink r:id="rId4" w:history="1">
        <w:r w:rsidRPr="005802C6">
          <w:rPr>
            <w:rStyle w:val="Hyperlink"/>
          </w:rPr>
          <w:t>http://www.ifpi.org/downloads/Europe-Music-Industry-2014.pdf</w:t>
        </w:r>
      </w:hyperlink>
    </w:p>
  </w:footnote>
  <w:footnote w:id="30">
    <w:p w:rsidR="00332609" w:rsidRDefault="00332609" w:rsidP="00470C47">
      <w:pPr>
        <w:pStyle w:val="FootnoteText"/>
      </w:pPr>
      <w:r>
        <w:rPr>
          <w:rStyle w:val="FootnoteReference"/>
        </w:rPr>
        <w:footnoteRef/>
      </w:r>
      <w:r>
        <w:t xml:space="preserve"> 2015 DSM survey</w:t>
      </w:r>
      <w:r w:rsidR="004967CC">
        <w:t>.</w:t>
      </w:r>
    </w:p>
  </w:footnote>
  <w:footnote w:id="31">
    <w:p w:rsidR="00332609" w:rsidRDefault="00332609" w:rsidP="00470C47">
      <w:pPr>
        <w:pStyle w:val="FootnoteText"/>
      </w:pPr>
      <w:r>
        <w:rPr>
          <w:rStyle w:val="FootnoteReference"/>
        </w:rPr>
        <w:footnoteRef/>
      </w:r>
      <w:r>
        <w:t xml:space="preserve"> Ibidem. </w:t>
      </w:r>
    </w:p>
  </w:footnote>
  <w:footnote w:id="32">
    <w:p w:rsidR="00332609" w:rsidRDefault="00332609" w:rsidP="00470C47">
      <w:pPr>
        <w:pStyle w:val="FootnoteText"/>
      </w:pPr>
      <w:r>
        <w:rPr>
          <w:rStyle w:val="FootnoteReference"/>
        </w:rPr>
        <w:footnoteRef/>
      </w:r>
      <w:r>
        <w:t xml:space="preserve"> Purchased online such as travel services and reservations of offline leisure (event tickets, restaurants etc.</w:t>
      </w:r>
      <w:r w:rsidRPr="004456F1">
        <w:t>).</w:t>
      </w:r>
    </w:p>
  </w:footnote>
  <w:footnote w:id="33">
    <w:p w:rsidR="00332609" w:rsidRDefault="00332609" w:rsidP="00470C47">
      <w:pPr>
        <w:pStyle w:val="FootnoteText"/>
      </w:pPr>
      <w:r>
        <w:rPr>
          <w:rStyle w:val="FootnoteReference"/>
        </w:rPr>
        <w:footnoteRef/>
      </w:r>
      <w:r>
        <w:t xml:space="preserve"> M. Cardona, N. Duch-Brown, B. Martens, ‘</w:t>
      </w:r>
      <w:r w:rsidRPr="004456F1">
        <w:t>Consumer</w:t>
      </w:r>
      <w:r>
        <w:t xml:space="preserve"> perceptions of (cross-border) e-commerce in the EU Digital Single Market’, Joint Research Centre (JRC) of the European Commission, Institute for Prospective Technological Studies (IPTS), 2015. </w:t>
      </w:r>
    </w:p>
  </w:footnote>
  <w:footnote w:id="34">
    <w:p w:rsidR="00332609" w:rsidRDefault="00332609">
      <w:pPr>
        <w:pStyle w:val="FootnoteText"/>
      </w:pPr>
      <w:r>
        <w:rPr>
          <w:rStyle w:val="FootnoteReference"/>
        </w:rPr>
        <w:footnoteRef/>
      </w:r>
      <w:r>
        <w:t xml:space="preserve"> Different base sizes, amounts are averaged amongst those respondents who purchased within the respective categories. </w:t>
      </w:r>
    </w:p>
  </w:footnote>
  <w:footnote w:id="35">
    <w:p w:rsidR="00332609" w:rsidRDefault="00332609" w:rsidP="00470C47">
      <w:pPr>
        <w:pStyle w:val="FootnoteText"/>
      </w:pPr>
      <w:r>
        <w:rPr>
          <w:rStyle w:val="FootnoteReference"/>
        </w:rPr>
        <w:footnoteRef/>
      </w:r>
      <w:r>
        <w:t xml:space="preserve"> The origin of online services purchases was not surveyed.</w:t>
      </w:r>
    </w:p>
  </w:footnote>
  <w:footnote w:id="36">
    <w:p w:rsidR="00332609" w:rsidRDefault="00332609" w:rsidP="00470C47">
      <w:pPr>
        <w:pStyle w:val="FootnoteText"/>
      </w:pPr>
      <w:r>
        <w:rPr>
          <w:rStyle w:val="FootnoteReference"/>
        </w:rPr>
        <w:footnoteRef/>
      </w:r>
      <w:r>
        <w:t xml:space="preserve"> M. Cardona, N. Duch-Brown, B. Martens, ‘</w:t>
      </w:r>
      <w:r w:rsidRPr="004456F1">
        <w:t>Consumer</w:t>
      </w:r>
      <w:r>
        <w:t xml:space="preserve"> perceptions of (cross-border) e-commerce in the EU Digital Single Market’, Joint Research Centre (JRC) of the European Commission, Institute for Prospective Technological Studies (IPTS), 2015.</w:t>
      </w:r>
    </w:p>
  </w:footnote>
  <w:footnote w:id="37">
    <w:p w:rsidR="00332609" w:rsidRDefault="00332609" w:rsidP="00470C47">
      <w:pPr>
        <w:pStyle w:val="FootnoteText"/>
      </w:pPr>
      <w:r>
        <w:rPr>
          <w:rStyle w:val="FootnoteReference"/>
        </w:rPr>
        <w:footnoteRef/>
      </w:r>
      <w:r>
        <w:t xml:space="preserve"> Apart from apparent transport costs this also incorporates additional costs due to regulatory differences between countries, financial transaction costs and information costs to bring the trading partners together in a transaction.</w:t>
      </w:r>
    </w:p>
  </w:footnote>
  <w:footnote w:id="38">
    <w:p w:rsidR="00332609" w:rsidRDefault="00332609" w:rsidP="00470C47">
      <w:pPr>
        <w:pStyle w:val="FootnoteText"/>
      </w:pPr>
      <w:r>
        <w:rPr>
          <w:rStyle w:val="FootnoteReference"/>
        </w:rPr>
        <w:footnoteRef/>
      </w:r>
      <w:r>
        <w:t xml:space="preserve"> </w:t>
      </w:r>
      <w:r w:rsidR="00C451B3">
        <w:t>The distance elasticity for goods is more than 8 times larger than for digital content.</w:t>
      </w:r>
    </w:p>
  </w:footnote>
  <w:footnote w:id="39">
    <w:p w:rsidR="00332609" w:rsidRPr="0036528D" w:rsidRDefault="00332609" w:rsidP="00470C47">
      <w:pPr>
        <w:pStyle w:val="FootnoteText"/>
        <w:rPr>
          <w:lang w:val="it-IT"/>
        </w:rPr>
      </w:pPr>
      <w:r>
        <w:rPr>
          <w:rStyle w:val="FootnoteReference"/>
        </w:rPr>
        <w:footnoteRef/>
      </w:r>
      <w:r w:rsidRPr="0036528D">
        <w:rPr>
          <w:lang w:val="it-IT"/>
        </w:rPr>
        <w:t xml:space="preserve"> European B2C E-commerce Report 2015. Ecommerce Europe. </w:t>
      </w:r>
    </w:p>
    <w:p w:rsidR="00332609" w:rsidRPr="0036528D" w:rsidRDefault="00332609" w:rsidP="00470C47">
      <w:pPr>
        <w:pStyle w:val="FootnoteText"/>
        <w:rPr>
          <w:lang w:val="it-IT"/>
        </w:rPr>
      </w:pPr>
      <w:r w:rsidRPr="0036528D">
        <w:rPr>
          <w:lang w:val="it-IT"/>
        </w:rPr>
        <w:t>E-commerce and distance selling in Europe Report, 2014/2015, EMOTA.</w:t>
      </w:r>
    </w:p>
  </w:footnote>
  <w:footnote w:id="40">
    <w:p w:rsidR="00332609" w:rsidRPr="00FC7F4C" w:rsidRDefault="00332609" w:rsidP="00470C47">
      <w:pPr>
        <w:pStyle w:val="FootnoteText"/>
        <w:rPr>
          <w:lang w:val="it-IT"/>
        </w:rPr>
      </w:pPr>
      <w:r>
        <w:rPr>
          <w:rStyle w:val="FootnoteReference"/>
        </w:rPr>
        <w:footnoteRef/>
      </w:r>
      <w:r w:rsidRPr="00FC7F4C">
        <w:rPr>
          <w:lang w:val="it-IT"/>
        </w:rPr>
        <w:t xml:space="preserve"> Euromonitor International data quoted in Duch-Brown, N. and Martens, B., ‘The European Digital Single Market’, </w:t>
      </w:r>
      <w:r w:rsidRPr="00FC7F4C">
        <w:rPr>
          <w:i/>
          <w:lang w:val="it-IT"/>
        </w:rPr>
        <w:t>JRC/IPTS Digital Economy Working Paper</w:t>
      </w:r>
      <w:r w:rsidRPr="00FC7F4C">
        <w:rPr>
          <w:lang w:val="it-IT"/>
        </w:rPr>
        <w:t>, forthcoming 2015.</w:t>
      </w:r>
    </w:p>
  </w:footnote>
  <w:footnote w:id="41">
    <w:p w:rsidR="00332609" w:rsidRDefault="00332609" w:rsidP="00470C47">
      <w:pPr>
        <w:pStyle w:val="FootnoteText"/>
      </w:pPr>
      <w:r>
        <w:rPr>
          <w:rStyle w:val="FootnoteReference"/>
        </w:rPr>
        <w:footnoteRef/>
      </w:r>
      <w:r>
        <w:t xml:space="preserve"> 2015 DSM survey.</w:t>
      </w:r>
    </w:p>
  </w:footnote>
  <w:footnote w:id="42">
    <w:p w:rsidR="00332609" w:rsidRDefault="00332609" w:rsidP="00C823FA">
      <w:pPr>
        <w:pStyle w:val="FootnoteText"/>
      </w:pPr>
      <w:r>
        <w:rPr>
          <w:rStyle w:val="FootnoteReference"/>
        </w:rPr>
        <w:footnoteRef/>
      </w:r>
      <w:r>
        <w:t xml:space="preserve"> Respondents </w:t>
      </w:r>
      <w:r>
        <w:rPr>
          <w:lang w:eastAsia="en-GB"/>
        </w:rPr>
        <w:t>were allowed to pick up to a maximum of five responses</w:t>
      </w:r>
      <w:r w:rsidR="002A1D87">
        <w:rPr>
          <w:lang w:eastAsia="en-GB"/>
        </w:rPr>
        <w:t>, their first choice only is shown here</w:t>
      </w:r>
      <w:r>
        <w:rPr>
          <w:lang w:eastAsia="en-GB"/>
        </w:rPr>
        <w:t>.</w:t>
      </w:r>
    </w:p>
  </w:footnote>
  <w:footnote w:id="43">
    <w:p w:rsidR="00332609" w:rsidRDefault="00332609">
      <w:pPr>
        <w:pStyle w:val="FootnoteText"/>
      </w:pPr>
      <w:r>
        <w:rPr>
          <w:rStyle w:val="FootnoteReference"/>
        </w:rPr>
        <w:footnoteRef/>
      </w:r>
      <w:r>
        <w:t xml:space="preserve"> Visiting online services intermediaries was offered as an option only to those whose latest online purchase was an offline service while the percentage of those visiting iTunes, Google Play etc. corresponds only to those whose latest online purchase was digital content.</w:t>
      </w:r>
    </w:p>
  </w:footnote>
  <w:footnote w:id="44">
    <w:p w:rsidR="00332609" w:rsidRDefault="00332609" w:rsidP="00470C47">
      <w:pPr>
        <w:pStyle w:val="FootnoteText"/>
      </w:pPr>
      <w:r>
        <w:rPr>
          <w:rStyle w:val="FootnoteReference"/>
        </w:rPr>
        <w:footnoteRef/>
      </w:r>
      <w:r>
        <w:t xml:space="preserve"> 2015 DSM consumer survey. </w:t>
      </w:r>
    </w:p>
  </w:footnote>
  <w:footnote w:id="45">
    <w:p w:rsidR="00332609" w:rsidRDefault="00332609" w:rsidP="00470C47">
      <w:pPr>
        <w:pStyle w:val="FootnoteText"/>
      </w:pPr>
      <w:r>
        <w:rPr>
          <w:rStyle w:val="FootnoteReference"/>
        </w:rPr>
        <w:footnoteRef/>
      </w:r>
      <w:r>
        <w:t xml:space="preserve"> 2015 DSM consumer survey</w:t>
      </w:r>
    </w:p>
  </w:footnote>
  <w:footnote w:id="46">
    <w:p w:rsidR="00332609" w:rsidRDefault="00332609" w:rsidP="00470C47">
      <w:pPr>
        <w:pStyle w:val="FootnoteText"/>
      </w:pPr>
      <w:r>
        <w:rPr>
          <w:rStyle w:val="FootnoteReference"/>
        </w:rPr>
        <w:footnoteRef/>
      </w:r>
      <w:r>
        <w:t xml:space="preserve"> Ibidem</w:t>
      </w:r>
      <w:r w:rsidR="00EC7838">
        <w:t>.</w:t>
      </w:r>
    </w:p>
  </w:footnote>
  <w:footnote w:id="47">
    <w:p w:rsidR="00332609" w:rsidRDefault="00332609">
      <w:pPr>
        <w:pStyle w:val="FootnoteText"/>
      </w:pPr>
      <w:r>
        <w:rPr>
          <w:rStyle w:val="FootnoteReference"/>
        </w:rPr>
        <w:footnoteRef/>
      </w:r>
      <w:r>
        <w:t xml:space="preserve"> Certain answers were only applicable to those respondents who purchased tangible goods (convenient delivery options, low delivery costs) or those who made a cross-border purchase (product not offered in my country, delivery in my country was possible, I understand the language of the foreign seller, I trust the foreign country where I’m buying from).</w:t>
      </w:r>
    </w:p>
  </w:footnote>
  <w:footnote w:id="48">
    <w:p w:rsidR="00332609" w:rsidRDefault="00332609" w:rsidP="00470C47">
      <w:pPr>
        <w:pStyle w:val="FootnoteText"/>
      </w:pPr>
      <w:r>
        <w:rPr>
          <w:rStyle w:val="FootnoteReference"/>
        </w:rPr>
        <w:footnoteRef/>
      </w:r>
      <w:r>
        <w:t xml:space="preserve"> Consumer survey identifying the main cross-border obstacles to the Digital Single Market and where they matter most, 2015, GfK on behalf of the European Commission.</w:t>
      </w:r>
    </w:p>
  </w:footnote>
  <w:footnote w:id="49">
    <w:p w:rsidR="00332609" w:rsidRDefault="00332609" w:rsidP="00470C47">
      <w:pPr>
        <w:pStyle w:val="FootnoteText"/>
      </w:pPr>
      <w:r>
        <w:rPr>
          <w:rStyle w:val="FootnoteReference"/>
        </w:rPr>
        <w:footnoteRef/>
      </w:r>
      <w:r>
        <w:t xml:space="preserve"> Consumer survey identifying the main cross-border obstacles to the Digital Single Market and where they matter most, 2015, GfK on behalf of the European Commission.</w:t>
      </w:r>
    </w:p>
  </w:footnote>
  <w:footnote w:id="50">
    <w:p w:rsidR="00332609" w:rsidRDefault="00332609" w:rsidP="00470C47">
      <w:pPr>
        <w:pStyle w:val="FootnoteText"/>
      </w:pPr>
      <w:r>
        <w:rPr>
          <w:rStyle w:val="FootnoteReference"/>
        </w:rPr>
        <w:footnoteRef/>
      </w:r>
      <w:r>
        <w:t xml:space="preserve"> Consumer survey identifying the main cross-border obstacles to the Digital Single Market and where they matter most - 2015 DSM consumer survey.</w:t>
      </w:r>
    </w:p>
  </w:footnote>
  <w:footnote w:id="51">
    <w:p w:rsidR="00332609" w:rsidRDefault="00332609" w:rsidP="00470C47">
      <w:pPr>
        <w:pStyle w:val="FootnoteText"/>
      </w:pPr>
      <w:r>
        <w:rPr>
          <w:rStyle w:val="FootnoteReference"/>
        </w:rPr>
        <w:footnoteRef/>
      </w:r>
      <w:r>
        <w:t xml:space="preserve"> M. Cardona, N. Duch-Brown, B. Martens, ‘</w:t>
      </w:r>
      <w:r w:rsidRPr="004456F1">
        <w:t>Consumer</w:t>
      </w:r>
      <w:r>
        <w:t xml:space="preserve"> perceptions of (cross-border) e-commerce in the EU Digital Single Market’, Joint Research Centre (JRC) of the European Commission, Institute for Prospective Technological Studies (IPTS), 2015. </w:t>
      </w:r>
    </w:p>
  </w:footnote>
  <w:footnote w:id="52">
    <w:p w:rsidR="00332609" w:rsidRDefault="00332609" w:rsidP="00002178">
      <w:pPr>
        <w:pStyle w:val="FootnoteText"/>
      </w:pPr>
      <w:r>
        <w:rPr>
          <w:rStyle w:val="FootnoteReference"/>
        </w:rPr>
        <w:footnoteRef/>
      </w:r>
      <w:r>
        <w:t xml:space="preserve"> That is why the Consumer Rights Directive (2011/83/EC) foresees the right to return the product within 14 days after its delivery. </w:t>
      </w:r>
    </w:p>
    <w:p w:rsidR="00332609" w:rsidRDefault="00332609" w:rsidP="00470C47">
      <w:pPr>
        <w:pStyle w:val="FootnoteText"/>
      </w:pPr>
    </w:p>
  </w:footnote>
  <w:footnote w:id="53">
    <w:p w:rsidR="00332609" w:rsidRDefault="00332609" w:rsidP="00470C47">
      <w:pPr>
        <w:pStyle w:val="FootnoteText"/>
      </w:pPr>
      <w:r>
        <w:rPr>
          <w:rStyle w:val="FootnoteReference"/>
        </w:rPr>
        <w:footnoteRef/>
      </w:r>
      <w:r>
        <w:t xml:space="preserve"> The coverage, functioning and consumer use of comparison tools and third-party verification schemes for such tools. Study on behalf of the European Commission by ECME Consortium (in partnership with DELOITTE),</w:t>
      </w:r>
      <w:r w:rsidR="002467AB">
        <w:t xml:space="preserve"> </w:t>
      </w:r>
      <w:r>
        <w:t xml:space="preserve">2015 </w:t>
      </w:r>
      <w:hyperlink r:id="rId5" w:history="1">
        <w:r w:rsidRPr="00506E13">
          <w:rPr>
            <w:rStyle w:val="Hyperlink"/>
          </w:rPr>
          <w:t>http://ec.europa.eu/consumers/consumer_evidence/market_studies/comparison_tools/index_en.htm</w:t>
        </w:r>
      </w:hyperlink>
      <w:r>
        <w:t xml:space="preserve"> </w:t>
      </w:r>
    </w:p>
  </w:footnote>
  <w:footnote w:id="54">
    <w:p w:rsidR="00332609" w:rsidRDefault="00332609" w:rsidP="00470C47">
      <w:pPr>
        <w:pStyle w:val="FootnoteText"/>
      </w:pPr>
      <w:r>
        <w:rPr>
          <w:rStyle w:val="FootnoteReference"/>
        </w:rPr>
        <w:footnoteRef/>
      </w:r>
      <w:r>
        <w:t xml:space="preserve"> Respondents could select up to a maximum of 5 answers.</w:t>
      </w:r>
    </w:p>
  </w:footnote>
  <w:footnote w:id="55">
    <w:p w:rsidR="00332609" w:rsidRDefault="00332609" w:rsidP="00470C47">
      <w:pPr>
        <w:pStyle w:val="FootnoteText"/>
      </w:pPr>
      <w:r>
        <w:rPr>
          <w:rStyle w:val="FootnoteReference"/>
        </w:rPr>
        <w:footnoteRef/>
      </w:r>
      <w:r>
        <w:t xml:space="preserve"> M. Cardona, N. Duch-Brown, B. Martens, ‘</w:t>
      </w:r>
      <w:r w:rsidRPr="004456F1">
        <w:t>Consumer</w:t>
      </w:r>
      <w:r>
        <w:t xml:space="preserve"> perceptions of (cross-border) e-commerce in the EU Digital Single Market’, Joint Research Centre (JRC) of the European Commission, Institute for Prospective Technological Studies (IPTS), 2015. </w:t>
      </w:r>
    </w:p>
  </w:footnote>
  <w:footnote w:id="56">
    <w:p w:rsidR="00332609" w:rsidRDefault="00332609" w:rsidP="00470C47">
      <w:pPr>
        <w:pStyle w:val="FootnoteText"/>
      </w:pPr>
      <w:r>
        <w:rPr>
          <w:rStyle w:val="FootnoteReference"/>
        </w:rPr>
        <w:footnoteRef/>
      </w:r>
      <w:r>
        <w:t xml:space="preserve"> Flash Eurobarometer 396.</w:t>
      </w:r>
    </w:p>
  </w:footnote>
  <w:footnote w:id="57">
    <w:p w:rsidR="00332609" w:rsidRDefault="00332609" w:rsidP="00470C47">
      <w:pPr>
        <w:pStyle w:val="FootnoteText"/>
      </w:pPr>
      <w:r>
        <w:rPr>
          <w:rStyle w:val="FootnoteReference"/>
        </w:rPr>
        <w:footnoteRef/>
      </w:r>
      <w:r>
        <w:t xml:space="preserve"> In total, 9</w:t>
      </w:r>
      <w:r w:rsidRPr="004456F1">
        <w:rPr>
          <w:w w:val="50"/>
        </w:rPr>
        <w:t> </w:t>
      </w:r>
      <w:r>
        <w:t>% of consumers said they did</w:t>
      </w:r>
      <w:r w:rsidRPr="004456F1">
        <w:t xml:space="preserve"> </w:t>
      </w:r>
      <w:r>
        <w:t>not know the country of origin of the online seller with whom they experienced a</w:t>
      </w:r>
      <w:r w:rsidRPr="004456F1">
        <w:t xml:space="preserve"> </w:t>
      </w:r>
      <w:r>
        <w:t>problem most recently.</w:t>
      </w:r>
    </w:p>
  </w:footnote>
  <w:footnote w:id="58">
    <w:p w:rsidR="00332609" w:rsidRDefault="00332609">
      <w:pPr>
        <w:pStyle w:val="FootnoteText"/>
      </w:pPr>
      <w:r>
        <w:rPr>
          <w:rStyle w:val="FootnoteReference"/>
        </w:rPr>
        <w:footnoteRef/>
      </w:r>
      <w:r>
        <w:t xml:space="preserve"> Some </w:t>
      </w:r>
      <w:r w:rsidRPr="00F32CCC">
        <w:t xml:space="preserve">problems (hence their percentages) </w:t>
      </w:r>
      <w:r w:rsidRPr="004456F1">
        <w:t>re</w:t>
      </w:r>
      <w:r>
        <w:t>late</w:t>
      </w:r>
      <w:r w:rsidRPr="004456F1">
        <w:t xml:space="preserve"> </w:t>
      </w:r>
      <w:r w:rsidRPr="00F32CCC">
        <w:t>to cross</w:t>
      </w:r>
      <w:r>
        <w:t>-</w:t>
      </w:r>
      <w:r w:rsidRPr="00F32CCC">
        <w:t>border purchases only (</w:t>
      </w:r>
      <w:r>
        <w:t xml:space="preserve">i.e. </w:t>
      </w:r>
      <w:r w:rsidRPr="00F32CCC">
        <w:t xml:space="preserve">foreign sellers refusing to sell to </w:t>
      </w:r>
      <w:r w:rsidRPr="004456F1">
        <w:t>consumer</w:t>
      </w:r>
      <w:r>
        <w:t>’</w:t>
      </w:r>
      <w:r w:rsidRPr="004456F1">
        <w:t>s</w:t>
      </w:r>
      <w:r w:rsidRPr="00F32CCC">
        <w:t xml:space="preserve"> country, not being able to access the foreign seller’s website or seeing only limited content, foreign seller charging a higher price). Other problems refer to purchases of online services or digital content only, not tangible goods (i.e</w:t>
      </w:r>
      <w:r>
        <w:t xml:space="preserve">. </w:t>
      </w:r>
      <w:r w:rsidRPr="00F32CCC">
        <w:t>I couldn’t access the service, I couldn’t get the data back when closing the account)</w:t>
      </w:r>
      <w:r>
        <w:t>.</w:t>
      </w:r>
    </w:p>
  </w:footnote>
  <w:footnote w:id="59">
    <w:p w:rsidR="00332609" w:rsidRDefault="00332609" w:rsidP="00470C47">
      <w:pPr>
        <w:pStyle w:val="FootnoteText"/>
      </w:pPr>
      <w:r>
        <w:rPr>
          <w:rStyle w:val="FootnoteReference"/>
        </w:rPr>
        <w:footnoteRef/>
      </w:r>
      <w:r>
        <w:t xml:space="preserve"> 54</w:t>
      </w:r>
      <w:r w:rsidRPr="004456F1">
        <w:rPr>
          <w:w w:val="50"/>
        </w:rPr>
        <w:t> </w:t>
      </w:r>
      <w:r>
        <w:t>% experienced this after choosing the delivery address, a further 39</w:t>
      </w:r>
      <w:r w:rsidRPr="004456F1">
        <w:rPr>
          <w:w w:val="50"/>
        </w:rPr>
        <w:t> </w:t>
      </w:r>
      <w:r>
        <w:t>% realised that they could not buy the product when visiting the foreign seller’s website, and 7</w:t>
      </w:r>
      <w:r w:rsidRPr="004456F1">
        <w:rPr>
          <w:w w:val="50"/>
        </w:rPr>
        <w:t> </w:t>
      </w:r>
      <w:r>
        <w:t xml:space="preserve">% after entering their payment card details. </w:t>
      </w:r>
    </w:p>
  </w:footnote>
  <w:footnote w:id="60">
    <w:p w:rsidR="00332609" w:rsidRPr="00506879" w:rsidRDefault="00332609" w:rsidP="00981278">
      <w:pPr>
        <w:pStyle w:val="FootnoteText"/>
      </w:pPr>
      <w:r>
        <w:rPr>
          <w:rStyle w:val="FootnoteReference"/>
        </w:rPr>
        <w:footnoteRef/>
      </w:r>
      <w:r>
        <w:t xml:space="preserve"> The report was published in December 2013 and is available at: </w:t>
      </w:r>
      <w:hyperlink r:id="rId6" w:history="1">
        <w:r>
          <w:rPr>
            <w:rStyle w:val="Hyperlink"/>
          </w:rPr>
          <w:t>http://ec.europa.eu/consumers/ecc/docs/ecc-services_directive_en.pdf</w:t>
        </w:r>
      </w:hyperlink>
      <w:r>
        <w:t>. It analyses cross-border consumer complaints received by ECCs and related to A</w:t>
      </w:r>
      <w:r w:rsidRPr="004456F1">
        <w:t>rticle</w:t>
      </w:r>
      <w:r>
        <w:t xml:space="preserve"> 20.2 and A</w:t>
      </w:r>
      <w:r w:rsidRPr="004456F1">
        <w:t>rticle</w:t>
      </w:r>
      <w:r>
        <w:t xml:space="preserve"> 21 of the Services Directive (2006/123/EC</w:t>
      </w:r>
      <w:r w:rsidRPr="004456F1">
        <w:t>)</w:t>
      </w:r>
      <w:r>
        <w:t>.</w:t>
      </w:r>
    </w:p>
  </w:footnote>
  <w:footnote w:id="61">
    <w:p w:rsidR="00332609" w:rsidRPr="00981278" w:rsidRDefault="00332609">
      <w:pPr>
        <w:pStyle w:val="FootnoteText"/>
      </w:pPr>
      <w:r>
        <w:rPr>
          <w:rStyle w:val="FootnoteReference"/>
        </w:rPr>
        <w:footnoteRef/>
      </w:r>
      <w:r>
        <w:t xml:space="preserve"> 2006/123/EC.</w:t>
      </w:r>
    </w:p>
  </w:footnote>
  <w:footnote w:id="62">
    <w:p w:rsidR="00332609" w:rsidRDefault="00332609" w:rsidP="00470C47">
      <w:pPr>
        <w:pStyle w:val="FootnoteText"/>
      </w:pPr>
      <w:r>
        <w:rPr>
          <w:rStyle w:val="FootnoteReference"/>
        </w:rPr>
        <w:footnoteRef/>
      </w:r>
      <w:r>
        <w:t xml:space="preserve"> 2015 DSM Consumer survey: 48</w:t>
      </w:r>
      <w:r w:rsidRPr="004456F1">
        <w:rPr>
          <w:w w:val="50"/>
        </w:rPr>
        <w:t> </w:t>
      </w:r>
      <w:r>
        <w:t>% of those reported that they were not allowed by the content provider, 28</w:t>
      </w:r>
      <w:r w:rsidRPr="004456F1">
        <w:rPr>
          <w:w w:val="50"/>
        </w:rPr>
        <w:t> </w:t>
      </w:r>
      <w:r>
        <w:t>% that they were not allowed by the Internet service provider and a further 24</w:t>
      </w:r>
      <w:r w:rsidRPr="004456F1">
        <w:rPr>
          <w:w w:val="50"/>
        </w:rPr>
        <w:t> </w:t>
      </w:r>
      <w:r>
        <w:t>% that it didn’t work for ‘</w:t>
      </w:r>
      <w:r w:rsidRPr="004456F1">
        <w:t>another reason</w:t>
      </w:r>
      <w:r>
        <w:t>’.</w:t>
      </w:r>
    </w:p>
  </w:footnote>
  <w:footnote w:id="63">
    <w:p w:rsidR="00332609" w:rsidRDefault="00332609" w:rsidP="00470C47">
      <w:pPr>
        <w:pStyle w:val="FootnoteText"/>
      </w:pPr>
      <w:r>
        <w:rPr>
          <w:rStyle w:val="FootnoteReference"/>
        </w:rPr>
        <w:footnoteRef/>
      </w:r>
      <w:r>
        <w:t xml:space="preserve"> </w:t>
      </w:r>
      <w:r>
        <w:rPr>
          <w:i/>
        </w:rPr>
        <w:t>Ibidem</w:t>
      </w:r>
      <w:r>
        <w:t xml:space="preserve"> – 39</w:t>
      </w:r>
      <w:r w:rsidRPr="004456F1">
        <w:rPr>
          <w:w w:val="50"/>
        </w:rPr>
        <w:t> </w:t>
      </w:r>
      <w:r>
        <w:t>% reported that they were not allowed by the content provider, 35</w:t>
      </w:r>
      <w:r w:rsidRPr="004456F1">
        <w:rPr>
          <w:w w:val="50"/>
        </w:rPr>
        <w:t> </w:t>
      </w:r>
      <w:r>
        <w:t>% that they were not allowed by the Internet service provider and a further 26</w:t>
      </w:r>
      <w:r w:rsidRPr="004456F1">
        <w:rPr>
          <w:w w:val="50"/>
        </w:rPr>
        <w:t> </w:t>
      </w:r>
      <w:r>
        <w:t>% that it didn’t work for ‘</w:t>
      </w:r>
      <w:r w:rsidRPr="004456F1">
        <w:t>another reason</w:t>
      </w:r>
      <w:r>
        <w:t>’.</w:t>
      </w:r>
    </w:p>
  </w:footnote>
  <w:footnote w:id="64">
    <w:p w:rsidR="00332609" w:rsidRDefault="00332609" w:rsidP="00470C47">
      <w:pPr>
        <w:pStyle w:val="FootnoteText"/>
      </w:pPr>
      <w:r>
        <w:rPr>
          <w:rStyle w:val="FootnoteReference"/>
        </w:rPr>
        <w:footnoteRef/>
      </w:r>
      <w:r>
        <w:t xml:space="preserve"> 2015 DSM consumer survey </w:t>
      </w:r>
    </w:p>
  </w:footnote>
  <w:footnote w:id="65">
    <w:p w:rsidR="00332609" w:rsidRDefault="00332609" w:rsidP="00470C47">
      <w:pPr>
        <w:pStyle w:val="FootnoteText"/>
      </w:pPr>
      <w:r>
        <w:rPr>
          <w:vertAlign w:val="superscript"/>
        </w:rPr>
        <w:footnoteRef/>
      </w:r>
      <w:r>
        <w:t xml:space="preserve"> More information on the services provided by the ECC-Net can be found at: </w:t>
      </w:r>
      <w:hyperlink r:id="rId7" w:history="1">
        <w:r w:rsidRPr="00506E13">
          <w:rPr>
            <w:rStyle w:val="Hyperlink"/>
          </w:rPr>
          <w:t>http://ec.europa.eu/consumers/ecc/index_en.htm</w:t>
        </w:r>
      </w:hyperlink>
      <w:r>
        <w:t xml:space="preserve">. </w:t>
      </w:r>
    </w:p>
  </w:footnote>
  <w:footnote w:id="66">
    <w:p w:rsidR="00332609" w:rsidRPr="00396F99" w:rsidRDefault="00332609" w:rsidP="00E6275D">
      <w:pPr>
        <w:pStyle w:val="FootnoteText"/>
      </w:pPr>
      <w:r>
        <w:rPr>
          <w:rStyle w:val="FootnoteReference"/>
        </w:rPr>
        <w:footnoteRef/>
      </w:r>
      <w:r>
        <w:t xml:space="preserve"> Within the framework of the CPC </w:t>
      </w:r>
      <w:r w:rsidRPr="00EA5CFE">
        <w:t>Regulation 2006/2004</w:t>
      </w:r>
    </w:p>
  </w:footnote>
  <w:footnote w:id="67">
    <w:p w:rsidR="00332609" w:rsidRPr="00891EB2" w:rsidRDefault="00332609" w:rsidP="00E6275D">
      <w:pPr>
        <w:pStyle w:val="FootnoteText"/>
      </w:pPr>
      <w:r>
        <w:rPr>
          <w:rStyle w:val="FootnoteReference"/>
        </w:rPr>
        <w:footnoteRef/>
      </w:r>
      <w:r>
        <w:t xml:space="preserve"> </w:t>
      </w:r>
      <w:hyperlink r:id="rId8" w:history="1">
        <w:r w:rsidRPr="00506E13">
          <w:rPr>
            <w:rStyle w:val="Hyperlink"/>
          </w:rPr>
          <w:t>http://ec.europa.eu/consumers/enforcement/sweeps/travel_services/index_en.htm</w:t>
        </w:r>
      </w:hyperlink>
      <w:r>
        <w:t xml:space="preserve"> </w:t>
      </w:r>
    </w:p>
  </w:footnote>
  <w:footnote w:id="68">
    <w:p w:rsidR="00332609" w:rsidRPr="00891EB2" w:rsidRDefault="00332609" w:rsidP="00E6275D">
      <w:pPr>
        <w:pStyle w:val="FootnoteText"/>
      </w:pPr>
      <w:r>
        <w:rPr>
          <w:rStyle w:val="FootnoteReference"/>
        </w:rPr>
        <w:footnoteRef/>
      </w:r>
      <w:r w:rsidRPr="00891EB2">
        <w:t xml:space="preserve"> </w:t>
      </w:r>
      <w:hyperlink r:id="rId9" w:history="1">
        <w:r w:rsidRPr="00506E13">
          <w:rPr>
            <w:rStyle w:val="Hyperlink"/>
          </w:rPr>
          <w:t>http://ec.europa.eu/consumers/enforcement/sweeps/guarantees/index_en.htm</w:t>
        </w:r>
      </w:hyperlink>
      <w:r>
        <w:t xml:space="preserve"> </w:t>
      </w:r>
    </w:p>
  </w:footnote>
  <w:footnote w:id="69">
    <w:p w:rsidR="00B74FB4" w:rsidRPr="003675B7" w:rsidRDefault="00332609" w:rsidP="003675B7">
      <w:pPr>
        <w:pStyle w:val="FootnoteText"/>
        <w:rPr>
          <w:rStyle w:val="FootnoteReference"/>
        </w:rPr>
      </w:pPr>
      <w:r>
        <w:rPr>
          <w:rStyle w:val="FootnoteReference"/>
        </w:rPr>
        <w:footnoteRef/>
      </w:r>
      <w:r w:rsidRPr="003675B7">
        <w:rPr>
          <w:rStyle w:val="FootnoteReference"/>
        </w:rPr>
        <w:t xml:space="preserve"> </w:t>
      </w:r>
      <w:r w:rsidRPr="003675B7">
        <w:t xml:space="preserve">The screening of websites was conducted by the </w:t>
      </w:r>
      <w:r w:rsidR="00B74FB4">
        <w:rPr>
          <w:color w:val="1F497D"/>
        </w:rPr>
        <w:t xml:space="preserve">Consumer Policy Evaluation Consortium </w:t>
      </w:r>
      <w:r w:rsidR="00B74FB4">
        <w:t>(</w:t>
      </w:r>
      <w:r w:rsidRPr="003675B7">
        <w:t>CPEC</w:t>
      </w:r>
      <w:r w:rsidR="00B74FB4">
        <w:t>)</w:t>
      </w:r>
      <w:r w:rsidRPr="003675B7">
        <w:t xml:space="preserve"> as part of the </w:t>
      </w:r>
      <w:r>
        <w:t>s</w:t>
      </w:r>
      <w:r w:rsidRPr="003675B7">
        <w:t xml:space="preserve">upport study </w:t>
      </w:r>
      <w:r w:rsidR="00B74FB4">
        <w:t xml:space="preserve">(to be published) </w:t>
      </w:r>
      <w:r w:rsidRPr="003675B7">
        <w:t xml:space="preserve">for the impact assessment on the review of the CPC Regulation 2006/2004. Websites were screened by qualified people, holding a university degree or higher, in each Member State on the basis of a questionnaire with specific products selected to ensure coherence and comparability of results. An average of 18 websites per sector (90 in total) </w:t>
      </w:r>
      <w:r>
        <w:t>were</w:t>
      </w:r>
      <w:r w:rsidRPr="003675B7">
        <w:t xml:space="preserve"> screened per Member State. Larger Member States were oversampled to make up for the variance in market sizes across the 28 </w:t>
      </w:r>
      <w:r>
        <w:t>countries</w:t>
      </w:r>
      <w:r w:rsidRPr="003675B7">
        <w:t>.</w:t>
      </w:r>
    </w:p>
  </w:footnote>
  <w:footnote w:id="70">
    <w:p w:rsidR="00332609" w:rsidRPr="003675B7" w:rsidRDefault="00332609" w:rsidP="003675B7">
      <w:pPr>
        <w:pStyle w:val="FootnoteText"/>
        <w:rPr>
          <w:rStyle w:val="FootnoteReference"/>
        </w:rPr>
      </w:pPr>
      <w:r>
        <w:rPr>
          <w:rStyle w:val="FootnoteReference"/>
        </w:rPr>
        <w:footnoteRef/>
      </w:r>
      <w:r w:rsidRPr="003675B7">
        <w:rPr>
          <w:rStyle w:val="FootnoteReference"/>
        </w:rPr>
        <w:t xml:space="preserve"> </w:t>
      </w:r>
      <w:r w:rsidRPr="003675B7">
        <w:t xml:space="preserve">The sectors were chosen on the basis of their popularity for online shopping, size and economic importance, as well as frequency of non-compliance in previous EU sweeps and complaint data from European Consumer </w:t>
      </w:r>
      <w:r w:rsidRPr="004456F1">
        <w:t>Cent</w:t>
      </w:r>
      <w:r>
        <w:t>re</w:t>
      </w:r>
      <w:r w:rsidRPr="004456F1">
        <w:t>s</w:t>
      </w:r>
      <w:r w:rsidRPr="003675B7">
        <w:t>.</w:t>
      </w:r>
    </w:p>
  </w:footnote>
  <w:footnote w:id="71">
    <w:p w:rsidR="00332609" w:rsidRDefault="00332609" w:rsidP="00470C47">
      <w:pPr>
        <w:pStyle w:val="FootnoteText"/>
      </w:pPr>
      <w:r>
        <w:rPr>
          <w:rStyle w:val="FootnoteReference"/>
        </w:rPr>
        <w:footnoteRef/>
      </w:r>
      <w:r>
        <w:t xml:space="preserve"> The indicator measures how much is available to households for saving and spending, adjusted for free public services (such as health and education) and is expressed in purchasing parities standards (PPS) to take account of differences in the level of prices across Member States. Source: Eurostat.</w:t>
      </w:r>
    </w:p>
  </w:footnote>
  <w:footnote w:id="72">
    <w:p w:rsidR="00332609" w:rsidRDefault="00332609" w:rsidP="00470C47">
      <w:pPr>
        <w:pStyle w:val="FootnoteText"/>
      </w:pPr>
      <w:r>
        <w:rPr>
          <w:rStyle w:val="FootnoteReference"/>
        </w:rPr>
        <w:footnoteRef/>
      </w:r>
      <w:r>
        <w:t xml:space="preserve"> The Global C</w:t>
      </w:r>
      <w:r w:rsidRPr="004456F1">
        <w:t xml:space="preserve">ompetitiveness </w:t>
      </w:r>
      <w:r>
        <w:t>I</w:t>
      </w:r>
      <w:r w:rsidRPr="004456F1">
        <w:t>ndex</w:t>
      </w:r>
      <w:r>
        <w:t xml:space="preserve"> is a composite indicator (based on 12 pillars) computed on 144 countries. Source: World Economic Forum. </w:t>
      </w:r>
    </w:p>
  </w:footnote>
  <w:footnote w:id="73">
    <w:p w:rsidR="00332609" w:rsidRDefault="00332609" w:rsidP="00470C47">
      <w:pPr>
        <w:pStyle w:val="FootnoteText"/>
      </w:pPr>
      <w:r>
        <w:rPr>
          <w:rStyle w:val="FootnoteReference"/>
        </w:rPr>
        <w:footnoteRef/>
      </w:r>
      <w:r>
        <w:t xml:space="preserve"> The indicator measures the percentage of the population that cannot afford at least three of the following nine items: to pay their rent, mortgage or utility bills; to keep their home adequately warm; to face unexpected expenses; to eat meat or proteins regularly; to go on holiday; a television set; a washing machine; a car; a telephone. Source: Eurostat.</w:t>
      </w:r>
    </w:p>
  </w:footnote>
  <w:footnote w:id="74">
    <w:p w:rsidR="00332609" w:rsidRDefault="00332609" w:rsidP="00470C47">
      <w:pPr>
        <w:pStyle w:val="FootnoteText"/>
      </w:pPr>
      <w:r>
        <w:rPr>
          <w:rStyle w:val="FootnoteReference"/>
        </w:rPr>
        <w:footnoteRef/>
      </w:r>
      <w:r>
        <w:t xml:space="preserve"> The Gini coefficient is defined as the relationship of cumulative shares of the population, arranged according to the level of equivalised disposable income, to the cumulative share of the equivalised total disposable income received by them. The equivalised disposable income is the total income of a household, after tax and other deductions, that is available for spending or saving, divided by the number of household members converted into equalised adults. Source: Eurostat.</w:t>
      </w:r>
    </w:p>
  </w:footnote>
  <w:footnote w:id="75">
    <w:p w:rsidR="00332609" w:rsidRDefault="00332609" w:rsidP="00470C47">
      <w:pPr>
        <w:pStyle w:val="FootnoteText"/>
      </w:pPr>
      <w:r>
        <w:rPr>
          <w:rStyle w:val="FootnoteReference"/>
        </w:rPr>
        <w:footnoteRef/>
      </w:r>
      <w:r>
        <w:t xml:space="preserve"> For this purpose, the CCI includes only indicators coming from the consumer survey. Dispersion is measured at country level through the standard deviation of this composite indicator across all the individuals participating in the survey. </w:t>
      </w:r>
    </w:p>
  </w:footnote>
  <w:footnote w:id="76">
    <w:p w:rsidR="00332609" w:rsidRDefault="00332609" w:rsidP="00470C47">
      <w:pPr>
        <w:pStyle w:val="FootnoteText"/>
      </w:pPr>
      <w:r>
        <w:rPr>
          <w:rStyle w:val="FootnoteReference"/>
        </w:rPr>
        <w:footnoteRef/>
      </w:r>
      <w:r>
        <w:t xml:space="preserve"> The highest levels of CCI dispersion are observed in France, Bulgaria, Romania, Croatia and Slovakia. In contrast, the dispersion is the lowest in Luxembourg, Austria, Belgium, Germany and Denmark. </w:t>
      </w:r>
    </w:p>
  </w:footnote>
  <w:footnote w:id="77">
    <w:p w:rsidR="00332609" w:rsidRPr="00EF7741" w:rsidRDefault="00332609" w:rsidP="00470C47">
      <w:pPr>
        <w:pStyle w:val="FootnoteText"/>
      </w:pPr>
      <w:r w:rsidRPr="00EF7741">
        <w:rPr>
          <w:rStyle w:val="FootnoteReference"/>
        </w:rPr>
        <w:footnoteRef/>
      </w:r>
      <w:r w:rsidRPr="00EF7741">
        <w:t xml:space="preserve"> EU gender equality </w:t>
      </w:r>
      <w:r>
        <w:t>i</w:t>
      </w:r>
      <w:r w:rsidRPr="00EF7741">
        <w:t>ndex</w:t>
      </w:r>
      <w:r>
        <w:t xml:space="preserve"> 2015</w:t>
      </w:r>
      <w:r w:rsidRPr="00EF7741">
        <w:t xml:space="preserve">: A composite measure reflecting inequality between women and men in </w:t>
      </w:r>
      <w:r>
        <w:t>six</w:t>
      </w:r>
      <w:r w:rsidRPr="00EF7741">
        <w:t xml:space="preserve"> dimensions: </w:t>
      </w:r>
      <w:r>
        <w:t>work, money, knowledge, time, power and health</w:t>
      </w:r>
      <w:r w:rsidRPr="00EF7741">
        <w:t xml:space="preserve">. Source: </w:t>
      </w:r>
      <w:r>
        <w:t>European Institute for Gender Equality</w:t>
      </w:r>
      <w:r w:rsidRPr="00EF7741">
        <w:t xml:space="preserve"> (</w:t>
      </w:r>
      <w:r>
        <w:t>based on 2012 data</w:t>
      </w:r>
      <w:r w:rsidRPr="00EF7741">
        <w:t xml:space="preserve">). </w:t>
      </w:r>
      <w:hyperlink r:id="rId10" w:history="1">
        <w:r w:rsidRPr="00E04E1E">
          <w:rPr>
            <w:rStyle w:val="Hyperlink"/>
          </w:rPr>
          <w:t>http://eige.europa.eu/content/document/gender-equality-index-2015-measuring-gender-equality-in-the-european-union-2005-2012</w:t>
        </w:r>
      </w:hyperlink>
      <w:r>
        <w:rPr>
          <w:color w:val="1F497D"/>
        </w:rPr>
        <w:t xml:space="preserve"> </w:t>
      </w:r>
    </w:p>
  </w:footnote>
  <w:footnote w:id="78">
    <w:p w:rsidR="00332609" w:rsidRPr="00506879" w:rsidRDefault="00332609">
      <w:pPr>
        <w:rPr>
          <w:rFonts w:ascii="Times" w:hAnsi="Times"/>
          <w:sz w:val="20"/>
        </w:rPr>
      </w:pPr>
      <w:r>
        <w:rPr>
          <w:rStyle w:val="FootnoteReference"/>
        </w:rPr>
        <w:footnoteRef/>
      </w:r>
      <w:r>
        <w:t xml:space="preserve"> </w:t>
      </w:r>
      <w:r>
        <w:rPr>
          <w:sz w:val="20"/>
          <w:szCs w:val="20"/>
        </w:rPr>
        <w:t>European Parliament Resolution of 22 May 2012 on a strategy for strengthening the rights of vulnerable consumers (2011/2272 INI) http://www.europarl.europa.eu/sides/getDoc.do?type=TA&amp;language= EN&amp;reference=P7-TA-2012-209.</w:t>
      </w:r>
    </w:p>
  </w:footnote>
  <w:footnote w:id="79">
    <w:p w:rsidR="00332609" w:rsidRPr="00630EBA" w:rsidRDefault="00332609" w:rsidP="000C2B76">
      <w:pPr>
        <w:pStyle w:val="FootnoteText"/>
      </w:pPr>
      <w:r>
        <w:rPr>
          <w:rStyle w:val="FootnoteReference"/>
        </w:rPr>
        <w:footnoteRef/>
      </w:r>
      <w:r>
        <w:t xml:space="preserve"> The analysis has been performed on the micro-data from the 2014 </w:t>
      </w:r>
      <w:r w:rsidR="000C2B76">
        <w:t>Eurobarometer 397 'C</w:t>
      </w:r>
      <w:r>
        <w:t>onsumers’ attitudes towards cross-border trade and consumer protection</w:t>
      </w:r>
      <w:r w:rsidR="000C2B76">
        <w:t>'</w:t>
      </w:r>
      <w:r>
        <w:t xml:space="preserve"> (</w:t>
      </w:r>
      <w:r w:rsidR="000C2B76">
        <w:t>see footnote 10</w:t>
      </w:r>
      <w:r>
        <w:t xml:space="preserve">).  It covers the 28 </w:t>
      </w:r>
      <w:r w:rsidR="000C2B76">
        <w:t xml:space="preserve">EU </w:t>
      </w:r>
      <w:r>
        <w:t xml:space="preserve">Member States. A Poisson Regression model was used for the following dependent variables: </w:t>
      </w:r>
      <w:r w:rsidRPr="003321FA">
        <w:t xml:space="preserve">knowledge of consumer rights, trust in organisations, confidence in online shopping, perception of redress mechanisms, </w:t>
      </w:r>
      <w:r>
        <w:t xml:space="preserve">(no) </w:t>
      </w:r>
      <w:r w:rsidRPr="003321FA">
        <w:t xml:space="preserve">exposure to UCPs, </w:t>
      </w:r>
      <w:r>
        <w:t xml:space="preserve">(no) </w:t>
      </w:r>
      <w:r w:rsidRPr="003321FA">
        <w:t xml:space="preserve">experience of </w:t>
      </w:r>
      <w:r>
        <w:t xml:space="preserve">other illicit commercial practices and </w:t>
      </w:r>
      <w:r w:rsidRPr="003321FA">
        <w:t>numerical skills.</w:t>
      </w:r>
      <w:r>
        <w:t xml:space="preserve"> A Logit Regression model was used for the remaining dependent variables: </w:t>
      </w:r>
      <w:r w:rsidRPr="003B2AEB">
        <w:t xml:space="preserve">trust in product safety, trust in environmental claims, </w:t>
      </w:r>
      <w:r>
        <w:t xml:space="preserve">(no) </w:t>
      </w:r>
      <w:r w:rsidRPr="003B2AEB">
        <w:t>experience of any problem with goods or services</w:t>
      </w:r>
      <w:r>
        <w:t xml:space="preserve"> and</w:t>
      </w:r>
      <w:r w:rsidRPr="003B2AEB">
        <w:t xml:space="preserve"> satisfaction with complaint handling.</w:t>
      </w:r>
      <w:r w:rsidR="000C2B76">
        <w:t xml:space="preserve"> More information is available in </w:t>
      </w:r>
      <w:r w:rsidR="00076B2C">
        <w:t xml:space="preserve">chapter </w:t>
      </w:r>
      <w:r w:rsidR="00076B2C" w:rsidRPr="004F365D">
        <w:t>2.1.2</w:t>
      </w:r>
      <w:r w:rsidR="00076B2C">
        <w:t xml:space="preserve"> of </w:t>
      </w:r>
      <w:r w:rsidR="000C2B76">
        <w:t xml:space="preserve">Van Roy, V., Rossetti, F., Piculescu, V. (2015). </w:t>
      </w:r>
      <w:r w:rsidR="000C2B76">
        <w:rPr>
          <w:szCs w:val="24"/>
        </w:rPr>
        <w:t xml:space="preserve">Consumer conditions in the EU: revised framework and empirical investigation, JRC science and policy report, JRC93404, </w:t>
      </w:r>
      <w:hyperlink r:id="rId11" w:history="1">
        <w:r w:rsidR="000C2B76">
          <w:rPr>
            <w:rStyle w:val="Hyperlink"/>
            <w:szCs w:val="24"/>
          </w:rPr>
          <w:t>http://publications.jrc.ec.europa.eu/repository/handle/JRC93404</w:t>
        </w:r>
      </w:hyperlink>
      <w:r w:rsidR="000C2B76">
        <w:t>.</w:t>
      </w:r>
    </w:p>
  </w:footnote>
  <w:footnote w:id="80">
    <w:p w:rsidR="00332609" w:rsidRDefault="00332609" w:rsidP="00470C47">
      <w:pPr>
        <w:pStyle w:val="FootnoteText"/>
      </w:pPr>
      <w:r>
        <w:rPr>
          <w:rStyle w:val="FootnoteReference"/>
        </w:rPr>
        <w:footnoteRef/>
      </w:r>
      <w:r>
        <w:t xml:space="preserve"> For example, as reported in table 5, the marginal effect of the age group 25-34 on knowledge of consumer rights has been estimated by the model at 0.073 compared to the age group 15-24 (base category), which means that the percentage of correct answers to the knowledge-related questions is 7.3</w:t>
      </w:r>
      <w:r w:rsidRPr="004456F1">
        <w:rPr>
          <w:w w:val="50"/>
        </w:rPr>
        <w:t> </w:t>
      </w:r>
      <w:r>
        <w:t>% higher among 25-34 year-olds than among 15-24 year-olds. Marginal effects marked with 3 asterisks, 2 asterisks and 1 asterisk are statistically significant at 99.9</w:t>
      </w:r>
      <w:r w:rsidRPr="004456F1">
        <w:rPr>
          <w:w w:val="50"/>
        </w:rPr>
        <w:t> </w:t>
      </w:r>
      <w:r>
        <w:t>%, 99</w:t>
      </w:r>
      <w:r w:rsidRPr="004456F1">
        <w:rPr>
          <w:w w:val="50"/>
        </w:rPr>
        <w:t> </w:t>
      </w:r>
      <w:r>
        <w:t>% and 95</w:t>
      </w:r>
      <w:r w:rsidRPr="004456F1">
        <w:rPr>
          <w:w w:val="50"/>
        </w:rPr>
        <w:t> </w:t>
      </w:r>
      <w:r>
        <w:t>% level, respectively. In addition, letters shown close to the parameters indicate whether the marginal effects across categories are statistically significantly different at 95</w:t>
      </w:r>
      <w:r w:rsidRPr="004456F1">
        <w:rPr>
          <w:w w:val="50"/>
        </w:rPr>
        <w:t> </w:t>
      </w:r>
      <w:r>
        <w:t xml:space="preserve">% level (they are not different when they share one letter). For example, the marginal effects of the age categories 25-34 and 35-44 on knowledge of consumer rights are significantly different between each other (they have the letters “A” and “B”, respectively) while for the age categories 45-54, 55-64 and 65+ they are not (the all have the letter “C’). As all marginal effects are </w:t>
      </w:r>
      <w:r w:rsidRPr="004456F1">
        <w:t>standardi</w:t>
      </w:r>
      <w:r>
        <w:t>s</w:t>
      </w:r>
      <w:r w:rsidRPr="004456F1">
        <w:t>ed</w:t>
      </w:r>
      <w:r>
        <w:t xml:space="preserve"> (with a range from 0 to 1), they can be compared across both rows and columns.</w:t>
      </w:r>
    </w:p>
    <w:p w:rsidR="000C2B76" w:rsidRDefault="000C2B76" w:rsidP="00470C47">
      <w:pPr>
        <w:pStyle w:val="FootnoteText"/>
      </w:pPr>
    </w:p>
  </w:footnote>
  <w:footnote w:id="81">
    <w:p w:rsidR="00332609" w:rsidRDefault="00332609" w:rsidP="00470C47">
      <w:pPr>
        <w:pStyle w:val="FootnoteText"/>
      </w:pPr>
      <w:r>
        <w:rPr>
          <w:rStyle w:val="FootnoteReference"/>
        </w:rPr>
        <w:footnoteRef/>
      </w:r>
      <w:r>
        <w:t xml:space="preserve"> When considering age as a continuous variable, knowledge of consumer rights starts to decline after 59 years old.</w:t>
      </w:r>
    </w:p>
  </w:footnote>
  <w:footnote w:id="82">
    <w:p w:rsidR="00332609" w:rsidRDefault="00332609" w:rsidP="00470C47">
      <w:pPr>
        <w:pStyle w:val="FootnoteText"/>
      </w:pPr>
      <w:r>
        <w:rPr>
          <w:rStyle w:val="FootnoteReference"/>
        </w:rPr>
        <w:footnoteRef/>
      </w:r>
      <w:r>
        <w:t xml:space="preserve"> Computed on the basis of marginal effects from the multivariate analyses.</w:t>
      </w:r>
    </w:p>
  </w:footnote>
  <w:footnote w:id="83">
    <w:p w:rsidR="00A967DA" w:rsidRPr="00A967DA" w:rsidRDefault="00A967DA">
      <w:pPr>
        <w:pStyle w:val="FootnoteText"/>
      </w:pPr>
      <w:r>
        <w:rPr>
          <w:rStyle w:val="FootnoteReference"/>
        </w:rPr>
        <w:footnoteRef/>
      </w:r>
      <w:r>
        <w:t xml:space="preserve"> </w:t>
      </w:r>
      <w:r w:rsidRPr="00325352">
        <w:t>The trends were identified on the basis of the slope coefficient of the regression equation y = a + b*t, where y is the indicator and t the years. Only those coefficients that are equal or grea</w:t>
      </w:r>
      <w:r w:rsidRPr="002B44B0">
        <w:t>ter than 0.03 and statistically significant at the 90</w:t>
      </w:r>
      <w:r w:rsidRPr="000F0213">
        <w:rPr>
          <w:w w:val="50"/>
        </w:rPr>
        <w:t> </w:t>
      </w:r>
      <w:r w:rsidRPr="00325352">
        <w:t>% probability level have been considered.</w:t>
      </w:r>
    </w:p>
  </w:footnote>
  <w:footnote w:id="84">
    <w:p w:rsidR="00F71C44" w:rsidRPr="00FC1D14" w:rsidRDefault="00F71C44">
      <w:pPr>
        <w:pStyle w:val="FootnoteText"/>
      </w:pPr>
      <w:r>
        <w:rPr>
          <w:rStyle w:val="FootnoteReference"/>
        </w:rPr>
        <w:footnoteRef/>
      </w:r>
      <w:r>
        <w:t xml:space="preserve"> </w:t>
      </w:r>
      <w:r w:rsidR="00FC1D14">
        <w:t xml:space="preserve">More information is available in chapter </w:t>
      </w:r>
      <w:r w:rsidR="00FC1D14" w:rsidRPr="004F365D">
        <w:t>2.</w:t>
      </w:r>
      <w:r w:rsidR="00FC1D14">
        <w:t xml:space="preserve">5 of Van Roy, V., Rossetti, F., Piculescu, V. (2015). </w:t>
      </w:r>
      <w:r w:rsidR="00FC1D14">
        <w:rPr>
          <w:szCs w:val="24"/>
        </w:rPr>
        <w:t xml:space="preserve">Consumer conditions in the EU: revised framework and empirical investigation, JRC science and policy report, JRC93404, </w:t>
      </w:r>
      <w:hyperlink r:id="rId12" w:history="1">
        <w:r w:rsidR="00FC1D14">
          <w:rPr>
            <w:rStyle w:val="Hyperlink"/>
            <w:szCs w:val="24"/>
          </w:rPr>
          <w:t>http://publications.jrc.ec.europa.eu/repository/handle/JRC93404</w:t>
        </w:r>
      </w:hyperlink>
      <w:r w:rsidR="00FC1D14">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62" w:rsidRPr="00003B62" w:rsidRDefault="00003B62" w:rsidP="00003B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62" w:rsidRPr="00003B62" w:rsidRDefault="00003B62" w:rsidP="00003B62">
    <w:pPr>
      <w:pStyle w:val="HeaderCouncilLarge"/>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Pr="00E93563" w:rsidRDefault="00332609" w:rsidP="00E93563">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Pr="00E93563" w:rsidRDefault="00332609" w:rsidP="00E93563">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62" w:rsidRPr="00003B62" w:rsidRDefault="00003B62" w:rsidP="00003B62">
    <w:pPr>
      <w:pStyle w:val="HeaderCouncil"/>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Default="008B418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Default="008B418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18B" w:rsidRDefault="008B418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09" w:rsidRDefault="003326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nsid w:val="FFFFFF7F"/>
    <w:multiLevelType w:val="singleLevel"/>
    <w:tmpl w:val="38D0E7E4"/>
    <w:lvl w:ilvl="0">
      <w:start w:val="1"/>
      <w:numFmt w:val="decimal"/>
      <w:pStyle w:val="ListNumber4Level4"/>
      <w:lvlText w:val="%1."/>
      <w:lvlJc w:val="left"/>
      <w:pPr>
        <w:tabs>
          <w:tab w:val="num" w:pos="643"/>
        </w:tabs>
        <w:ind w:left="643" w:hanging="360"/>
      </w:pPr>
      <w:rPr>
        <w:rFonts w:cs="Times New Roman"/>
      </w:rPr>
    </w:lvl>
  </w:abstractNum>
  <w:abstractNum w:abstractNumId="4">
    <w:nsid w:val="FFFFFF82"/>
    <w:multiLevelType w:val="singleLevel"/>
    <w:tmpl w:val="B60EE366"/>
    <w:lvl w:ilvl="0">
      <w:start w:val="1"/>
      <w:numFmt w:val="bullet"/>
      <w:pStyle w:val="ListNumberLevel4"/>
      <w:lvlText w:val=""/>
      <w:lvlJc w:val="left"/>
      <w:pPr>
        <w:tabs>
          <w:tab w:val="num" w:pos="926"/>
        </w:tabs>
        <w:ind w:left="926" w:hanging="360"/>
      </w:pPr>
      <w:rPr>
        <w:rFonts w:ascii="Symbol" w:hAnsi="Symbol" w:hint="default"/>
      </w:rPr>
    </w:lvl>
  </w:abstractNum>
  <w:abstractNum w:abstractNumId="5">
    <w:nsid w:val="FFFFFF88"/>
    <w:multiLevelType w:val="singleLevel"/>
    <w:tmpl w:val="86CA90B0"/>
    <w:lvl w:ilvl="0">
      <w:start w:val="1"/>
      <w:numFmt w:val="decimal"/>
      <w:pStyle w:val="ListNumber3Level4"/>
      <w:lvlText w:val="%1."/>
      <w:lvlJc w:val="left"/>
      <w:pPr>
        <w:tabs>
          <w:tab w:val="num" w:pos="360"/>
        </w:tabs>
        <w:ind w:left="360" w:hanging="360"/>
      </w:pPr>
      <w:rPr>
        <w:rFonts w:cs="Times New Roman"/>
      </w:rPr>
    </w:lvl>
  </w:abstractNum>
  <w:abstractNum w:abstractNumId="6">
    <w:nsid w:val="00515EFB"/>
    <w:multiLevelType w:val="multilevel"/>
    <w:tmpl w:val="22266CAE"/>
    <w:styleLink w:val="NumbLstMain"/>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b/>
        <w:i/>
        <w:color w:val="0067AC"/>
        <w:sz w:val="20"/>
      </w:rPr>
    </w:lvl>
    <w:lvl w:ilvl="4">
      <w:start w:val="1"/>
      <w:numFmt w:val="decimal"/>
      <w:lvlText w:val="%1.%2.%3.%4.%5"/>
      <w:lvlJc w:val="left"/>
      <w:pPr>
        <w:ind w:left="851" w:hanging="851"/>
      </w:pPr>
      <w:rPr>
        <w:rFonts w:ascii="Calibri" w:hAnsi="Calibri" w:hint="default"/>
        <w:b/>
        <w:i/>
        <w:color w:val="0067AC"/>
        <w:sz w:val="20"/>
      </w:rPr>
    </w:lvl>
    <w:lvl w:ilvl="5">
      <w:start w:val="1"/>
      <w:numFmt w:val="decimal"/>
      <w:lvlRestart w:val="1"/>
      <w:lvlText w:val="Figure %1.%6"/>
      <w:lvlJc w:val="left"/>
      <w:pPr>
        <w:tabs>
          <w:tab w:val="num" w:pos="851"/>
        </w:tabs>
        <w:ind w:left="1928" w:hanging="1077"/>
      </w:pPr>
      <w:rPr>
        <w:rFonts w:ascii="Calibri" w:hAnsi="Calibri" w:hint="default"/>
        <w:color w:val="0067AC"/>
      </w:rPr>
    </w:lvl>
    <w:lvl w:ilvl="6">
      <w:start w:val="1"/>
      <w:numFmt w:val="decimal"/>
      <w:lvlRestart w:val="1"/>
      <w:lvlText w:val="Table %1.%7"/>
      <w:lvlJc w:val="left"/>
      <w:pPr>
        <w:tabs>
          <w:tab w:val="num" w:pos="851"/>
        </w:tabs>
        <w:ind w:left="1928" w:hanging="1077"/>
      </w:pPr>
      <w:rPr>
        <w:rFonts w:ascii="Calibri" w:hAnsi="Calibri" w:hint="default"/>
      </w:rPr>
    </w:lvl>
    <w:lvl w:ilvl="7">
      <w:start w:val="1"/>
      <w:numFmt w:val="decimal"/>
      <w:lvlRestart w:val="1"/>
      <w:lvlText w:val="Box %1.%8"/>
      <w:lvlJc w:val="left"/>
      <w:pPr>
        <w:ind w:left="1928" w:hanging="1077"/>
      </w:pPr>
      <w:rPr>
        <w:rFonts w:ascii="Calibri" w:hAnsi="Calibri" w:hint="default"/>
        <w:color w:val="0067AC"/>
      </w:rPr>
    </w:lvl>
    <w:lvl w:ilvl="8">
      <w:start w:val="1"/>
      <w:numFmt w:val="none"/>
      <w:lvlText w:val=""/>
      <w:lvlJc w:val="left"/>
      <w:pPr>
        <w:ind w:left="425" w:hanging="425"/>
      </w:pPr>
      <w:rPr>
        <w:rFonts w:ascii="Georgia" w:hAnsi="Georgia" w:hint="default"/>
        <w:color w:val="1F497D"/>
      </w:rPr>
    </w:lvl>
  </w:abstractNum>
  <w:abstractNum w:abstractNumId="7">
    <w:nsid w:val="0C96107E"/>
    <w:multiLevelType w:val="hybridMultilevel"/>
    <w:tmpl w:val="E84EA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A27229"/>
    <w:multiLevelType w:val="hybridMultilevel"/>
    <w:tmpl w:val="81CAC6F6"/>
    <w:name w:val="Heading2222"/>
    <w:lvl w:ilvl="0" w:tplc="B088BF08">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7967EBA"/>
    <w:multiLevelType w:val="hybridMultilevel"/>
    <w:tmpl w:val="E5F21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7DF06CB"/>
    <w:multiLevelType w:val="multilevel"/>
    <w:tmpl w:val="7D5222FE"/>
    <w:lvl w:ilvl="0">
      <w:start w:val="1"/>
      <w:numFmt w:val="decimal"/>
      <w:lvlRestart w:val="0"/>
      <w:lvlText w:val="%1."/>
      <w:lvlJc w:val="left"/>
      <w:pPr>
        <w:tabs>
          <w:tab w:val="num" w:pos="850"/>
        </w:tabs>
        <w:ind w:left="850" w:hanging="850"/>
      </w:pPr>
      <w:rPr>
        <w:rFonts w:cs="Times New Roman" w:hint="default"/>
      </w:rPr>
    </w:lvl>
    <w:lvl w:ilvl="1">
      <w:start w:val="1"/>
      <w:numFmt w:val="decimal"/>
      <w:lvlText w:val="%1.%2."/>
      <w:lvlJc w:val="left"/>
      <w:pPr>
        <w:tabs>
          <w:tab w:val="num" w:pos="850"/>
        </w:tabs>
        <w:ind w:left="850" w:hanging="85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50"/>
        </w:tabs>
        <w:ind w:left="850" w:hanging="850"/>
      </w:pPr>
      <w:rPr>
        <w:rFonts w:cs="Times New Roman" w:hint="default"/>
      </w:rPr>
    </w:lvl>
    <w:lvl w:ilvl="3">
      <w:start w:val="1"/>
      <w:numFmt w:val="decimal"/>
      <w:pStyle w:val="Heading4"/>
      <w:lvlText w:val="%1.%2.%3.%4."/>
      <w:lvlJc w:val="left"/>
      <w:pPr>
        <w:tabs>
          <w:tab w:val="num" w:pos="850"/>
        </w:tabs>
        <w:ind w:left="850" w:hanging="85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2">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B3C78B8"/>
    <w:multiLevelType w:val="multilevel"/>
    <w:tmpl w:val="2ED4F4D0"/>
    <w:name w:val="Point"/>
    <w:lvl w:ilvl="0">
      <w:start w:val="1"/>
      <w:numFmt w:val="decimal"/>
      <w:lvlRestart w:val="0"/>
      <w:pStyle w:val="Point0number"/>
      <w:lvlText w:val="(%1)"/>
      <w:lvlJc w:val="left"/>
      <w:pPr>
        <w:tabs>
          <w:tab w:val="num" w:pos="850"/>
        </w:tabs>
        <w:ind w:left="850" w:hanging="850"/>
      </w:pPr>
      <w:rPr>
        <w:rFonts w:cs="Times New Roman"/>
      </w:rPr>
    </w:lvl>
    <w:lvl w:ilvl="1">
      <w:start w:val="1"/>
      <w:numFmt w:val="lowerLetter"/>
      <w:pStyle w:val="Point0letter"/>
      <w:lvlText w:val="(%2)"/>
      <w:lvlJc w:val="left"/>
      <w:pPr>
        <w:tabs>
          <w:tab w:val="num" w:pos="850"/>
        </w:tabs>
        <w:ind w:left="850" w:hanging="850"/>
      </w:pPr>
      <w:rPr>
        <w:rFonts w:cs="Times New Roman"/>
      </w:rPr>
    </w:lvl>
    <w:lvl w:ilvl="2">
      <w:start w:val="1"/>
      <w:numFmt w:val="decimal"/>
      <w:pStyle w:val="Point1number"/>
      <w:lvlText w:val="(%3)"/>
      <w:lvlJc w:val="left"/>
      <w:pPr>
        <w:tabs>
          <w:tab w:val="num" w:pos="1417"/>
        </w:tabs>
        <w:ind w:left="1417" w:hanging="567"/>
      </w:pPr>
      <w:rPr>
        <w:rFonts w:cs="Times New Roman"/>
      </w:rPr>
    </w:lvl>
    <w:lvl w:ilvl="3">
      <w:start w:val="1"/>
      <w:numFmt w:val="lowerLetter"/>
      <w:pStyle w:val="Point1letter"/>
      <w:lvlText w:val="(%4)"/>
      <w:lvlJc w:val="left"/>
      <w:pPr>
        <w:tabs>
          <w:tab w:val="num" w:pos="1417"/>
        </w:tabs>
        <w:ind w:left="1417" w:hanging="567"/>
      </w:pPr>
      <w:rPr>
        <w:rFonts w:cs="Times New Roman"/>
      </w:rPr>
    </w:lvl>
    <w:lvl w:ilvl="4">
      <w:start w:val="1"/>
      <w:numFmt w:val="decimal"/>
      <w:pStyle w:val="Point2number"/>
      <w:lvlText w:val="(%5)"/>
      <w:lvlJc w:val="left"/>
      <w:pPr>
        <w:tabs>
          <w:tab w:val="num" w:pos="1984"/>
        </w:tabs>
        <w:ind w:left="1984" w:hanging="567"/>
      </w:pPr>
      <w:rPr>
        <w:rFonts w:cs="Times New Roman"/>
      </w:rPr>
    </w:lvl>
    <w:lvl w:ilvl="5">
      <w:start w:val="1"/>
      <w:numFmt w:val="lowerLetter"/>
      <w:pStyle w:val="Point2letter"/>
      <w:lvlText w:val="(%6)"/>
      <w:lvlJc w:val="left"/>
      <w:pPr>
        <w:tabs>
          <w:tab w:val="num" w:pos="1984"/>
        </w:tabs>
        <w:ind w:left="1984" w:hanging="567"/>
      </w:pPr>
      <w:rPr>
        <w:rFonts w:cs="Times New Roman"/>
      </w:rPr>
    </w:lvl>
    <w:lvl w:ilvl="6">
      <w:start w:val="1"/>
      <w:numFmt w:val="decimal"/>
      <w:pStyle w:val="Point3number"/>
      <w:lvlText w:val="(%7)"/>
      <w:lvlJc w:val="left"/>
      <w:pPr>
        <w:tabs>
          <w:tab w:val="num" w:pos="2551"/>
        </w:tabs>
        <w:ind w:left="2551" w:hanging="567"/>
      </w:pPr>
      <w:rPr>
        <w:rFonts w:cs="Times New Roman"/>
      </w:rPr>
    </w:lvl>
    <w:lvl w:ilvl="7">
      <w:start w:val="1"/>
      <w:numFmt w:val="lowerLetter"/>
      <w:pStyle w:val="Point3letter"/>
      <w:lvlText w:val="(%8)"/>
      <w:lvlJc w:val="left"/>
      <w:pPr>
        <w:tabs>
          <w:tab w:val="num" w:pos="2551"/>
        </w:tabs>
        <w:ind w:left="2551" w:hanging="567"/>
      </w:pPr>
      <w:rPr>
        <w:rFonts w:cs="Times New Roman"/>
      </w:rPr>
    </w:lvl>
    <w:lvl w:ilvl="8">
      <w:start w:val="1"/>
      <w:numFmt w:val="lowerLetter"/>
      <w:pStyle w:val="Point4letter"/>
      <w:lvlText w:val="(%9)"/>
      <w:lvlJc w:val="left"/>
      <w:pPr>
        <w:tabs>
          <w:tab w:val="num" w:pos="3118"/>
        </w:tabs>
        <w:ind w:left="3118" w:hanging="567"/>
      </w:pPr>
      <w:rPr>
        <w:rFonts w:cs="Times New Roman"/>
      </w:rPr>
    </w:lvl>
  </w:abstractNum>
  <w:abstractNum w:abstractNumId="14">
    <w:nsid w:val="1E46186C"/>
    <w:multiLevelType w:val="hybridMultilevel"/>
    <w:tmpl w:val="40B2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0811C92"/>
    <w:multiLevelType w:val="hybridMultilevel"/>
    <w:tmpl w:val="91B68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2E44180"/>
    <w:multiLevelType w:val="multilevel"/>
    <w:tmpl w:val="DFC88CEC"/>
    <w:name w:val="NumPar"/>
    <w:lvl w:ilvl="0">
      <w:start w:val="1"/>
      <w:numFmt w:val="decimal"/>
      <w:lvlRestart w:val="0"/>
      <w:pStyle w:val="NumPar1"/>
      <w:lvlText w:val="%1."/>
      <w:lvlJc w:val="left"/>
      <w:pPr>
        <w:tabs>
          <w:tab w:val="num" w:pos="850"/>
        </w:tabs>
        <w:ind w:left="850" w:hanging="850"/>
      </w:pPr>
      <w:rPr>
        <w:rFonts w:cs="Times New Roman"/>
      </w:rPr>
    </w:lvl>
    <w:lvl w:ilvl="1">
      <w:start w:val="1"/>
      <w:numFmt w:val="decimal"/>
      <w:pStyle w:val="NumPar2"/>
      <w:lvlText w:val="%1.%2."/>
      <w:lvlJc w:val="left"/>
      <w:pPr>
        <w:tabs>
          <w:tab w:val="num" w:pos="850"/>
        </w:tabs>
        <w:ind w:left="850" w:hanging="850"/>
      </w:pPr>
      <w:rPr>
        <w:rFonts w:cs="Times New Roman"/>
      </w:rPr>
    </w:lvl>
    <w:lvl w:ilvl="2">
      <w:start w:val="1"/>
      <w:numFmt w:val="decimal"/>
      <w:pStyle w:val="NumPar3"/>
      <w:lvlText w:val="%1.%2.%3."/>
      <w:lvlJc w:val="left"/>
      <w:pPr>
        <w:tabs>
          <w:tab w:val="num" w:pos="850"/>
        </w:tabs>
        <w:ind w:left="850" w:hanging="850"/>
      </w:pPr>
      <w:rPr>
        <w:rFonts w:cs="Times New Roman"/>
      </w:rPr>
    </w:lvl>
    <w:lvl w:ilvl="3">
      <w:start w:val="1"/>
      <w:numFmt w:val="decimal"/>
      <w:pStyle w:val="NumPar4"/>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nsid w:val="23A23269"/>
    <w:multiLevelType w:val="multilevel"/>
    <w:tmpl w:val="D12E8CBA"/>
    <w:lvl w:ilvl="0">
      <w:start w:val="1"/>
      <w:numFmt w:val="decimal"/>
      <w:lvlRestart w:val="0"/>
      <w:lvlText w:val="%1."/>
      <w:lvlJc w:val="left"/>
      <w:pPr>
        <w:tabs>
          <w:tab w:val="num" w:pos="850"/>
        </w:tabs>
        <w:ind w:left="850" w:hanging="850"/>
      </w:pPr>
      <w:rPr>
        <w:rFonts w:cs="Times New Roman" w:hint="default"/>
      </w:rPr>
    </w:lvl>
    <w:lvl w:ilvl="1">
      <w:start w:val="1"/>
      <w:numFmt w:val="decimal"/>
      <w:lvlText w:val="%2."/>
      <w:lvlJc w:val="left"/>
      <w:pPr>
        <w:tabs>
          <w:tab w:val="num" w:pos="850"/>
        </w:tabs>
        <w:ind w:left="850" w:hanging="850"/>
      </w:pPr>
      <w:rPr>
        <w:rFonts w:hint="default"/>
      </w:rPr>
    </w:lvl>
    <w:lvl w:ilvl="2">
      <w:start w:val="1"/>
      <w:numFmt w:val="decimal"/>
      <w:lvlText w:val="%1.%2.%3."/>
      <w:lvlJc w:val="left"/>
      <w:pPr>
        <w:tabs>
          <w:tab w:val="num" w:pos="850"/>
        </w:tabs>
        <w:ind w:left="850" w:hanging="850"/>
      </w:pPr>
      <w:rPr>
        <w:rFonts w:cs="Times New Roman" w:hint="default"/>
      </w:rPr>
    </w:lvl>
    <w:lvl w:ilvl="3">
      <w:start w:val="1"/>
      <w:numFmt w:val="decimal"/>
      <w:lvlText w:val="%1.%2.%3.%4."/>
      <w:lvlJc w:val="left"/>
      <w:pPr>
        <w:tabs>
          <w:tab w:val="num" w:pos="850"/>
        </w:tabs>
        <w:ind w:left="850" w:hanging="85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8">
    <w:nsid w:val="2A86249A"/>
    <w:multiLevelType w:val="hybridMultilevel"/>
    <w:tmpl w:val="BFA46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B72C6E"/>
    <w:multiLevelType w:val="singleLevel"/>
    <w:tmpl w:val="10ACD464"/>
    <w:name w:val="Bullet 3"/>
    <w:lvl w:ilvl="0">
      <w:start w:val="1"/>
      <w:numFmt w:val="bullet"/>
      <w:lvlRestart w:val="0"/>
      <w:pStyle w:val="Bullet3"/>
      <w:lvlText w:val=""/>
      <w:lvlJc w:val="left"/>
      <w:pPr>
        <w:tabs>
          <w:tab w:val="num" w:pos="2551"/>
        </w:tabs>
        <w:ind w:left="2551" w:hanging="567"/>
      </w:pPr>
      <w:rPr>
        <w:rFonts w:ascii="Symbol" w:hAnsi="Symbol" w:hint="default"/>
      </w:rPr>
    </w:lvl>
  </w:abstractNum>
  <w:abstractNum w:abstractNumId="20">
    <w:nsid w:val="2CE9221F"/>
    <w:multiLevelType w:val="singleLevel"/>
    <w:tmpl w:val="9B4AFB48"/>
    <w:name w:val="Tiret 3"/>
    <w:lvl w:ilvl="0">
      <w:start w:val="1"/>
      <w:numFmt w:val="bullet"/>
      <w:lvlRestart w:val="0"/>
      <w:pStyle w:val="Tiret3"/>
      <w:lvlText w:val="–"/>
      <w:lvlJc w:val="left"/>
      <w:pPr>
        <w:tabs>
          <w:tab w:val="num" w:pos="2551"/>
        </w:tabs>
        <w:ind w:left="2551" w:hanging="567"/>
      </w:pPr>
    </w:lvl>
  </w:abstractNum>
  <w:abstractNum w:abstractNumId="21">
    <w:nsid w:val="2D195D91"/>
    <w:multiLevelType w:val="multilevel"/>
    <w:tmpl w:val="6AAEF8DA"/>
    <w:lvl w:ilvl="0">
      <w:start w:val="1"/>
      <w:numFmt w:val="decimal"/>
      <w:lvlRestart w:val="0"/>
      <w:lvlText w:val="%1."/>
      <w:lvlJc w:val="left"/>
      <w:pPr>
        <w:tabs>
          <w:tab w:val="num" w:pos="850"/>
        </w:tabs>
        <w:ind w:left="850" w:hanging="850"/>
      </w:pPr>
      <w:rPr>
        <w:rFonts w:cs="Times New Roman" w:hint="default"/>
      </w:rPr>
    </w:lvl>
    <w:lvl w:ilvl="1">
      <w:start w:val="1"/>
      <w:numFmt w:val="decimal"/>
      <w:pStyle w:val="Heading2"/>
      <w:lvlText w:val="%2."/>
      <w:lvlJc w:val="left"/>
      <w:pPr>
        <w:tabs>
          <w:tab w:val="num" w:pos="850"/>
        </w:tabs>
        <w:ind w:left="850" w:hanging="850"/>
      </w:pPr>
      <w:rPr>
        <w:rFonts w:hint="default"/>
      </w:rPr>
    </w:lvl>
    <w:lvl w:ilvl="2">
      <w:start w:val="1"/>
      <w:numFmt w:val="decimal"/>
      <w:lvlText w:val="%1.%2.%3."/>
      <w:lvlJc w:val="left"/>
      <w:pPr>
        <w:tabs>
          <w:tab w:val="num" w:pos="850"/>
        </w:tabs>
        <w:ind w:left="850" w:hanging="850"/>
      </w:pPr>
      <w:rPr>
        <w:rFonts w:cs="Times New Roman" w:hint="default"/>
      </w:rPr>
    </w:lvl>
    <w:lvl w:ilvl="3">
      <w:start w:val="1"/>
      <w:numFmt w:val="decimal"/>
      <w:lvlText w:val="%1.%2.%3.%4."/>
      <w:lvlJc w:val="left"/>
      <w:pPr>
        <w:tabs>
          <w:tab w:val="num" w:pos="850"/>
        </w:tabs>
        <w:ind w:left="850" w:hanging="85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2">
    <w:nsid w:val="308D3D80"/>
    <w:multiLevelType w:val="hybridMultilevel"/>
    <w:tmpl w:val="3A369738"/>
    <w:lvl w:ilvl="0" w:tplc="0B144518">
      <w:start w:val="5"/>
      <w:numFmt w:val="upperRoman"/>
      <w:pStyle w:val="Heading1"/>
      <w:lvlText w:val="%1."/>
      <w:lvlJc w:val="righ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86D79D9"/>
    <w:multiLevelType w:val="multilevel"/>
    <w:tmpl w:val="53B26E1C"/>
    <w:styleLink w:val="Aufzhlungszeichen1"/>
    <w:lvl w:ilvl="0">
      <w:start w:val="1"/>
      <w:numFmt w:val="bullet"/>
      <w:pStyle w:val="Bulletlis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24">
    <w:nsid w:val="39801475"/>
    <w:multiLevelType w:val="multilevel"/>
    <w:tmpl w:val="9F9A5336"/>
    <w:styleLink w:val="NumbLstBTBullet"/>
    <w:lvl w:ilvl="0">
      <w:start w:val="1"/>
      <w:numFmt w:val="bullet"/>
      <w:pStyle w:val="BTBullet1"/>
      <w:lvlText w:val="■"/>
      <w:lvlJc w:val="left"/>
      <w:pPr>
        <w:tabs>
          <w:tab w:val="num" w:pos="1191"/>
        </w:tabs>
        <w:ind w:left="1191" w:hanging="340"/>
      </w:pPr>
      <w:rPr>
        <w:rFonts w:ascii="Arial" w:hAnsi="Arial" w:hint="default"/>
        <w:color w:val="0067AC"/>
      </w:rPr>
    </w:lvl>
    <w:lvl w:ilvl="1">
      <w:start w:val="1"/>
      <w:numFmt w:val="bullet"/>
      <w:pStyle w:val="BTBullet2"/>
      <w:lvlText w:val="–"/>
      <w:lvlJc w:val="left"/>
      <w:pPr>
        <w:tabs>
          <w:tab w:val="num" w:pos="1531"/>
        </w:tabs>
        <w:ind w:left="1531" w:hanging="340"/>
      </w:pPr>
      <w:rPr>
        <w:rFonts w:ascii="Arial" w:hAnsi="Arial" w:hint="default"/>
        <w:color w:val="0067AC"/>
      </w:rPr>
    </w:lvl>
    <w:lvl w:ilvl="2">
      <w:start w:val="1"/>
      <w:numFmt w:val="bullet"/>
      <w:pStyle w:val="BTBullet3"/>
      <w:lvlText w:val="○"/>
      <w:lvlJc w:val="left"/>
      <w:pPr>
        <w:tabs>
          <w:tab w:val="num" w:pos="1871"/>
        </w:tabs>
        <w:ind w:left="1871" w:hanging="340"/>
      </w:pPr>
      <w:rPr>
        <w:rFonts w:ascii="Arial" w:hAnsi="Arial" w:hint="default"/>
        <w:color w:val="0067AC"/>
      </w:rPr>
    </w:lvl>
    <w:lvl w:ilvl="3">
      <w:start w:val="1"/>
      <w:numFmt w:val="none"/>
      <w:suff w:val="nothing"/>
      <w:lvlText w:val=""/>
      <w:lvlJc w:val="left"/>
      <w:pPr>
        <w:ind w:left="1871" w:firstLine="0"/>
      </w:pPr>
      <w:rPr>
        <w:rFonts w:hint="default"/>
      </w:rPr>
    </w:lvl>
    <w:lvl w:ilvl="4">
      <w:start w:val="1"/>
      <w:numFmt w:val="none"/>
      <w:suff w:val="nothing"/>
      <w:lvlText w:val=""/>
      <w:lvlJc w:val="left"/>
      <w:pPr>
        <w:ind w:left="1871" w:firstLine="0"/>
      </w:pPr>
      <w:rPr>
        <w:rFonts w:hint="default"/>
      </w:rPr>
    </w:lvl>
    <w:lvl w:ilvl="5">
      <w:start w:val="1"/>
      <w:numFmt w:val="none"/>
      <w:suff w:val="nothing"/>
      <w:lvlText w:val=""/>
      <w:lvlJc w:val="left"/>
      <w:pPr>
        <w:ind w:left="1871" w:firstLine="0"/>
      </w:pPr>
      <w:rPr>
        <w:rFonts w:hint="default"/>
      </w:rPr>
    </w:lvl>
    <w:lvl w:ilvl="6">
      <w:start w:val="1"/>
      <w:numFmt w:val="none"/>
      <w:suff w:val="nothing"/>
      <w:lvlText w:val=""/>
      <w:lvlJc w:val="left"/>
      <w:pPr>
        <w:ind w:left="1871" w:firstLine="0"/>
      </w:pPr>
      <w:rPr>
        <w:rFonts w:hint="default"/>
      </w:rPr>
    </w:lvl>
    <w:lvl w:ilvl="7">
      <w:start w:val="1"/>
      <w:numFmt w:val="none"/>
      <w:suff w:val="nothing"/>
      <w:lvlText w:val=""/>
      <w:lvlJc w:val="left"/>
      <w:pPr>
        <w:ind w:left="1871" w:firstLine="0"/>
      </w:pPr>
      <w:rPr>
        <w:rFonts w:hint="default"/>
      </w:rPr>
    </w:lvl>
    <w:lvl w:ilvl="8">
      <w:start w:val="1"/>
      <w:numFmt w:val="none"/>
      <w:lvlText w:val=""/>
      <w:lvlJc w:val="left"/>
      <w:pPr>
        <w:ind w:left="3240" w:hanging="360"/>
      </w:pPr>
      <w:rPr>
        <w:rFonts w:hint="default"/>
      </w:rPr>
    </w:lvl>
  </w:abstractNum>
  <w:abstractNum w:abstractNumId="25">
    <w:nsid w:val="3A1C100A"/>
    <w:multiLevelType w:val="hybridMultilevel"/>
    <w:tmpl w:val="0938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2713452"/>
    <w:multiLevelType w:val="singleLevel"/>
    <w:tmpl w:val="3B8CC7EA"/>
    <w:name w:val="Tiret 1"/>
    <w:lvl w:ilvl="0">
      <w:start w:val="1"/>
      <w:numFmt w:val="bullet"/>
      <w:lvlRestart w:val="0"/>
      <w:pStyle w:val="Tiret1"/>
      <w:lvlText w:val="–"/>
      <w:lvlJc w:val="left"/>
      <w:pPr>
        <w:tabs>
          <w:tab w:val="num" w:pos="1417"/>
        </w:tabs>
        <w:ind w:left="1417" w:hanging="567"/>
      </w:pPr>
    </w:lvl>
  </w:abstractNum>
  <w:abstractNum w:abstractNumId="27">
    <w:nsid w:val="42FC0772"/>
    <w:multiLevelType w:val="singleLevel"/>
    <w:tmpl w:val="4128FCF8"/>
    <w:name w:val="Tiret 4"/>
    <w:lvl w:ilvl="0">
      <w:start w:val="1"/>
      <w:numFmt w:val="bullet"/>
      <w:lvlRestart w:val="0"/>
      <w:pStyle w:val="Tiret4"/>
      <w:lvlText w:val="–"/>
      <w:lvlJc w:val="left"/>
      <w:pPr>
        <w:tabs>
          <w:tab w:val="num" w:pos="3118"/>
        </w:tabs>
        <w:ind w:left="3118" w:hanging="567"/>
      </w:pPr>
    </w:lvl>
  </w:abstractNum>
  <w:abstractNum w:abstractNumId="28">
    <w:nsid w:val="432E7F2A"/>
    <w:multiLevelType w:val="multilevel"/>
    <w:tmpl w:val="F6B8A886"/>
    <w:lvl w:ilvl="0">
      <w:start w:val="1"/>
      <w:numFmt w:val="decimal"/>
      <w:pStyle w:val="ReportChapters"/>
      <w:lvlText w:val="%1."/>
      <w:lvlJc w:val="left"/>
      <w:pPr>
        <w:ind w:left="720" w:hanging="360"/>
      </w:pPr>
    </w:lvl>
    <w:lvl w:ilvl="1">
      <w:start w:val="1"/>
      <w:numFmt w:val="decimal"/>
      <w:pStyle w:val="ReportSub-chapters"/>
      <w:isLgl/>
      <w:lvlText w:val="%1.%2."/>
      <w:lvlJc w:val="left"/>
      <w:pPr>
        <w:ind w:left="1080" w:hanging="720"/>
      </w:pPr>
      <w:rPr>
        <w:rFonts w:hint="default"/>
      </w:rPr>
    </w:lvl>
    <w:lvl w:ilvl="2">
      <w:start w:val="1"/>
      <w:numFmt w:val="decimal"/>
      <w:pStyle w:val="ReportSub-sub-chapters"/>
      <w:isLgl/>
      <w:lvlText w:val="%1.%2.%3."/>
      <w:lvlJc w:val="left"/>
      <w:pPr>
        <w:ind w:left="1440" w:hanging="1080"/>
      </w:pPr>
      <w:rPr>
        <w:rFonts w:hint="default"/>
      </w:rPr>
    </w:lvl>
    <w:lvl w:ilvl="3">
      <w:start w:val="1"/>
      <w:numFmt w:val="decimal"/>
      <w:pStyle w:val="ReportSub-sub-sub-chapters"/>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4552127F"/>
    <w:multiLevelType w:val="singleLevel"/>
    <w:tmpl w:val="057A5296"/>
    <w:name w:val="Bullet 0"/>
    <w:lvl w:ilvl="0">
      <w:start w:val="1"/>
      <w:numFmt w:val="bullet"/>
      <w:lvlRestart w:val="0"/>
      <w:pStyle w:val="Bullet0"/>
      <w:lvlText w:val=""/>
      <w:lvlJc w:val="left"/>
      <w:pPr>
        <w:tabs>
          <w:tab w:val="num" w:pos="850"/>
        </w:tabs>
        <w:ind w:left="850" w:hanging="850"/>
      </w:pPr>
      <w:rPr>
        <w:rFonts w:ascii="Symbol" w:hAnsi="Symbol" w:hint="default"/>
      </w:rPr>
    </w:lvl>
  </w:abstractNum>
  <w:abstractNum w:abstractNumId="30">
    <w:nsid w:val="504936E5"/>
    <w:multiLevelType w:val="multilevel"/>
    <w:tmpl w:val="9F9A5336"/>
    <w:numStyleLink w:val="NumbLstBTBullet"/>
  </w:abstractNum>
  <w:abstractNum w:abstractNumId="31">
    <w:nsid w:val="51DD4D44"/>
    <w:multiLevelType w:val="hybridMultilevel"/>
    <w:tmpl w:val="7F3C85A4"/>
    <w:lvl w:ilvl="0" w:tplc="56DA6C5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D267FC"/>
    <w:multiLevelType w:val="hybridMultilevel"/>
    <w:tmpl w:val="F292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56E1D63"/>
    <w:multiLevelType w:val="singleLevel"/>
    <w:tmpl w:val="493AAFF0"/>
    <w:name w:val="Bullet 4"/>
    <w:lvl w:ilvl="0">
      <w:start w:val="1"/>
      <w:numFmt w:val="bullet"/>
      <w:lvlRestart w:val="0"/>
      <w:pStyle w:val="Bullet4"/>
      <w:lvlText w:val=""/>
      <w:lvlJc w:val="left"/>
      <w:pPr>
        <w:tabs>
          <w:tab w:val="num" w:pos="3118"/>
        </w:tabs>
        <w:ind w:left="3118" w:hanging="567"/>
      </w:pPr>
      <w:rPr>
        <w:rFonts w:ascii="Symbol" w:hAnsi="Symbol" w:hint="default"/>
      </w:rPr>
    </w:lvl>
  </w:abstractNum>
  <w:abstractNum w:abstractNumId="34">
    <w:nsid w:val="57F62EB3"/>
    <w:multiLevelType w:val="multilevel"/>
    <w:tmpl w:val="53B26E1C"/>
    <w:numStyleLink w:val="Aufzhlungszeichen1"/>
  </w:abstractNum>
  <w:abstractNum w:abstractNumId="35">
    <w:nsid w:val="5A5403FC"/>
    <w:multiLevelType w:val="hybridMultilevel"/>
    <w:tmpl w:val="A8EC0F1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B395AAA"/>
    <w:multiLevelType w:val="singleLevel"/>
    <w:tmpl w:val="96D02E8A"/>
    <w:name w:val="Bullet 1"/>
    <w:styleLink w:val="Style21"/>
    <w:lvl w:ilvl="0">
      <w:start w:val="1"/>
      <w:numFmt w:val="bullet"/>
      <w:lvlRestart w:val="0"/>
      <w:pStyle w:val="Bullet1"/>
      <w:lvlText w:val=""/>
      <w:lvlJc w:val="left"/>
      <w:pPr>
        <w:tabs>
          <w:tab w:val="num" w:pos="1417"/>
        </w:tabs>
        <w:ind w:left="1417" w:hanging="567"/>
      </w:pPr>
      <w:rPr>
        <w:rFonts w:ascii="Symbol" w:hAnsi="Symbol" w:hint="default"/>
      </w:rPr>
    </w:lvl>
  </w:abstractNum>
  <w:abstractNum w:abstractNumId="37">
    <w:nsid w:val="5C056EE5"/>
    <w:multiLevelType w:val="singleLevel"/>
    <w:tmpl w:val="3378D27C"/>
    <w:name w:val="Bullet 2"/>
    <w:lvl w:ilvl="0">
      <w:start w:val="1"/>
      <w:numFmt w:val="bullet"/>
      <w:lvlRestart w:val="0"/>
      <w:pStyle w:val="Bullet2"/>
      <w:lvlText w:val=""/>
      <w:lvlJc w:val="left"/>
      <w:pPr>
        <w:tabs>
          <w:tab w:val="num" w:pos="1984"/>
        </w:tabs>
        <w:ind w:left="1984" w:hanging="567"/>
      </w:pPr>
      <w:rPr>
        <w:rFonts w:ascii="Symbol" w:hAnsi="Symbol" w:hint="default"/>
      </w:rPr>
    </w:lvl>
  </w:abstractNum>
  <w:abstractNum w:abstractNumId="38">
    <w:nsid w:val="5C8F2170"/>
    <w:multiLevelType w:val="hybridMultilevel"/>
    <w:tmpl w:val="B3647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CA31A15"/>
    <w:multiLevelType w:val="singleLevel"/>
    <w:tmpl w:val="CB981644"/>
    <w:name w:val="Tiret 0"/>
    <w:lvl w:ilvl="0">
      <w:start w:val="1"/>
      <w:numFmt w:val="bullet"/>
      <w:lvlRestart w:val="0"/>
      <w:pStyle w:val="Tiret0"/>
      <w:lvlText w:val="–"/>
      <w:lvlJc w:val="left"/>
      <w:pPr>
        <w:tabs>
          <w:tab w:val="num" w:pos="850"/>
        </w:tabs>
        <w:ind w:left="850" w:hanging="850"/>
      </w:pPr>
    </w:lvl>
  </w:abstractNum>
  <w:abstractNum w:abstractNumId="40">
    <w:nsid w:val="5FE655B0"/>
    <w:multiLevelType w:val="multilevel"/>
    <w:tmpl w:val="3E1C0C94"/>
    <w:lvl w:ilvl="0">
      <w:start w:val="1"/>
      <w:numFmt w:val="decimal"/>
      <w:lvlRestart w:val="0"/>
      <w:lvlText w:val="%1."/>
      <w:lvlJc w:val="left"/>
      <w:pPr>
        <w:tabs>
          <w:tab w:val="num" w:pos="850"/>
        </w:tabs>
        <w:ind w:left="850" w:hanging="850"/>
      </w:pPr>
      <w:rPr>
        <w:rFonts w:cs="Times New Roman" w:hint="default"/>
      </w:rPr>
    </w:lvl>
    <w:lvl w:ilvl="1">
      <w:start w:val="1"/>
      <w:numFmt w:val="decimal"/>
      <w:lvlText w:val="%2."/>
      <w:lvlJc w:val="left"/>
      <w:pPr>
        <w:tabs>
          <w:tab w:val="num" w:pos="850"/>
        </w:tabs>
        <w:ind w:left="850" w:hanging="850"/>
      </w:pPr>
      <w:rPr>
        <w:rFonts w:hint="default"/>
      </w:rPr>
    </w:lvl>
    <w:lvl w:ilvl="2">
      <w:start w:val="1"/>
      <w:numFmt w:val="decimal"/>
      <w:lvlText w:val="%1.%2.%3."/>
      <w:lvlJc w:val="left"/>
      <w:pPr>
        <w:tabs>
          <w:tab w:val="num" w:pos="850"/>
        </w:tabs>
        <w:ind w:left="850" w:hanging="850"/>
      </w:pPr>
      <w:rPr>
        <w:rFonts w:cs="Times New Roman" w:hint="default"/>
      </w:rPr>
    </w:lvl>
    <w:lvl w:ilvl="3">
      <w:start w:val="1"/>
      <w:numFmt w:val="decimal"/>
      <w:lvlText w:val="%1.%2.%3.%4."/>
      <w:lvlJc w:val="left"/>
      <w:pPr>
        <w:tabs>
          <w:tab w:val="num" w:pos="850"/>
        </w:tabs>
        <w:ind w:left="850" w:hanging="85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41">
    <w:nsid w:val="64A12FA4"/>
    <w:multiLevelType w:val="multilevel"/>
    <w:tmpl w:val="AF443F42"/>
    <w:name w:val="Heading"/>
    <w:lvl w:ilvl="0">
      <w:start w:val="1"/>
      <w:numFmt w:val="decimal"/>
      <w:lvlRestart w:val="0"/>
      <w:lvlText w:val="%1."/>
      <w:lvlJc w:val="left"/>
      <w:pPr>
        <w:tabs>
          <w:tab w:val="num" w:pos="850"/>
        </w:tabs>
        <w:ind w:left="850" w:hanging="850"/>
      </w:pPr>
      <w:rPr>
        <w:rFonts w:cs="Times New Roman" w:hint="default"/>
      </w:rPr>
    </w:lvl>
    <w:lvl w:ilvl="1">
      <w:start w:val="1"/>
      <w:numFmt w:val="decimal"/>
      <w:lvlText w:val="%1.%2."/>
      <w:lvlJc w:val="left"/>
      <w:pPr>
        <w:tabs>
          <w:tab w:val="num" w:pos="850"/>
        </w:tabs>
        <w:ind w:left="850" w:hanging="850"/>
      </w:pPr>
      <w:rPr>
        <w:rFonts w:cs="Times New Roman" w:hint="default"/>
      </w:rPr>
    </w:lvl>
    <w:lvl w:ilvl="2">
      <w:start w:val="1"/>
      <w:numFmt w:val="decimal"/>
      <w:lvlText w:val="%1.%2.%3."/>
      <w:lvlJc w:val="left"/>
      <w:pPr>
        <w:tabs>
          <w:tab w:val="num" w:pos="850"/>
        </w:tabs>
        <w:ind w:left="850" w:hanging="850"/>
      </w:pPr>
      <w:rPr>
        <w:rFonts w:cs="Times New Roman" w:hint="default"/>
      </w:rPr>
    </w:lvl>
    <w:lvl w:ilvl="3">
      <w:start w:val="1"/>
      <w:numFmt w:val="decimal"/>
      <w:lvlText w:val="%1.%2.%3.%4."/>
      <w:lvlJc w:val="left"/>
      <w:pPr>
        <w:tabs>
          <w:tab w:val="num" w:pos="850"/>
        </w:tabs>
        <w:ind w:left="850" w:hanging="85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42">
    <w:nsid w:val="667E2F9E"/>
    <w:multiLevelType w:val="hybridMultilevel"/>
    <w:tmpl w:val="47DE74DA"/>
    <w:name w:val="Heading222"/>
    <w:lvl w:ilvl="0" w:tplc="B088BF08">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nsid w:val="67B856F6"/>
    <w:multiLevelType w:val="singleLevel"/>
    <w:tmpl w:val="0AB28E9C"/>
    <w:name w:val="Tiret 2"/>
    <w:lvl w:ilvl="0">
      <w:start w:val="1"/>
      <w:numFmt w:val="bullet"/>
      <w:lvlRestart w:val="0"/>
      <w:pStyle w:val="Tiret2"/>
      <w:lvlText w:val="–"/>
      <w:lvlJc w:val="left"/>
      <w:pPr>
        <w:tabs>
          <w:tab w:val="num" w:pos="1984"/>
        </w:tabs>
        <w:ind w:left="1984" w:hanging="567"/>
      </w:pPr>
    </w:lvl>
  </w:abstractNum>
  <w:abstractNum w:abstractNumId="44">
    <w:nsid w:val="6F863898"/>
    <w:multiLevelType w:val="hybridMultilevel"/>
    <w:tmpl w:val="DD7C5778"/>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CBE4812"/>
    <w:multiLevelType w:val="singleLevel"/>
    <w:tmpl w:val="23C821E4"/>
    <w:name w:val="Considérant"/>
    <w:lvl w:ilvl="0">
      <w:start w:val="1"/>
      <w:numFmt w:val="decimal"/>
      <w:lvlRestart w:val="0"/>
      <w:pStyle w:val="Considrant"/>
      <w:lvlText w:val="(%1)"/>
      <w:lvlJc w:val="left"/>
      <w:pPr>
        <w:tabs>
          <w:tab w:val="num" w:pos="709"/>
        </w:tabs>
        <w:ind w:left="709" w:hanging="709"/>
      </w:pPr>
      <w:rPr>
        <w:rFonts w:cs="Times New Roman"/>
      </w:rPr>
    </w:lvl>
  </w:abstractNum>
  <w:abstractNum w:abstractNumId="46">
    <w:nsid w:val="7FF824CD"/>
    <w:multiLevelType w:val="hybridMultilevel"/>
    <w:tmpl w:val="71AA29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26"/>
  </w:num>
  <w:num w:numId="3">
    <w:abstractNumId w:val="43"/>
  </w:num>
  <w:num w:numId="4">
    <w:abstractNumId w:val="20"/>
  </w:num>
  <w:num w:numId="5">
    <w:abstractNumId w:val="27"/>
  </w:num>
  <w:num w:numId="6">
    <w:abstractNumId w:val="16"/>
  </w:num>
  <w:num w:numId="7">
    <w:abstractNumId w:val="13"/>
  </w:num>
  <w:num w:numId="8">
    <w:abstractNumId w:val="29"/>
  </w:num>
  <w:num w:numId="9">
    <w:abstractNumId w:val="36"/>
  </w:num>
  <w:num w:numId="10">
    <w:abstractNumId w:val="37"/>
  </w:num>
  <w:num w:numId="11">
    <w:abstractNumId w:val="19"/>
  </w:num>
  <w:num w:numId="12">
    <w:abstractNumId w:val="33"/>
  </w:num>
  <w:num w:numId="13">
    <w:abstractNumId w:val="45"/>
  </w:num>
  <w:num w:numId="14">
    <w:abstractNumId w:val="9"/>
  </w:num>
  <w:num w:numId="15">
    <w:abstractNumId w:val="4"/>
  </w:num>
  <w:num w:numId="16">
    <w:abstractNumId w:val="5"/>
  </w:num>
  <w:num w:numId="17">
    <w:abstractNumId w:val="3"/>
  </w:num>
  <w:num w:numId="18">
    <w:abstractNumId w:val="2"/>
  </w:num>
  <w:num w:numId="19">
    <w:abstractNumId w:val="1"/>
  </w:num>
  <w:num w:numId="20">
    <w:abstractNumId w:val="0"/>
  </w:num>
  <w:num w:numId="21">
    <w:abstractNumId w:val="12"/>
  </w:num>
  <w:num w:numId="22">
    <w:abstractNumId w:val="23"/>
  </w:num>
  <w:num w:numId="23">
    <w:abstractNumId w:val="34"/>
  </w:num>
  <w:num w:numId="24">
    <w:abstractNumId w:val="22"/>
  </w:num>
  <w:num w:numId="25">
    <w:abstractNumId w:val="28"/>
  </w:num>
  <w:num w:numId="26">
    <w:abstractNumId w:val="11"/>
  </w:num>
  <w:num w:numId="27">
    <w:abstractNumId w:val="32"/>
  </w:num>
  <w:num w:numId="28">
    <w:abstractNumId w:val="38"/>
  </w:num>
  <w:num w:numId="29">
    <w:abstractNumId w:val="7"/>
  </w:num>
  <w:num w:numId="30">
    <w:abstractNumId w:val="6"/>
  </w:num>
  <w:num w:numId="31">
    <w:abstractNumId w:val="24"/>
  </w:num>
  <w:num w:numId="32">
    <w:abstractNumId w:val="30"/>
  </w:num>
  <w:num w:numId="33">
    <w:abstractNumId w:val="14"/>
  </w:num>
  <w:num w:numId="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35"/>
  </w:num>
  <w:num w:numId="37">
    <w:abstractNumId w:val="10"/>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8"/>
  </w:num>
  <w:num w:numId="41">
    <w:abstractNumId w:val="44"/>
  </w:num>
  <w:num w:numId="42">
    <w:abstractNumId w:val="46"/>
  </w:num>
  <w:num w:numId="43">
    <w:abstractNumId w:val="11"/>
  </w:num>
  <w:num w:numId="44">
    <w:abstractNumId w:val="11"/>
  </w:num>
  <w:num w:numId="45">
    <w:abstractNumId w:val="11"/>
  </w:num>
  <w:num w:numId="46">
    <w:abstractNumId w:val="11"/>
  </w:num>
  <w:num w:numId="47">
    <w:abstractNumId w:val="11"/>
  </w:num>
  <w:num w:numId="48">
    <w:abstractNumId w:val="31"/>
  </w:num>
  <w:num w:numId="49">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uncil" w:val="true"/>
    <w:docVar w:name="COVERPAGE_EXISTS" w:val="True"/>
    <w:docVar w:name="CoverPageOnWordDoc" w:val="true"/>
    <w:docVar w:name="DocStatus" w:val="Green"/>
    <w:docVar w:name="DocuWriteMetaData" w:val="&lt;metadataset docuwriteversion=&quot;3.6.7&quot; technicalblockguid=&quot;04a136cc-5a12-41c1-b96b-7857019a540b&quot;&gt;_x000d__x000a_  &lt;metadata key=&quot;md_DocumentLanguages&quot;&gt;_x000d__x000a_    &lt;basicdatatypelist&gt;_x000d__x000a_      &lt;language key=&quot;EN&quot; text=&quot;EN&quot; /&gt;_x000d__x000a_    &lt;/basicdatatypelist&gt;_x000d__x000a_  &lt;/metadata&gt;_x000d__x000a_  &lt;metadata key=&quot;md_OriginalLanguages&quot;&gt;_x000d__x000a_    &lt;basicdatatypelist&gt;_x000d__x000a_      &lt;language key=&quot;EN&quot; text=&quot;EN&quot; /&gt;_x000d__x000a_    &lt;/basicdatatypelist&gt;_x000d__x000a_  &lt;/metadata&gt;_x000d__x000a_  &lt;metadata key=&quot;md_UniqueHeading&quot;&gt;_x000d__x000a_    &lt;basicdatatype&gt;_x000d__x000a_      &lt;heading key=&quot;uh_64&quot; text=&quot;COVER NOTE&quot; /&gt;_x000d__x000a_    &lt;/basicdatatype&gt;_x000d__x000a_  &lt;/metadata&gt;_x000d__x000a_  &lt;metadata key=&quot;md_HeadingText&quot;&gt;_x000d__x000a_    &lt;headingtext text=&quot;COVER NOTE&quot;&gt;_x000d__x000a_      &lt;formattedtext&gt;_x000d__x000a_        &lt;xaml text=&quot;COVER NOTE&quot;&gt;&amp;lt;FlowDocument xmlns=&quot;http://schemas.microsoft.com/winfx/2006/xaml/presentation&quot;&amp;gt;&amp;lt;Paragraph&amp;gt;COVER NOTE&amp;lt;/Paragraph&amp;gt;&amp;lt;/FlowDocument&amp;gt;&lt;/xaml&gt;_x000d__x000a_      &lt;/formattedtext&gt;_x000d__x000a_    &lt;/headingtext&gt;_x000d__x000a_  &lt;/metadata&gt;_x000d__x000a_  &lt;metadata key=&quot;md_DocumentGroup&quot;&gt;_x000d__x000a_    &lt;basicdatatype&gt;_x000d__x000a_      &lt;document_group key=&quot;dg_12&quot; text=&quot;Cover Page&quot; /&gt;_x000d__x000a_    &lt;/basicdatatype&gt;_x000d__x000a_  &lt;/metadata&gt;_x000d__x000a_  &lt;metadata key=&quot;md_DocumentType&quot;&gt;_x000d__x000a_    &lt;basicdatatype&gt;_x000d__x000a_      &lt;doc_type key=&quot;dt_ST&quot; text=&quot;ST&quot; /&gt;_x000d__x000a_    &lt;/basicdatatype&gt;_x000d__x000a_  &lt;/metadata&gt;_x000d__x000a_  &lt;metadata key=&quot;md_InstitutionalFramework&quot;&gt;_x000d__x000a_    &lt;basicdatatype&gt;_x000d__x000a_      &lt;framework key=&quot;if_01&quot; text=&quot;Council of the European Union&quot; institution=&quot;instfr_institution&quot; acronym=&quot;instfr_acronym&quot; /&gt;_x000d__x000a_    &lt;/basicdatatype&gt;_x000d__x000a_  &lt;/metadata&gt;_x000d__x000a_  &lt;metadata key=&quot;md_DraftNote&quot; /&gt;_x000d__x000a_  &lt;metadata key=&quot;md_DocumentLocation&quot;&gt;_x000d__x000a_    &lt;basicdatatype&gt;_x000d__x000a_      &lt;location key=&quot;loc_01&quot; text=&quot;Brussels&quot; /&gt;_x000d__x000a_    &lt;/basicdatatype&gt;_x000d__x000a_  &lt;/metadata&gt;_x000d__x000a_  &lt;metadata key=&quot;md_DocumentDate&quot;&gt;_x000d__x000a_    &lt;text&gt;2015-10-14&lt;/text&gt;_x000d__x000a_  &lt;/metadata&gt;_x000d__x000a_  &lt;metadata key=&quot;md_Prefix&quot;&gt;_x000d__x000a_    &lt;text&gt;&lt;/text&gt;_x000d__x000a_  &lt;/metadata&gt;_x000d__x000a_  &lt;metadata key=&quot;md_DocumentNumber&quot;&gt;_x000d__x000a_    &lt;text&gt;13074&lt;/text&gt;_x000d__x000a_  &lt;/metadata&gt;_x000d__x000a_  &lt;metadata key=&quot;md_YearDocumentNumber&quot;&gt;_x000d__x000a_    &lt;text&gt;2015&lt;/text&gt;_x000d__x000a_  &lt;/metadata&gt;_x000d__x000a_  &lt;metadata key=&quot;md_Suffixes&quot;&gt;_x000d__x000a_    &lt;text&gt;ADD 1&lt;/text&gt;_x000d__x000a_  &lt;/metadata&gt;_x000d__x000a_  &lt;metadata key=&quot;md_SuffixLanguagesInvolved&quot;&gt;_x000d__x000a_    &lt;text&gt;&lt;/text&gt;_x000d__x000a_  &lt;/metadata&gt;_x000d__x000a_  &lt;metadata key=&quot;md_FirstRevNumber&quot;&gt;_x000d__x000a_    &lt;text&gt;&lt;/text&gt;_x000d__x000a_  &lt;/metadata&gt;_x000d__x000a_  &lt;metadata key=&quot;md_Distribution&quot;&gt;_x000d__x000a_    &lt;basicdatatype&gt;_x000d__x000a_      &lt;distribution key=&quot;dis_01&quot; text=&quot;PUBLIC&quot; /&gt;_x000d__x000a_    &lt;/basicdatatype&gt;_x000d__x000a_  &lt;/metadata&gt;_x000d__x000a_  &lt;metadata key=&quot;md_SubjectCodes&quot;&gt;_x000d__x000a_    &lt;textlist&gt;_x000d__x000a_      &lt;text&gt;CONSOM 168&lt;/text&gt;_x000d__x000a_      &lt;text&gt;MI 641&lt;/text&gt;_x000d__x000a_      &lt;text&gt;COMPET 457&lt;/text&gt;_x000d__x000a_      &lt;text&gt;ECOFIN 768&lt;/text&gt;_x000d__x000a_      &lt;text&gt;TELECOM 192&lt;/text&gt;_x000d__x000a_      &lt;text&gt;DIGIT 79&lt;/text&gt;_x000d__x000a_      &lt;text&gt;RECH 247&lt;/text&gt;_x000d__x000a_      &lt;text&gt;JUSTCIV 236&lt;/text&gt;_x000d__x000a_      &lt;text&gt;EJUSTICE 124&lt;/text&gt;_x000d__x000a_      &lt;text&gt;PI 72&lt;/text&gt;_x000d__x000a_      &lt;text&gt;ENV 634&lt;/text&gt;_x000d__x000a_    &lt;/textlist&gt;_x000d__x000a_  &lt;/metadata&gt;_x000d__x000a_  &lt;metadata key=&quot;md_Contact&quot; /&gt;_x000d__x000a_  &lt;metadata key=&quot;md_ContactPhoneFax&quot; /&gt;_x000d__x000a_  &lt;metadata key=&quot;md_MeetingVenue&quot; /&gt;_x000d__x000a_  &lt;metadata key=&quot;md_ProvisionalVersion&quot;&gt;_x000d__x000a_    &lt;text&gt;&lt;/text&gt;_x000d__x000a_  &lt;/metadata&gt;_x000d__x000a_  &lt;metadata key=&quot;md_PresidentInformation&quot; /&gt;_x000d__x000a_  &lt;metadata key=&quot;md_MeetingNumber&quot; /&gt;_x000d__x000a_  &lt;metadata key=&quot;md_CouncilConfiguration&quot; /&gt;_x000d__x000a_  &lt;metadata key=&quot;md_CouncilIssue&quot; /&gt;_x000d__x000a_  &lt;metadata key=&quot;md_PhoneNumber&quot; /&gt;_x000d__x000a_  &lt;metadata key=&quot;md_TypeOfHeading&quot;&gt;_x000d__x000a_    &lt;basicdatatype&gt;_x000d__x000a_      &lt;typeofheading key=&quot;typeofhead_06&quot; text=&quot;Other&quot; /&gt;_x000d__x000a_    &lt;/basicdatatype&gt;_x000d__x000a_  &lt;/metadata&gt;_x000d__x000a_  &lt;metadata key=&quot;md_ReplyName&quot; /&gt;_x000d__x000a_  &lt;metadata key=&quot;md_EPQuestionsData&quot; /&gt;_x000d__x000a_  &lt;metadata key=&quot;md_Deadline&quot; /&gt;_x000d__x000a_  &lt;metadata key=&quot;md_InterinstitutionalFiles&quot;&gt;_x000d__x000a_    &lt;textlist /&gt;_x000d__x000a_  &lt;/metadata&gt;_x000d__x000a_  &lt;metadata key=&quot;md_AdditionalReferences&quot; /&gt;_x000d__x000a_  &lt;metadata key=&quot;md_LEXNumber&quot; /&gt;_x000d__x000a_  &lt;metadata key=&quot;md_SousEmbargo&quot;&gt;_x000d__x000a_    &lt;text&gt;&lt;/text&gt;_x000d__x000a_  &lt;/metadata&gt;_x000d__x000a_  &lt;metadata key=&quot;md_Originator&quot;&gt;_x000d__x000a_    &lt;basicdatatype&gt;_x000d__x000a_      &lt;originator key=&quot;or_01&quot; text=&quot;Secretary-General of the European Commission, signed by Mr Jordi AYET PUIGARNAU, Director&quot; /&gt;_x000d__x000a_    &lt;/basicdatatype&gt;_x000d__x000a_  &lt;/metadata&gt;_x000d__x000a_  &lt;metadata key=&quot;md_Recipient&quot;&gt;_x000d__x000a_    &lt;basicdatatype&gt;_x000d__x000a_      &lt;recipient key=&quot;re_02&quot; text=&quot;Mr Jeppe TRANHOLM-MIKKELSEN, Secretary-General of the Council of the European Union&quot; /&gt;_x000d__x000a_    &lt;/basicdatatype&gt;_x000d__x000a_  &lt;/metadata&gt;_x000d__x000a_  &lt;metadata key=&quot;md_DateOfReceipt&quot;&gt;_x000d__x000a_    &lt;text&gt;2015-09-22&lt;/text&gt;_x000d__x000a_  &lt;/metadata&gt;_x000d__x000a_  &lt;metadata key=&quot;md_FreeDate&quot;&gt;_x000d__x000a_    &lt;textlist /&gt;_x000d__x000a_  &lt;/metadata&gt;_x000d__x000a_  &lt;metadata key=&quot;md_PrecedingDocuments&quot;&gt;_x000d__x000a_    &lt;textlist /&gt;_x000d__x000a_  &lt;/metadata&gt;_x000d__x000a_  &lt;metadata key=&quot;md_CommissionDocuments&quot;&gt;_x000d__x000a_    &lt;textlist&gt;_x000d__x000a_      &lt;text&gt;SWD(2015) 181 final&lt;/text&gt;_x000d__x000a_    &lt;/textlist&gt;_x000d__x000a_  &lt;/metadata&gt;_x000d__x000a_  &lt;metadata key=&quot;md_DocForDWNDCL&quot; /&gt;_x000d__x000a_  &lt;metadata key=&quot;md_Distribution_NewClassification&quot; /&gt;_x000d__x000a_  &lt;metadata key=&quot;md_DWNDCLAuthorization&quot; /&gt;_x000d__x000a_  &lt;metadata key=&quot;md_DateOfAuthorization&quot; /&gt;_x000d__x000a_  &lt;metadata key=&quot;md_MeetingLocation&quot; /&gt;_x000d__x000a_  &lt;metadata key=&quot;md_MeetingDate&quot; /&gt;_x000d__x000a_  &lt;metadata key=&quot;md_MeetingInformation&quot; /&gt;_x000d__x000a_  &lt;metadata key=&quot;md_Item&quot; /&gt;_x000d__x000a_  &lt;metadata key=&quot;md_Subject&quot;&gt;_x000d__x000a_    &lt;xaml text=&quot;COMMISSION STAFF WORKING DOCUMENT Consumer Conditions Scoreboard: Consumers at home in the Single Market 2015 edition&quot;&gt;&amp;lt;FlowDocument FontFamily=&quot;Arial Unicode MS&quot; FontSize=&quot;12&quot; PagePadding=&quot;5,0,5,0&quot; AllowDrop=&quot;False&quot; xmlns=&quot;http://schemas.microsoft.com/winfx/2006/xaml/presentation&quot;&amp;gt;&amp;lt;Paragraph&amp;gt;COMMISSION STAFF WORKING DOCUMENT Consumer Conditions Scoreboard: Consumers at home in the Single Market 2015 edition&amp;lt;/Paragraph&amp;gt;&amp;lt;/FlowDocument&amp;gt;&lt;/xaml&gt;_x000d__x000a_  &lt;/metadata&gt;_x000d__x000a_  &lt;metadata key=&quot;md_SubjectFootnote&quot; /&gt;_x000d__x000a_  &lt;metadata key=&quot;md_DG&quot;&gt;_x000d__x000a_    &lt;text&gt;DG G 3A&lt;/text&gt;_x000d__x000a_  &lt;/metadata&gt;_x000d__x000a_  &lt;metadata key=&quot;md_Initials&quot;&gt;_x000d__x000a_    &lt;text&gt;LL/gb&lt;/text&gt;_x000d__x000a_  &lt;/metadata&gt;_x000d__x000a_  &lt;metadata key=&quot;md_RectifProcedureType&quot;&gt;_x000d__x000a_    &lt;basicdatatype&gt;_x000d__x000a_      &lt;rectifprocedure key=&quot;&quot; /&gt;_x000d__x000a_    &lt;/basicdatatype&gt;_x000d__x000a_  &lt;/metadata&gt;_x000d__x000a_  &lt;metadata key=&quot;md_RectifLanguagesBase&quot; /&gt;_x000d__x000a_  &lt;metadata key=&quot;md_RectifLanguagesConcerned&quot; /&gt;_x000d__x000a_  &lt;metadata key=&quot;md_RectifIsLangSpec&quot; /&gt;_x000d__x000a_  &lt;metadata key=&quot;md_RectifLangSpecValue&quot; /&gt;_x000d__x000a_  &lt;metadata key=&quot;md_RectifNumberOfMistakes&quot; /&gt;_x000d__x000a_  &lt;metadata key=&quot;md_RectifHasRemarks&quot; /&gt;_x000d__x000a_  &lt;metadata key=&quot;md_RectifUseDocRef&quot; /&gt;_x000d__x000a_  &lt;metadata key=&quot;md_RectifDocRefNumber&quot; /&gt;_x000d__x000a_  &lt;metadata key=&quot;md_RectifDocRefDate&quot; /&gt;_x000d__x000a_  &lt;metadata key=&quot;md_RectifUseOJRef&quot; /&gt;_x000d__x000a_  &lt;metadata key=&quot;md_RectifOJRefType&quot; /&gt;_x000d__x000a_  &lt;metadata key=&quot;md_RectifOJLRefNumber&quot; /&gt;_x000d__x000a_  &lt;metadata key=&quot;md_RectifOJCRefNumber&quot; /&gt;_x000d__x000a_  &lt;metadata key=&quot;md_RectifOJLRefDate&quot; /&gt;_x000d__x000a_  &lt;metadata key=&quot;md_RectifOJCRefDate&quot; /&gt;_x000d__x000a_  &lt;metadata key=&quot;md_RectifOJLRefPage&quot; /&gt;_x000d__x000a_  &lt;metadata key=&quot;md_RectifOJCRefPage&quot; /&gt;_x000d__x000a_  &lt;metadata key=&quot;md_RectifUseOJCorRef&quot; /&gt;_x000d__x000a_  &lt;metadata key=&quot;md_RectifOJCorRefNumber&quot; /&gt;_x000d__x000a_  &lt;metadata key=&quot;md_RectifOJCorRefDate&quot; /&gt;_x000d__x000a_  &lt;metadata key=&quot;md_RectifOJCorRefPage&quot; /&gt;_x000d__x000a_  &lt;metadata key=&quot;md_RectifTimeLimit&quot; /&gt;_x000d__x000a_  &lt;metadata key=&quot;md_RectifCodecision&quot; /&gt;_x000d__x000a_  &lt;metadata key=&quot;md_RectifCorrectionNewLang&quot; /&gt;_x000d__x000a_  &lt;metadata key=&quot;md_RectifAgreement&quot; /&gt;_x000d__x000a_  &lt;metadata key=&quot;md_RectifSignature&quot; /&gt;_x000d__x000a_  &lt;metadata key=&quot;md_RectifLastMergeDate&quot; /&gt;_x000d__x000a_  &lt;metadata key=&quot;md_Rectif_Source1_UniqueHeading&quot;&gt;_x000d__x000a_    &lt;basicdatatype&gt;_x000d__x000a_      &lt;text&gt;&lt;/text&gt;_x000d__x000a_    &lt;/basicdatatype&gt;_x000d__x000a_  &lt;/metadata&gt;_x000d__x000a_  &lt;metadata key=&quot;md_Rectif_Source1_DocumentType&quot;&gt;_x000d__x000a_    &lt;basicdatatype&gt;_x000d__x000a_      &lt;doc_type key=&quot;&quot; /&gt;_x000d__x000a_    &lt;/basicdatatype&gt;_x000d__x000a_  &lt;/metadata&gt;_x000d__x000a_  &lt;metadata key=&quot;md_Rectif_Source1_DocumentNumber&quot;&gt;_x000d__x000a_    &lt;text&gt;&lt;/text&gt;_x000d__x000a_  &lt;/metadata&gt;_x000d__x000a_  &lt;metadata key=&quot;md_Rectif_Source1_YearDocumentNumber&quot;&gt;_x000d__x000a_    &lt;text&gt;2015&lt;/text&gt;_x000d__x000a_  &lt;/metadata&gt;_x000d__x000a_  &lt;metadata key=&quot;md_Rectif_Source1_Suffixes&quot;&gt;_x000d__x000a_    &lt;text&gt;&lt;/text&gt;_x000d__x000a_  &lt;/metadata&gt;_x000d__x000a_  &lt;metadata key=&quot;md_Rectif_Source2_UniqueHeading&quot;&gt;_x000d__x000a_    &lt;basicdatatype&gt;_x000d__x000a_      &lt;text&gt;&lt;/text&gt;_x000d__x000a_    &lt;/basicdatatype&gt;_x000d__x000a_  &lt;/metadata&gt;_x000d__x000a_  &lt;metadata key=&quot;md_Rectif_Source2_DocumentType&quot;&gt;_x000d__x000a_    &lt;basicdatatype&gt;_x000d__x000a_      &lt;doc_type key=&quot;&quot; /&gt;_x000d__x000a_    &lt;/basicdatatype&gt;_x000d__x000a_  &lt;/metadata&gt;_x000d__x000a_  &lt;metadata key=&quot;md_Rectif_Source2_DocumentNumber&quot;&gt;_x000d__x000a_    &lt;text&gt;&lt;/text&gt;_x000d__x000a_  &lt;/metadata&gt;_x000d__x000a_  &lt;metadata key=&quot;md_Rectif_Source2_YearDocumentNumber&quot;&gt;_x000d__x000a_    &lt;text&gt;2015&lt;/text&gt;_x000d__x000a_  &lt;/metadata&gt;_x000d__x000a_  &lt;metadata key=&quot;md_Rectif_Source2_Suffixes&quot;&gt;_x000d__x000a_    &lt;text&gt;&lt;/text&gt;_x000d__x000a_  &lt;/metadata&gt;_x000d__x000a_  &lt;metadata key=&quot;md_CoverPageDocWithCouncilFooter&quot;&gt;_x000d__x000a_    &lt;text&gt;false&lt;/text&gt;_x000d__x000a_  &lt;/metadata&gt;_x000d__x000a_  &lt;metadata key=&quot;md_SourceDocLanguage&quot;&gt;_x000d__x000a_    &lt;text&gt;EN&lt;/text&gt;_x000d__x000a_  &lt;/metadata&gt;_x000d__x000a_  &lt;metadata key=&quot;md_SourceDocType&quot;&gt;_x000d__x000a_    &lt;text&gt;COMMISSION STAFF WORKING DOCUMENT&lt;/text&gt;_x000d__x000a_  &lt;/metadata&gt;_x000d__x000a_  &lt;metadata key=&quot;md_SourceDocTitle&quot;&gt;_x000d__x000a_    &lt;text&gt;Consumer Conditions Scoreboard: Consumers at home in the Single Market _x000d__x000a_2015 edition&lt;/text&gt;_x000d__x000a_  &lt;/metadata&gt;_x000d__x000a_  &lt;metadata key=&quot;md_SourceDocIsCECDoc&quot;&gt;_x000d__x000a_    &lt;text&gt;true&lt;/text&gt;_x000d__x000a_  &lt;/metadata&gt;_x000d__x000a_  &lt;metadata key=&quot;md_NB1&quot; /&gt;_x000d__x000a_  &lt;metadata key=&quot;md_NB2&quot; /&gt;_x000d__x000a_  &lt;metadata key=&quot;md_NB3&quot; /&gt;_x000d__x000a_  &lt;metadata key=&quot;md_Meetings&quot; /&gt;_x000d__x000a_  &lt;metadata key=&quot;md_VisualRepresentation&quot;&gt;_x000d__x000a_    &lt;basicdatatype&gt;_x000d__x000a_      &lt;visualrepresentation key=&quot;visrep_02&quot; text=&quot;New visual identity&quot; /&gt;_x000d__x000a_    &lt;/basicdatatype&gt;_x000d__x000a_  &lt;/metadata&gt;_x000d__x000a_  &lt;metadata key=&quot;md_LetterData&quot; /&gt;_x000d__x000a_&lt;/metadataset&gt;"/>
    <w:docVar w:name="LW_CONFIDENCE" w:val=" "/>
    <w:docVar w:name="LW_CONST_RESTREINT_UE" w:val="RESTREINT UE/EU RESTRICTED"/>
    <w:docVar w:name="LW_CORRIGENDUM" w:val="&lt;UNUSED&gt;"/>
    <w:docVar w:name="LW_COVERPAGE_GUID" w:val="86E662D125EF4AFEAB52F79E444A9755"/>
    <w:docVar w:name="LW_CROSSREFERENCE" w:val="&lt;UNUSED&gt;"/>
    <w:docVar w:name="LW_DocType" w:val="NORMAL"/>
    <w:docVar w:name="LW_EMISSION" w:val="21.9.2015"/>
    <w:docVar w:name="LW_EMISSION_ISODATE" w:val="2015-09-21"/>
    <w:docVar w:name="LW_EMISSION_LOCATION" w:val="BRX"/>
    <w:docVar w:name="LW_EMISSION_PREFIX" w:val="Brussels, "/>
    <w:docVar w:name="LW_EMISSION_SUFFIX" w:val=" "/>
    <w:docVar w:name="LW_ID_DOCTYPE_NONLW" w:val="CP-024"/>
    <w:docVar w:name="LW_LANGUE" w:val="EN"/>
    <w:docVar w:name="LW_MARKING" w:val="&lt;UNUSED&gt;"/>
    <w:docVar w:name="LW_NOM.INST" w:val="EUROPEAN COMMISSION"/>
    <w:docVar w:name="LW_NOM.INST_JOINTDOC" w:val="&lt;EMPTY&gt;"/>
    <w:docVar w:name="LW_PART_NBR" w:val="2"/>
    <w:docVar w:name="LW_PART_NBR_TOTAL" w:val="2"/>
    <w:docVar w:name="LW_REF.INST.NEW" w:val="SWD"/>
    <w:docVar w:name="LW_REF.INST.NEW_ADOPTED" w:val="final"/>
    <w:docVar w:name="LW_REF.INST.NEW_TEXT" w:val="(2015) 181"/>
    <w:docVar w:name="LW_REF.INTERNE" w:val="&lt;UNUSED&gt;"/>
    <w:docVar w:name="LW_SUPERTITRE" w:val="&lt;UNUSED&gt;"/>
    <w:docVar w:name="LW_TITRE.OBJ.CP" w:val="Consumer Conditions Scoreboard: Consumers at home in the Single Market _x000b_2015 edition"/>
    <w:docVar w:name="LW_TYPE.DOC.CP" w:val="COMMISSION STAFF WORKING DOCUMENT"/>
  </w:docVars>
  <w:rsids>
    <w:rsidRoot w:val="00065837"/>
    <w:rsid w:val="00002178"/>
    <w:rsid w:val="00003B62"/>
    <w:rsid w:val="000059F1"/>
    <w:rsid w:val="000062C7"/>
    <w:rsid w:val="00011303"/>
    <w:rsid w:val="0001223E"/>
    <w:rsid w:val="0001675F"/>
    <w:rsid w:val="0001788D"/>
    <w:rsid w:val="00022964"/>
    <w:rsid w:val="00024017"/>
    <w:rsid w:val="00024857"/>
    <w:rsid w:val="0002524D"/>
    <w:rsid w:val="000263E8"/>
    <w:rsid w:val="000303CD"/>
    <w:rsid w:val="000327C1"/>
    <w:rsid w:val="000356E8"/>
    <w:rsid w:val="0003684C"/>
    <w:rsid w:val="00036C5E"/>
    <w:rsid w:val="00040BBD"/>
    <w:rsid w:val="00041892"/>
    <w:rsid w:val="00041924"/>
    <w:rsid w:val="0004352E"/>
    <w:rsid w:val="00043CB4"/>
    <w:rsid w:val="000447F6"/>
    <w:rsid w:val="000455B0"/>
    <w:rsid w:val="000457DA"/>
    <w:rsid w:val="0004588C"/>
    <w:rsid w:val="00045B54"/>
    <w:rsid w:val="000466EB"/>
    <w:rsid w:val="00050D8B"/>
    <w:rsid w:val="000538DD"/>
    <w:rsid w:val="00055AEC"/>
    <w:rsid w:val="00060D68"/>
    <w:rsid w:val="00063B33"/>
    <w:rsid w:val="00063E64"/>
    <w:rsid w:val="00064F44"/>
    <w:rsid w:val="000655AD"/>
    <w:rsid w:val="00065802"/>
    <w:rsid w:val="00065837"/>
    <w:rsid w:val="000712FC"/>
    <w:rsid w:val="00072805"/>
    <w:rsid w:val="00072A16"/>
    <w:rsid w:val="00073D3C"/>
    <w:rsid w:val="00074EA0"/>
    <w:rsid w:val="00075B62"/>
    <w:rsid w:val="00076B2C"/>
    <w:rsid w:val="00083501"/>
    <w:rsid w:val="00083E26"/>
    <w:rsid w:val="0008767B"/>
    <w:rsid w:val="00090887"/>
    <w:rsid w:val="0009380E"/>
    <w:rsid w:val="000965AF"/>
    <w:rsid w:val="000A0EDA"/>
    <w:rsid w:val="000A1706"/>
    <w:rsid w:val="000A33C1"/>
    <w:rsid w:val="000A5F26"/>
    <w:rsid w:val="000A7C2E"/>
    <w:rsid w:val="000B370A"/>
    <w:rsid w:val="000B3874"/>
    <w:rsid w:val="000B6761"/>
    <w:rsid w:val="000B73BF"/>
    <w:rsid w:val="000C051A"/>
    <w:rsid w:val="000C188F"/>
    <w:rsid w:val="000C2B76"/>
    <w:rsid w:val="000C3695"/>
    <w:rsid w:val="000C3C89"/>
    <w:rsid w:val="000E1CA8"/>
    <w:rsid w:val="000E31F1"/>
    <w:rsid w:val="000E406F"/>
    <w:rsid w:val="000E592F"/>
    <w:rsid w:val="000E5C95"/>
    <w:rsid w:val="000E6EF3"/>
    <w:rsid w:val="000F73CB"/>
    <w:rsid w:val="00101A38"/>
    <w:rsid w:val="001028C2"/>
    <w:rsid w:val="00102C34"/>
    <w:rsid w:val="001057D4"/>
    <w:rsid w:val="001070E5"/>
    <w:rsid w:val="0011333A"/>
    <w:rsid w:val="001157B4"/>
    <w:rsid w:val="001161C1"/>
    <w:rsid w:val="001171D9"/>
    <w:rsid w:val="00121261"/>
    <w:rsid w:val="0012323F"/>
    <w:rsid w:val="00125B16"/>
    <w:rsid w:val="001301C1"/>
    <w:rsid w:val="0013218F"/>
    <w:rsid w:val="00136D3A"/>
    <w:rsid w:val="0013755D"/>
    <w:rsid w:val="00137DB2"/>
    <w:rsid w:val="00141D3A"/>
    <w:rsid w:val="00143FEF"/>
    <w:rsid w:val="00146B8A"/>
    <w:rsid w:val="00154817"/>
    <w:rsid w:val="00155311"/>
    <w:rsid w:val="0015611E"/>
    <w:rsid w:val="00156334"/>
    <w:rsid w:val="001610D6"/>
    <w:rsid w:val="00161836"/>
    <w:rsid w:val="0016505D"/>
    <w:rsid w:val="0017483B"/>
    <w:rsid w:val="00174D0B"/>
    <w:rsid w:val="001816F8"/>
    <w:rsid w:val="001829E5"/>
    <w:rsid w:val="001832A7"/>
    <w:rsid w:val="001833F6"/>
    <w:rsid w:val="00185B85"/>
    <w:rsid w:val="00191D49"/>
    <w:rsid w:val="00192359"/>
    <w:rsid w:val="001A1AFC"/>
    <w:rsid w:val="001A3D5F"/>
    <w:rsid w:val="001A66B0"/>
    <w:rsid w:val="001A7CA3"/>
    <w:rsid w:val="001B240A"/>
    <w:rsid w:val="001B47CB"/>
    <w:rsid w:val="001B5475"/>
    <w:rsid w:val="001C0695"/>
    <w:rsid w:val="001C101D"/>
    <w:rsid w:val="001C236D"/>
    <w:rsid w:val="001C6E86"/>
    <w:rsid w:val="001D39F8"/>
    <w:rsid w:val="001D66C4"/>
    <w:rsid w:val="001E3015"/>
    <w:rsid w:val="001E430E"/>
    <w:rsid w:val="001E54E2"/>
    <w:rsid w:val="001E6B39"/>
    <w:rsid w:val="001E6D3B"/>
    <w:rsid w:val="001E763D"/>
    <w:rsid w:val="001F0638"/>
    <w:rsid w:val="001F0A34"/>
    <w:rsid w:val="001F11A1"/>
    <w:rsid w:val="001F2ED9"/>
    <w:rsid w:val="001F2F11"/>
    <w:rsid w:val="001F3116"/>
    <w:rsid w:val="001F597F"/>
    <w:rsid w:val="001F64C2"/>
    <w:rsid w:val="001F6E0D"/>
    <w:rsid w:val="00202A7F"/>
    <w:rsid w:val="00204714"/>
    <w:rsid w:val="00215990"/>
    <w:rsid w:val="00215E1E"/>
    <w:rsid w:val="00215EE4"/>
    <w:rsid w:val="002217D1"/>
    <w:rsid w:val="00223E60"/>
    <w:rsid w:val="002311F1"/>
    <w:rsid w:val="002332D9"/>
    <w:rsid w:val="0023465A"/>
    <w:rsid w:val="00235A83"/>
    <w:rsid w:val="002404B8"/>
    <w:rsid w:val="00242BA3"/>
    <w:rsid w:val="002467AB"/>
    <w:rsid w:val="00246A35"/>
    <w:rsid w:val="00247073"/>
    <w:rsid w:val="002477D6"/>
    <w:rsid w:val="00247FEF"/>
    <w:rsid w:val="002501D9"/>
    <w:rsid w:val="00251FC3"/>
    <w:rsid w:val="0025781E"/>
    <w:rsid w:val="00257858"/>
    <w:rsid w:val="00260A3A"/>
    <w:rsid w:val="002625B6"/>
    <w:rsid w:val="002639A5"/>
    <w:rsid w:val="002639E7"/>
    <w:rsid w:val="00264B9E"/>
    <w:rsid w:val="002663EA"/>
    <w:rsid w:val="0026684A"/>
    <w:rsid w:val="002674A7"/>
    <w:rsid w:val="002716FC"/>
    <w:rsid w:val="00271778"/>
    <w:rsid w:val="0027295B"/>
    <w:rsid w:val="0027623B"/>
    <w:rsid w:val="00276831"/>
    <w:rsid w:val="0027790E"/>
    <w:rsid w:val="00281322"/>
    <w:rsid w:val="002818BB"/>
    <w:rsid w:val="00282BAB"/>
    <w:rsid w:val="00284BDF"/>
    <w:rsid w:val="00285201"/>
    <w:rsid w:val="00286E9F"/>
    <w:rsid w:val="00291449"/>
    <w:rsid w:val="00291695"/>
    <w:rsid w:val="0029342D"/>
    <w:rsid w:val="002A134F"/>
    <w:rsid w:val="002A1D87"/>
    <w:rsid w:val="002A303D"/>
    <w:rsid w:val="002A35A0"/>
    <w:rsid w:val="002A422D"/>
    <w:rsid w:val="002A59B5"/>
    <w:rsid w:val="002A5F36"/>
    <w:rsid w:val="002A6F58"/>
    <w:rsid w:val="002A775E"/>
    <w:rsid w:val="002A7FD7"/>
    <w:rsid w:val="002B3047"/>
    <w:rsid w:val="002B3A99"/>
    <w:rsid w:val="002C0CF3"/>
    <w:rsid w:val="002C101F"/>
    <w:rsid w:val="002C3AF6"/>
    <w:rsid w:val="002C7F53"/>
    <w:rsid w:val="002D405A"/>
    <w:rsid w:val="002D4392"/>
    <w:rsid w:val="002D43B7"/>
    <w:rsid w:val="002D453E"/>
    <w:rsid w:val="002D4554"/>
    <w:rsid w:val="002D46DD"/>
    <w:rsid w:val="002D49E4"/>
    <w:rsid w:val="002D6623"/>
    <w:rsid w:val="002E2815"/>
    <w:rsid w:val="002E2DFE"/>
    <w:rsid w:val="002E4E34"/>
    <w:rsid w:val="002E6058"/>
    <w:rsid w:val="002E6160"/>
    <w:rsid w:val="002E69D7"/>
    <w:rsid w:val="002F030E"/>
    <w:rsid w:val="002F474C"/>
    <w:rsid w:val="002F70D8"/>
    <w:rsid w:val="0030306E"/>
    <w:rsid w:val="00305D46"/>
    <w:rsid w:val="003120F4"/>
    <w:rsid w:val="00317919"/>
    <w:rsid w:val="00323242"/>
    <w:rsid w:val="003243FC"/>
    <w:rsid w:val="00327793"/>
    <w:rsid w:val="00330526"/>
    <w:rsid w:val="00330F7E"/>
    <w:rsid w:val="0033184E"/>
    <w:rsid w:val="00331872"/>
    <w:rsid w:val="003321FA"/>
    <w:rsid w:val="00332609"/>
    <w:rsid w:val="003365B2"/>
    <w:rsid w:val="00337719"/>
    <w:rsid w:val="00340808"/>
    <w:rsid w:val="00341B7F"/>
    <w:rsid w:val="00344CC7"/>
    <w:rsid w:val="003522CE"/>
    <w:rsid w:val="00353C58"/>
    <w:rsid w:val="00354416"/>
    <w:rsid w:val="003544CA"/>
    <w:rsid w:val="0035722D"/>
    <w:rsid w:val="003578D5"/>
    <w:rsid w:val="003607FC"/>
    <w:rsid w:val="003637D3"/>
    <w:rsid w:val="003638E5"/>
    <w:rsid w:val="0036528D"/>
    <w:rsid w:val="003666DE"/>
    <w:rsid w:val="003675B7"/>
    <w:rsid w:val="00370242"/>
    <w:rsid w:val="00370503"/>
    <w:rsid w:val="003731E0"/>
    <w:rsid w:val="00382AC3"/>
    <w:rsid w:val="00383084"/>
    <w:rsid w:val="00387154"/>
    <w:rsid w:val="0039060A"/>
    <w:rsid w:val="0039211B"/>
    <w:rsid w:val="0039663C"/>
    <w:rsid w:val="003A0326"/>
    <w:rsid w:val="003A182F"/>
    <w:rsid w:val="003A1F1D"/>
    <w:rsid w:val="003A6069"/>
    <w:rsid w:val="003B1298"/>
    <w:rsid w:val="003B2871"/>
    <w:rsid w:val="003B2AEB"/>
    <w:rsid w:val="003B6D72"/>
    <w:rsid w:val="003B72D4"/>
    <w:rsid w:val="003B74C4"/>
    <w:rsid w:val="003C0219"/>
    <w:rsid w:val="003C1699"/>
    <w:rsid w:val="003C3ADC"/>
    <w:rsid w:val="003C5630"/>
    <w:rsid w:val="003C63F4"/>
    <w:rsid w:val="003D0319"/>
    <w:rsid w:val="003D08B6"/>
    <w:rsid w:val="003D40C4"/>
    <w:rsid w:val="003D42E1"/>
    <w:rsid w:val="003D713E"/>
    <w:rsid w:val="003E0B61"/>
    <w:rsid w:val="003E1DCB"/>
    <w:rsid w:val="003E2D41"/>
    <w:rsid w:val="003E31FB"/>
    <w:rsid w:val="003E5889"/>
    <w:rsid w:val="003E60C3"/>
    <w:rsid w:val="003F0FDE"/>
    <w:rsid w:val="003F5B77"/>
    <w:rsid w:val="003F628A"/>
    <w:rsid w:val="003F66E8"/>
    <w:rsid w:val="003F7681"/>
    <w:rsid w:val="003F7B0B"/>
    <w:rsid w:val="00402F3A"/>
    <w:rsid w:val="00404866"/>
    <w:rsid w:val="004111AB"/>
    <w:rsid w:val="00411AAC"/>
    <w:rsid w:val="00412479"/>
    <w:rsid w:val="004138BB"/>
    <w:rsid w:val="004158B0"/>
    <w:rsid w:val="004176E9"/>
    <w:rsid w:val="004207BA"/>
    <w:rsid w:val="00421CD0"/>
    <w:rsid w:val="004247B4"/>
    <w:rsid w:val="00425DB1"/>
    <w:rsid w:val="004331C2"/>
    <w:rsid w:val="00434E9D"/>
    <w:rsid w:val="004358BC"/>
    <w:rsid w:val="004367FE"/>
    <w:rsid w:val="004370A2"/>
    <w:rsid w:val="00437320"/>
    <w:rsid w:val="004426A0"/>
    <w:rsid w:val="004456F1"/>
    <w:rsid w:val="0044670F"/>
    <w:rsid w:val="00446EB1"/>
    <w:rsid w:val="004473D8"/>
    <w:rsid w:val="0045544A"/>
    <w:rsid w:val="00461244"/>
    <w:rsid w:val="00461551"/>
    <w:rsid w:val="00466CC8"/>
    <w:rsid w:val="004678BE"/>
    <w:rsid w:val="00467CAD"/>
    <w:rsid w:val="00470177"/>
    <w:rsid w:val="00470C47"/>
    <w:rsid w:val="00471146"/>
    <w:rsid w:val="00471D99"/>
    <w:rsid w:val="00472BCA"/>
    <w:rsid w:val="00476CDB"/>
    <w:rsid w:val="0047775B"/>
    <w:rsid w:val="00480337"/>
    <w:rsid w:val="00481705"/>
    <w:rsid w:val="00485F7D"/>
    <w:rsid w:val="004905A2"/>
    <w:rsid w:val="004909BB"/>
    <w:rsid w:val="004911B6"/>
    <w:rsid w:val="00492C53"/>
    <w:rsid w:val="004942CB"/>
    <w:rsid w:val="00495D3E"/>
    <w:rsid w:val="0049624A"/>
    <w:rsid w:val="004967CC"/>
    <w:rsid w:val="004A12DB"/>
    <w:rsid w:val="004A2149"/>
    <w:rsid w:val="004A5BAC"/>
    <w:rsid w:val="004A5ED4"/>
    <w:rsid w:val="004B11AF"/>
    <w:rsid w:val="004B577A"/>
    <w:rsid w:val="004B5874"/>
    <w:rsid w:val="004B75C7"/>
    <w:rsid w:val="004C21B4"/>
    <w:rsid w:val="004C4000"/>
    <w:rsid w:val="004C4AB0"/>
    <w:rsid w:val="004D3600"/>
    <w:rsid w:val="004D60C4"/>
    <w:rsid w:val="004D7305"/>
    <w:rsid w:val="004D7900"/>
    <w:rsid w:val="004E4581"/>
    <w:rsid w:val="004E5BA0"/>
    <w:rsid w:val="004F1DF5"/>
    <w:rsid w:val="004F586A"/>
    <w:rsid w:val="004F7B06"/>
    <w:rsid w:val="0050214E"/>
    <w:rsid w:val="005028AE"/>
    <w:rsid w:val="00502949"/>
    <w:rsid w:val="0050439F"/>
    <w:rsid w:val="00505475"/>
    <w:rsid w:val="00505ADB"/>
    <w:rsid w:val="00506879"/>
    <w:rsid w:val="00507858"/>
    <w:rsid w:val="005140EE"/>
    <w:rsid w:val="0051423E"/>
    <w:rsid w:val="005205FA"/>
    <w:rsid w:val="005244AB"/>
    <w:rsid w:val="00525EBE"/>
    <w:rsid w:val="005269EB"/>
    <w:rsid w:val="00526CB9"/>
    <w:rsid w:val="00526FF8"/>
    <w:rsid w:val="005313B5"/>
    <w:rsid w:val="005403FE"/>
    <w:rsid w:val="00540EB6"/>
    <w:rsid w:val="00544E96"/>
    <w:rsid w:val="005450E5"/>
    <w:rsid w:val="0055096C"/>
    <w:rsid w:val="0055216E"/>
    <w:rsid w:val="00554569"/>
    <w:rsid w:val="00561EB3"/>
    <w:rsid w:val="00562D99"/>
    <w:rsid w:val="00563BE2"/>
    <w:rsid w:val="00564823"/>
    <w:rsid w:val="005659FB"/>
    <w:rsid w:val="00567877"/>
    <w:rsid w:val="00572314"/>
    <w:rsid w:val="005724E3"/>
    <w:rsid w:val="005731F6"/>
    <w:rsid w:val="00573AC1"/>
    <w:rsid w:val="00576D0A"/>
    <w:rsid w:val="00576D82"/>
    <w:rsid w:val="005802C6"/>
    <w:rsid w:val="00585E71"/>
    <w:rsid w:val="00586743"/>
    <w:rsid w:val="00587F81"/>
    <w:rsid w:val="0059388C"/>
    <w:rsid w:val="005950D9"/>
    <w:rsid w:val="00596EC3"/>
    <w:rsid w:val="005975D7"/>
    <w:rsid w:val="00597669"/>
    <w:rsid w:val="005A0AEA"/>
    <w:rsid w:val="005A1928"/>
    <w:rsid w:val="005A2794"/>
    <w:rsid w:val="005A2A6F"/>
    <w:rsid w:val="005A30FD"/>
    <w:rsid w:val="005A3C77"/>
    <w:rsid w:val="005A58FF"/>
    <w:rsid w:val="005A5BB0"/>
    <w:rsid w:val="005A79B8"/>
    <w:rsid w:val="005B1916"/>
    <w:rsid w:val="005B2331"/>
    <w:rsid w:val="005B3C67"/>
    <w:rsid w:val="005B6BE2"/>
    <w:rsid w:val="005B73D5"/>
    <w:rsid w:val="005C2BA7"/>
    <w:rsid w:val="005C3DA4"/>
    <w:rsid w:val="005C4143"/>
    <w:rsid w:val="005C4DA3"/>
    <w:rsid w:val="005C63F1"/>
    <w:rsid w:val="005D05B4"/>
    <w:rsid w:val="005D34AA"/>
    <w:rsid w:val="005E0D5D"/>
    <w:rsid w:val="005E6DBB"/>
    <w:rsid w:val="005F0947"/>
    <w:rsid w:val="005F39AA"/>
    <w:rsid w:val="005F43FF"/>
    <w:rsid w:val="005F4420"/>
    <w:rsid w:val="005F6327"/>
    <w:rsid w:val="005F786A"/>
    <w:rsid w:val="00602561"/>
    <w:rsid w:val="00606DC4"/>
    <w:rsid w:val="0061046E"/>
    <w:rsid w:val="00612B8E"/>
    <w:rsid w:val="00613D2F"/>
    <w:rsid w:val="006149BD"/>
    <w:rsid w:val="00623CA8"/>
    <w:rsid w:val="00625EF6"/>
    <w:rsid w:val="00630EBA"/>
    <w:rsid w:val="00631A4B"/>
    <w:rsid w:val="00635A1F"/>
    <w:rsid w:val="00636BDE"/>
    <w:rsid w:val="0063745F"/>
    <w:rsid w:val="0063798C"/>
    <w:rsid w:val="00640B45"/>
    <w:rsid w:val="00640EB2"/>
    <w:rsid w:val="00647F4F"/>
    <w:rsid w:val="00651060"/>
    <w:rsid w:val="00652770"/>
    <w:rsid w:val="00652DBE"/>
    <w:rsid w:val="00654541"/>
    <w:rsid w:val="00655686"/>
    <w:rsid w:val="0066116B"/>
    <w:rsid w:val="0066310E"/>
    <w:rsid w:val="00664C11"/>
    <w:rsid w:val="00665F7A"/>
    <w:rsid w:val="00667D0E"/>
    <w:rsid w:val="00672C1E"/>
    <w:rsid w:val="00673356"/>
    <w:rsid w:val="00674CA2"/>
    <w:rsid w:val="00674F87"/>
    <w:rsid w:val="00676830"/>
    <w:rsid w:val="00676E2F"/>
    <w:rsid w:val="00680C48"/>
    <w:rsid w:val="00682805"/>
    <w:rsid w:val="00683757"/>
    <w:rsid w:val="00685B33"/>
    <w:rsid w:val="0068783F"/>
    <w:rsid w:val="00692C36"/>
    <w:rsid w:val="006940C0"/>
    <w:rsid w:val="0069438B"/>
    <w:rsid w:val="0069508C"/>
    <w:rsid w:val="006956C6"/>
    <w:rsid w:val="006A10F0"/>
    <w:rsid w:val="006A11A2"/>
    <w:rsid w:val="006A430A"/>
    <w:rsid w:val="006A67DD"/>
    <w:rsid w:val="006B1170"/>
    <w:rsid w:val="006B11C2"/>
    <w:rsid w:val="006B11F4"/>
    <w:rsid w:val="006B2BE8"/>
    <w:rsid w:val="006B36D8"/>
    <w:rsid w:val="006B5FC3"/>
    <w:rsid w:val="006B7836"/>
    <w:rsid w:val="006C1DDB"/>
    <w:rsid w:val="006C29DB"/>
    <w:rsid w:val="006C59FC"/>
    <w:rsid w:val="006D031E"/>
    <w:rsid w:val="006D06FE"/>
    <w:rsid w:val="006D1057"/>
    <w:rsid w:val="006D17FC"/>
    <w:rsid w:val="006D4DCE"/>
    <w:rsid w:val="006D6772"/>
    <w:rsid w:val="006D6DC1"/>
    <w:rsid w:val="006E1B09"/>
    <w:rsid w:val="006E2EDB"/>
    <w:rsid w:val="006E6572"/>
    <w:rsid w:val="006E6DDF"/>
    <w:rsid w:val="006E71B8"/>
    <w:rsid w:val="006F3700"/>
    <w:rsid w:val="006F4923"/>
    <w:rsid w:val="00704645"/>
    <w:rsid w:val="00706BB8"/>
    <w:rsid w:val="00706F40"/>
    <w:rsid w:val="00707756"/>
    <w:rsid w:val="00707FD3"/>
    <w:rsid w:val="007106BA"/>
    <w:rsid w:val="00712A3B"/>
    <w:rsid w:val="00715D1F"/>
    <w:rsid w:val="00720D9C"/>
    <w:rsid w:val="007214D8"/>
    <w:rsid w:val="00721AA6"/>
    <w:rsid w:val="00724778"/>
    <w:rsid w:val="00724EF9"/>
    <w:rsid w:val="00726EF2"/>
    <w:rsid w:val="00730C87"/>
    <w:rsid w:val="00731AFD"/>
    <w:rsid w:val="007330A4"/>
    <w:rsid w:val="00733A5D"/>
    <w:rsid w:val="00733BDA"/>
    <w:rsid w:val="007350DF"/>
    <w:rsid w:val="00736094"/>
    <w:rsid w:val="00737DA4"/>
    <w:rsid w:val="00737F86"/>
    <w:rsid w:val="007417A8"/>
    <w:rsid w:val="00743616"/>
    <w:rsid w:val="007437CC"/>
    <w:rsid w:val="00746305"/>
    <w:rsid w:val="007479B0"/>
    <w:rsid w:val="00751080"/>
    <w:rsid w:val="00756BD1"/>
    <w:rsid w:val="0075710E"/>
    <w:rsid w:val="00760364"/>
    <w:rsid w:val="007635A8"/>
    <w:rsid w:val="007643E5"/>
    <w:rsid w:val="007648AB"/>
    <w:rsid w:val="00767767"/>
    <w:rsid w:val="00771DE3"/>
    <w:rsid w:val="00771F8B"/>
    <w:rsid w:val="007730F0"/>
    <w:rsid w:val="0077480E"/>
    <w:rsid w:val="00774BA6"/>
    <w:rsid w:val="00775D1E"/>
    <w:rsid w:val="007766AC"/>
    <w:rsid w:val="00784723"/>
    <w:rsid w:val="007863FD"/>
    <w:rsid w:val="00786BBC"/>
    <w:rsid w:val="007905F0"/>
    <w:rsid w:val="00790DE3"/>
    <w:rsid w:val="00791E5B"/>
    <w:rsid w:val="00793B2B"/>
    <w:rsid w:val="00795277"/>
    <w:rsid w:val="0079591D"/>
    <w:rsid w:val="007959B0"/>
    <w:rsid w:val="007A1F14"/>
    <w:rsid w:val="007A4063"/>
    <w:rsid w:val="007A6A84"/>
    <w:rsid w:val="007A703B"/>
    <w:rsid w:val="007A7499"/>
    <w:rsid w:val="007A7CA1"/>
    <w:rsid w:val="007B36A7"/>
    <w:rsid w:val="007B3745"/>
    <w:rsid w:val="007B3F18"/>
    <w:rsid w:val="007B5D12"/>
    <w:rsid w:val="007C0A5A"/>
    <w:rsid w:val="007C15BD"/>
    <w:rsid w:val="007C2AB0"/>
    <w:rsid w:val="007C2E8F"/>
    <w:rsid w:val="007C4031"/>
    <w:rsid w:val="007C5276"/>
    <w:rsid w:val="007C668F"/>
    <w:rsid w:val="007C6972"/>
    <w:rsid w:val="007D08A6"/>
    <w:rsid w:val="007D5D4E"/>
    <w:rsid w:val="007E0625"/>
    <w:rsid w:val="007F09D1"/>
    <w:rsid w:val="007F0F00"/>
    <w:rsid w:val="007F2D0A"/>
    <w:rsid w:val="007F363C"/>
    <w:rsid w:val="007F4587"/>
    <w:rsid w:val="007F5D1B"/>
    <w:rsid w:val="007F714B"/>
    <w:rsid w:val="007F7876"/>
    <w:rsid w:val="007F7B75"/>
    <w:rsid w:val="00801773"/>
    <w:rsid w:val="00803E41"/>
    <w:rsid w:val="00805BB2"/>
    <w:rsid w:val="0080720D"/>
    <w:rsid w:val="00807C58"/>
    <w:rsid w:val="00810306"/>
    <w:rsid w:val="00811475"/>
    <w:rsid w:val="0081429D"/>
    <w:rsid w:val="00821430"/>
    <w:rsid w:val="00822328"/>
    <w:rsid w:val="0082288A"/>
    <w:rsid w:val="008241A2"/>
    <w:rsid w:val="00826B8A"/>
    <w:rsid w:val="00832E56"/>
    <w:rsid w:val="008341AD"/>
    <w:rsid w:val="00834F19"/>
    <w:rsid w:val="008369C6"/>
    <w:rsid w:val="00843CA5"/>
    <w:rsid w:val="008465C6"/>
    <w:rsid w:val="008477E8"/>
    <w:rsid w:val="00850FC4"/>
    <w:rsid w:val="00855C88"/>
    <w:rsid w:val="00856361"/>
    <w:rsid w:val="00861066"/>
    <w:rsid w:val="00861F61"/>
    <w:rsid w:val="00862D81"/>
    <w:rsid w:val="00865412"/>
    <w:rsid w:val="00867002"/>
    <w:rsid w:val="00867201"/>
    <w:rsid w:val="008708D6"/>
    <w:rsid w:val="008708F1"/>
    <w:rsid w:val="00871D31"/>
    <w:rsid w:val="00871D82"/>
    <w:rsid w:val="0088026A"/>
    <w:rsid w:val="00880C7B"/>
    <w:rsid w:val="008835F0"/>
    <w:rsid w:val="008838B5"/>
    <w:rsid w:val="00890A0F"/>
    <w:rsid w:val="00891E3C"/>
    <w:rsid w:val="00892BDF"/>
    <w:rsid w:val="00893788"/>
    <w:rsid w:val="00894D9B"/>
    <w:rsid w:val="00897385"/>
    <w:rsid w:val="00897CAA"/>
    <w:rsid w:val="008B0E52"/>
    <w:rsid w:val="008B10FD"/>
    <w:rsid w:val="008B2974"/>
    <w:rsid w:val="008B2AC9"/>
    <w:rsid w:val="008B418B"/>
    <w:rsid w:val="008B60A0"/>
    <w:rsid w:val="008B660F"/>
    <w:rsid w:val="008B6984"/>
    <w:rsid w:val="008C122B"/>
    <w:rsid w:val="008D36FF"/>
    <w:rsid w:val="008D6CBB"/>
    <w:rsid w:val="008E6092"/>
    <w:rsid w:val="008E79DF"/>
    <w:rsid w:val="008F0F86"/>
    <w:rsid w:val="008F172B"/>
    <w:rsid w:val="008F2A08"/>
    <w:rsid w:val="008F33F1"/>
    <w:rsid w:val="008F3457"/>
    <w:rsid w:val="008F48DF"/>
    <w:rsid w:val="008F5970"/>
    <w:rsid w:val="008F6361"/>
    <w:rsid w:val="00900A2C"/>
    <w:rsid w:val="00901997"/>
    <w:rsid w:val="009030E0"/>
    <w:rsid w:val="009048D7"/>
    <w:rsid w:val="00905D96"/>
    <w:rsid w:val="00907A88"/>
    <w:rsid w:val="009108C6"/>
    <w:rsid w:val="00911E6C"/>
    <w:rsid w:val="00926688"/>
    <w:rsid w:val="00926B1B"/>
    <w:rsid w:val="009324E7"/>
    <w:rsid w:val="00942E50"/>
    <w:rsid w:val="00943C66"/>
    <w:rsid w:val="0095028C"/>
    <w:rsid w:val="00953D38"/>
    <w:rsid w:val="00956D32"/>
    <w:rsid w:val="009579CF"/>
    <w:rsid w:val="009603F2"/>
    <w:rsid w:val="0096271D"/>
    <w:rsid w:val="00963889"/>
    <w:rsid w:val="00967FE6"/>
    <w:rsid w:val="00970387"/>
    <w:rsid w:val="009738FA"/>
    <w:rsid w:val="009739C1"/>
    <w:rsid w:val="0097485F"/>
    <w:rsid w:val="00975508"/>
    <w:rsid w:val="00977829"/>
    <w:rsid w:val="00977DCF"/>
    <w:rsid w:val="00981278"/>
    <w:rsid w:val="009873F7"/>
    <w:rsid w:val="009875DB"/>
    <w:rsid w:val="00990A1C"/>
    <w:rsid w:val="00990C19"/>
    <w:rsid w:val="00993201"/>
    <w:rsid w:val="00994F8D"/>
    <w:rsid w:val="009A0743"/>
    <w:rsid w:val="009A127E"/>
    <w:rsid w:val="009A39AE"/>
    <w:rsid w:val="009A5614"/>
    <w:rsid w:val="009A7D3B"/>
    <w:rsid w:val="009B1077"/>
    <w:rsid w:val="009B1E39"/>
    <w:rsid w:val="009C3936"/>
    <w:rsid w:val="009C45C1"/>
    <w:rsid w:val="009C4E71"/>
    <w:rsid w:val="009C7865"/>
    <w:rsid w:val="009C7984"/>
    <w:rsid w:val="009D0B71"/>
    <w:rsid w:val="009D2AA9"/>
    <w:rsid w:val="009D4A1B"/>
    <w:rsid w:val="009D6C8A"/>
    <w:rsid w:val="009E214F"/>
    <w:rsid w:val="009E235A"/>
    <w:rsid w:val="009E25FC"/>
    <w:rsid w:val="009E27C9"/>
    <w:rsid w:val="009E39DA"/>
    <w:rsid w:val="009E5CE6"/>
    <w:rsid w:val="009F10C0"/>
    <w:rsid w:val="009F46F3"/>
    <w:rsid w:val="00A01729"/>
    <w:rsid w:val="00A01F92"/>
    <w:rsid w:val="00A0285E"/>
    <w:rsid w:val="00A04258"/>
    <w:rsid w:val="00A04C90"/>
    <w:rsid w:val="00A06FD6"/>
    <w:rsid w:val="00A079D9"/>
    <w:rsid w:val="00A13C64"/>
    <w:rsid w:val="00A13D7D"/>
    <w:rsid w:val="00A1455D"/>
    <w:rsid w:val="00A17949"/>
    <w:rsid w:val="00A23288"/>
    <w:rsid w:val="00A257F9"/>
    <w:rsid w:val="00A27E46"/>
    <w:rsid w:val="00A361C2"/>
    <w:rsid w:val="00A362E1"/>
    <w:rsid w:val="00A372AC"/>
    <w:rsid w:val="00A37BBB"/>
    <w:rsid w:val="00A41582"/>
    <w:rsid w:val="00A425C1"/>
    <w:rsid w:val="00A4316E"/>
    <w:rsid w:val="00A434F5"/>
    <w:rsid w:val="00A44B59"/>
    <w:rsid w:val="00A5059F"/>
    <w:rsid w:val="00A50C84"/>
    <w:rsid w:val="00A51DCA"/>
    <w:rsid w:val="00A5241D"/>
    <w:rsid w:val="00A52729"/>
    <w:rsid w:val="00A54E41"/>
    <w:rsid w:val="00A55E90"/>
    <w:rsid w:val="00A56C4C"/>
    <w:rsid w:val="00A57488"/>
    <w:rsid w:val="00A5766E"/>
    <w:rsid w:val="00A57C05"/>
    <w:rsid w:val="00A62D0A"/>
    <w:rsid w:val="00A67C9E"/>
    <w:rsid w:val="00A70F15"/>
    <w:rsid w:val="00A7208F"/>
    <w:rsid w:val="00A74CDC"/>
    <w:rsid w:val="00A83BFF"/>
    <w:rsid w:val="00A83F91"/>
    <w:rsid w:val="00A85583"/>
    <w:rsid w:val="00A8560E"/>
    <w:rsid w:val="00A86C2B"/>
    <w:rsid w:val="00A87904"/>
    <w:rsid w:val="00A92919"/>
    <w:rsid w:val="00A946D9"/>
    <w:rsid w:val="00A967DA"/>
    <w:rsid w:val="00AA047F"/>
    <w:rsid w:val="00AA56A8"/>
    <w:rsid w:val="00AA6273"/>
    <w:rsid w:val="00AB0604"/>
    <w:rsid w:val="00AB19F0"/>
    <w:rsid w:val="00AB46DE"/>
    <w:rsid w:val="00AB55F1"/>
    <w:rsid w:val="00AB67C8"/>
    <w:rsid w:val="00AB783F"/>
    <w:rsid w:val="00AC0873"/>
    <w:rsid w:val="00AC0D1A"/>
    <w:rsid w:val="00AC3146"/>
    <w:rsid w:val="00AC5CF2"/>
    <w:rsid w:val="00AD0009"/>
    <w:rsid w:val="00AD00BE"/>
    <w:rsid w:val="00AD0261"/>
    <w:rsid w:val="00AD0F1E"/>
    <w:rsid w:val="00AD4313"/>
    <w:rsid w:val="00AD4C10"/>
    <w:rsid w:val="00AD6EF9"/>
    <w:rsid w:val="00AD738A"/>
    <w:rsid w:val="00AE14C0"/>
    <w:rsid w:val="00AE5AEE"/>
    <w:rsid w:val="00AE6022"/>
    <w:rsid w:val="00AE6217"/>
    <w:rsid w:val="00AE6955"/>
    <w:rsid w:val="00AE6B05"/>
    <w:rsid w:val="00AF0CB1"/>
    <w:rsid w:val="00AF374C"/>
    <w:rsid w:val="00AF6267"/>
    <w:rsid w:val="00AF792D"/>
    <w:rsid w:val="00B01101"/>
    <w:rsid w:val="00B04A47"/>
    <w:rsid w:val="00B04DF9"/>
    <w:rsid w:val="00B0569C"/>
    <w:rsid w:val="00B06861"/>
    <w:rsid w:val="00B12BCF"/>
    <w:rsid w:val="00B13CCA"/>
    <w:rsid w:val="00B14CF8"/>
    <w:rsid w:val="00B166FC"/>
    <w:rsid w:val="00B16AFA"/>
    <w:rsid w:val="00B1729D"/>
    <w:rsid w:val="00B21A32"/>
    <w:rsid w:val="00B30D9D"/>
    <w:rsid w:val="00B33F25"/>
    <w:rsid w:val="00B352A4"/>
    <w:rsid w:val="00B357DB"/>
    <w:rsid w:val="00B3625F"/>
    <w:rsid w:val="00B4077E"/>
    <w:rsid w:val="00B40B04"/>
    <w:rsid w:val="00B4244B"/>
    <w:rsid w:val="00B43B93"/>
    <w:rsid w:val="00B44842"/>
    <w:rsid w:val="00B4685E"/>
    <w:rsid w:val="00B52C28"/>
    <w:rsid w:val="00B568DE"/>
    <w:rsid w:val="00B63BB5"/>
    <w:rsid w:val="00B66D8E"/>
    <w:rsid w:val="00B6711C"/>
    <w:rsid w:val="00B677E4"/>
    <w:rsid w:val="00B67FF6"/>
    <w:rsid w:val="00B705D1"/>
    <w:rsid w:val="00B74FB4"/>
    <w:rsid w:val="00B77DD1"/>
    <w:rsid w:val="00B80252"/>
    <w:rsid w:val="00B86C5D"/>
    <w:rsid w:val="00B87E11"/>
    <w:rsid w:val="00B87EC1"/>
    <w:rsid w:val="00B90B9B"/>
    <w:rsid w:val="00B92B2C"/>
    <w:rsid w:val="00B95A1B"/>
    <w:rsid w:val="00B96553"/>
    <w:rsid w:val="00B96F15"/>
    <w:rsid w:val="00B97623"/>
    <w:rsid w:val="00B97676"/>
    <w:rsid w:val="00B9788B"/>
    <w:rsid w:val="00BA1185"/>
    <w:rsid w:val="00BA2FF8"/>
    <w:rsid w:val="00BA7F28"/>
    <w:rsid w:val="00BB03D1"/>
    <w:rsid w:val="00BB057F"/>
    <w:rsid w:val="00BB20E7"/>
    <w:rsid w:val="00BB4111"/>
    <w:rsid w:val="00BB50F6"/>
    <w:rsid w:val="00BB53CA"/>
    <w:rsid w:val="00BB787E"/>
    <w:rsid w:val="00BC4B86"/>
    <w:rsid w:val="00BC521C"/>
    <w:rsid w:val="00BC7241"/>
    <w:rsid w:val="00BD031C"/>
    <w:rsid w:val="00BD2FB1"/>
    <w:rsid w:val="00BD381E"/>
    <w:rsid w:val="00BD3ECE"/>
    <w:rsid w:val="00BD3EE5"/>
    <w:rsid w:val="00BD6FEE"/>
    <w:rsid w:val="00BD706D"/>
    <w:rsid w:val="00BE1A53"/>
    <w:rsid w:val="00BE1B0A"/>
    <w:rsid w:val="00BE59AC"/>
    <w:rsid w:val="00BE5B03"/>
    <w:rsid w:val="00BE6AEF"/>
    <w:rsid w:val="00BF0313"/>
    <w:rsid w:val="00BF040D"/>
    <w:rsid w:val="00BF0471"/>
    <w:rsid w:val="00BF25E6"/>
    <w:rsid w:val="00BF2D1A"/>
    <w:rsid w:val="00BF42AA"/>
    <w:rsid w:val="00BF61E9"/>
    <w:rsid w:val="00BF7524"/>
    <w:rsid w:val="00BF7AC7"/>
    <w:rsid w:val="00C00471"/>
    <w:rsid w:val="00C011C4"/>
    <w:rsid w:val="00C01352"/>
    <w:rsid w:val="00C030BC"/>
    <w:rsid w:val="00C057AD"/>
    <w:rsid w:val="00C07CA4"/>
    <w:rsid w:val="00C11793"/>
    <w:rsid w:val="00C12172"/>
    <w:rsid w:val="00C128FC"/>
    <w:rsid w:val="00C134CC"/>
    <w:rsid w:val="00C14408"/>
    <w:rsid w:val="00C17156"/>
    <w:rsid w:val="00C17D60"/>
    <w:rsid w:val="00C17F47"/>
    <w:rsid w:val="00C2000B"/>
    <w:rsid w:val="00C21913"/>
    <w:rsid w:val="00C22F68"/>
    <w:rsid w:val="00C24110"/>
    <w:rsid w:val="00C27EF8"/>
    <w:rsid w:val="00C31553"/>
    <w:rsid w:val="00C3552A"/>
    <w:rsid w:val="00C3590C"/>
    <w:rsid w:val="00C40131"/>
    <w:rsid w:val="00C40504"/>
    <w:rsid w:val="00C409AE"/>
    <w:rsid w:val="00C41459"/>
    <w:rsid w:val="00C41AA1"/>
    <w:rsid w:val="00C43AAD"/>
    <w:rsid w:val="00C451B3"/>
    <w:rsid w:val="00C46459"/>
    <w:rsid w:val="00C47796"/>
    <w:rsid w:val="00C47EEB"/>
    <w:rsid w:val="00C51436"/>
    <w:rsid w:val="00C516E1"/>
    <w:rsid w:val="00C555AB"/>
    <w:rsid w:val="00C56709"/>
    <w:rsid w:val="00C62D8A"/>
    <w:rsid w:val="00C63B63"/>
    <w:rsid w:val="00C64069"/>
    <w:rsid w:val="00C64597"/>
    <w:rsid w:val="00C7259E"/>
    <w:rsid w:val="00C73986"/>
    <w:rsid w:val="00C81F03"/>
    <w:rsid w:val="00C823FA"/>
    <w:rsid w:val="00C82CA5"/>
    <w:rsid w:val="00C839B0"/>
    <w:rsid w:val="00C86FFC"/>
    <w:rsid w:val="00C90335"/>
    <w:rsid w:val="00C940AC"/>
    <w:rsid w:val="00C9487D"/>
    <w:rsid w:val="00C94C6C"/>
    <w:rsid w:val="00C96C0C"/>
    <w:rsid w:val="00C9733C"/>
    <w:rsid w:val="00C97810"/>
    <w:rsid w:val="00CA72E9"/>
    <w:rsid w:val="00CB5CC8"/>
    <w:rsid w:val="00CC091C"/>
    <w:rsid w:val="00CC1E73"/>
    <w:rsid w:val="00CC36AC"/>
    <w:rsid w:val="00CC433B"/>
    <w:rsid w:val="00CC5D34"/>
    <w:rsid w:val="00CC6CB0"/>
    <w:rsid w:val="00CC7FAE"/>
    <w:rsid w:val="00CD3FFC"/>
    <w:rsid w:val="00CD5856"/>
    <w:rsid w:val="00CE111D"/>
    <w:rsid w:val="00CE3433"/>
    <w:rsid w:val="00CE5265"/>
    <w:rsid w:val="00CE6045"/>
    <w:rsid w:val="00CE6AAD"/>
    <w:rsid w:val="00CF0300"/>
    <w:rsid w:val="00CF0D78"/>
    <w:rsid w:val="00CF14BC"/>
    <w:rsid w:val="00CF230A"/>
    <w:rsid w:val="00CF2732"/>
    <w:rsid w:val="00CF3E5C"/>
    <w:rsid w:val="00CF7F73"/>
    <w:rsid w:val="00D023B9"/>
    <w:rsid w:val="00D05B2C"/>
    <w:rsid w:val="00D05DA3"/>
    <w:rsid w:val="00D05FAB"/>
    <w:rsid w:val="00D07DB0"/>
    <w:rsid w:val="00D103F0"/>
    <w:rsid w:val="00D1048A"/>
    <w:rsid w:val="00D1052A"/>
    <w:rsid w:val="00D10B96"/>
    <w:rsid w:val="00D11CE7"/>
    <w:rsid w:val="00D12510"/>
    <w:rsid w:val="00D15A54"/>
    <w:rsid w:val="00D16C19"/>
    <w:rsid w:val="00D22A44"/>
    <w:rsid w:val="00D23609"/>
    <w:rsid w:val="00D23CA6"/>
    <w:rsid w:val="00D27FD0"/>
    <w:rsid w:val="00D31E96"/>
    <w:rsid w:val="00D3258E"/>
    <w:rsid w:val="00D32C4D"/>
    <w:rsid w:val="00D35750"/>
    <w:rsid w:val="00D359E7"/>
    <w:rsid w:val="00D367A5"/>
    <w:rsid w:val="00D45E9E"/>
    <w:rsid w:val="00D4663C"/>
    <w:rsid w:val="00D50585"/>
    <w:rsid w:val="00D5127C"/>
    <w:rsid w:val="00D517E5"/>
    <w:rsid w:val="00D574DE"/>
    <w:rsid w:val="00D646CA"/>
    <w:rsid w:val="00D64ECD"/>
    <w:rsid w:val="00D66015"/>
    <w:rsid w:val="00D751B8"/>
    <w:rsid w:val="00D7572D"/>
    <w:rsid w:val="00D75835"/>
    <w:rsid w:val="00D7794D"/>
    <w:rsid w:val="00D77C02"/>
    <w:rsid w:val="00D80690"/>
    <w:rsid w:val="00D81077"/>
    <w:rsid w:val="00D85BFE"/>
    <w:rsid w:val="00D870F9"/>
    <w:rsid w:val="00D93F62"/>
    <w:rsid w:val="00D93FC6"/>
    <w:rsid w:val="00D959EE"/>
    <w:rsid w:val="00D97B0C"/>
    <w:rsid w:val="00DA04FF"/>
    <w:rsid w:val="00DA2735"/>
    <w:rsid w:val="00DA5417"/>
    <w:rsid w:val="00DA66D2"/>
    <w:rsid w:val="00DA6986"/>
    <w:rsid w:val="00DB2342"/>
    <w:rsid w:val="00DB324A"/>
    <w:rsid w:val="00DB36F0"/>
    <w:rsid w:val="00DB4770"/>
    <w:rsid w:val="00DB5216"/>
    <w:rsid w:val="00DB5677"/>
    <w:rsid w:val="00DB725A"/>
    <w:rsid w:val="00DB7FC7"/>
    <w:rsid w:val="00DC3093"/>
    <w:rsid w:val="00DC3B1E"/>
    <w:rsid w:val="00DC5333"/>
    <w:rsid w:val="00DC68B0"/>
    <w:rsid w:val="00DD0569"/>
    <w:rsid w:val="00DD46EE"/>
    <w:rsid w:val="00DD54BB"/>
    <w:rsid w:val="00DD5687"/>
    <w:rsid w:val="00DD6575"/>
    <w:rsid w:val="00DE1189"/>
    <w:rsid w:val="00DF1E58"/>
    <w:rsid w:val="00DF41B9"/>
    <w:rsid w:val="00DF7164"/>
    <w:rsid w:val="00DF781A"/>
    <w:rsid w:val="00E01D5E"/>
    <w:rsid w:val="00E05E4F"/>
    <w:rsid w:val="00E07D07"/>
    <w:rsid w:val="00E116DC"/>
    <w:rsid w:val="00E11ACA"/>
    <w:rsid w:val="00E1276B"/>
    <w:rsid w:val="00E12779"/>
    <w:rsid w:val="00E13985"/>
    <w:rsid w:val="00E13AB3"/>
    <w:rsid w:val="00E15CAD"/>
    <w:rsid w:val="00E15F63"/>
    <w:rsid w:val="00E21668"/>
    <w:rsid w:val="00E23A5D"/>
    <w:rsid w:val="00E2459E"/>
    <w:rsid w:val="00E25820"/>
    <w:rsid w:val="00E309C8"/>
    <w:rsid w:val="00E33D4F"/>
    <w:rsid w:val="00E35428"/>
    <w:rsid w:val="00E421E6"/>
    <w:rsid w:val="00E434BF"/>
    <w:rsid w:val="00E44715"/>
    <w:rsid w:val="00E45A8D"/>
    <w:rsid w:val="00E469D4"/>
    <w:rsid w:val="00E47A9D"/>
    <w:rsid w:val="00E51732"/>
    <w:rsid w:val="00E51AE6"/>
    <w:rsid w:val="00E52386"/>
    <w:rsid w:val="00E5251D"/>
    <w:rsid w:val="00E525B9"/>
    <w:rsid w:val="00E52ABB"/>
    <w:rsid w:val="00E53065"/>
    <w:rsid w:val="00E530F5"/>
    <w:rsid w:val="00E554CD"/>
    <w:rsid w:val="00E57F81"/>
    <w:rsid w:val="00E60A59"/>
    <w:rsid w:val="00E60B31"/>
    <w:rsid w:val="00E6275D"/>
    <w:rsid w:val="00E67F65"/>
    <w:rsid w:val="00E709C0"/>
    <w:rsid w:val="00E73B17"/>
    <w:rsid w:val="00E763F7"/>
    <w:rsid w:val="00E774BA"/>
    <w:rsid w:val="00E82774"/>
    <w:rsid w:val="00E86D25"/>
    <w:rsid w:val="00E903AB"/>
    <w:rsid w:val="00E915EA"/>
    <w:rsid w:val="00E921FA"/>
    <w:rsid w:val="00E93563"/>
    <w:rsid w:val="00E94AA4"/>
    <w:rsid w:val="00E966D7"/>
    <w:rsid w:val="00EA0121"/>
    <w:rsid w:val="00EA4422"/>
    <w:rsid w:val="00EB208E"/>
    <w:rsid w:val="00EB213D"/>
    <w:rsid w:val="00EC0959"/>
    <w:rsid w:val="00EC10A1"/>
    <w:rsid w:val="00EC30E1"/>
    <w:rsid w:val="00EC754E"/>
    <w:rsid w:val="00EC7838"/>
    <w:rsid w:val="00ED01F0"/>
    <w:rsid w:val="00ED08B2"/>
    <w:rsid w:val="00ED1676"/>
    <w:rsid w:val="00EE1CCD"/>
    <w:rsid w:val="00EE5B94"/>
    <w:rsid w:val="00EE5DD1"/>
    <w:rsid w:val="00EE6988"/>
    <w:rsid w:val="00EF21B2"/>
    <w:rsid w:val="00EF250B"/>
    <w:rsid w:val="00EF5B92"/>
    <w:rsid w:val="00EF7741"/>
    <w:rsid w:val="00F00209"/>
    <w:rsid w:val="00F00EFE"/>
    <w:rsid w:val="00F01D7D"/>
    <w:rsid w:val="00F02655"/>
    <w:rsid w:val="00F03B9A"/>
    <w:rsid w:val="00F061D9"/>
    <w:rsid w:val="00F0661C"/>
    <w:rsid w:val="00F07893"/>
    <w:rsid w:val="00F166D6"/>
    <w:rsid w:val="00F22C65"/>
    <w:rsid w:val="00F26ADE"/>
    <w:rsid w:val="00F2755F"/>
    <w:rsid w:val="00F27DA1"/>
    <w:rsid w:val="00F30041"/>
    <w:rsid w:val="00F305BE"/>
    <w:rsid w:val="00F30791"/>
    <w:rsid w:val="00F32CCC"/>
    <w:rsid w:val="00F32D3D"/>
    <w:rsid w:val="00F3328B"/>
    <w:rsid w:val="00F3540D"/>
    <w:rsid w:val="00F3570B"/>
    <w:rsid w:val="00F35D19"/>
    <w:rsid w:val="00F37873"/>
    <w:rsid w:val="00F37EF8"/>
    <w:rsid w:val="00F407E8"/>
    <w:rsid w:val="00F413C4"/>
    <w:rsid w:val="00F41A60"/>
    <w:rsid w:val="00F4212C"/>
    <w:rsid w:val="00F44A46"/>
    <w:rsid w:val="00F4728F"/>
    <w:rsid w:val="00F476D4"/>
    <w:rsid w:val="00F47CC6"/>
    <w:rsid w:val="00F564BD"/>
    <w:rsid w:val="00F572FE"/>
    <w:rsid w:val="00F61334"/>
    <w:rsid w:val="00F639B5"/>
    <w:rsid w:val="00F64785"/>
    <w:rsid w:val="00F70719"/>
    <w:rsid w:val="00F70D43"/>
    <w:rsid w:val="00F71C44"/>
    <w:rsid w:val="00F72909"/>
    <w:rsid w:val="00F73BC8"/>
    <w:rsid w:val="00F73CB3"/>
    <w:rsid w:val="00F743B2"/>
    <w:rsid w:val="00F74D82"/>
    <w:rsid w:val="00F838C3"/>
    <w:rsid w:val="00F846C0"/>
    <w:rsid w:val="00F86E34"/>
    <w:rsid w:val="00F903AC"/>
    <w:rsid w:val="00F921A0"/>
    <w:rsid w:val="00F92913"/>
    <w:rsid w:val="00F93624"/>
    <w:rsid w:val="00F94178"/>
    <w:rsid w:val="00F95A01"/>
    <w:rsid w:val="00FA09E6"/>
    <w:rsid w:val="00FA2732"/>
    <w:rsid w:val="00FA309C"/>
    <w:rsid w:val="00FA74EF"/>
    <w:rsid w:val="00FB2CC0"/>
    <w:rsid w:val="00FB2E68"/>
    <w:rsid w:val="00FB49E0"/>
    <w:rsid w:val="00FB4D83"/>
    <w:rsid w:val="00FB5D29"/>
    <w:rsid w:val="00FB709F"/>
    <w:rsid w:val="00FC1D14"/>
    <w:rsid w:val="00FC2DD9"/>
    <w:rsid w:val="00FC5AD0"/>
    <w:rsid w:val="00FC7F4C"/>
    <w:rsid w:val="00FD6E9B"/>
    <w:rsid w:val="00FD7074"/>
    <w:rsid w:val="00FD7B2E"/>
    <w:rsid w:val="00FE28AB"/>
    <w:rsid w:val="00FE3880"/>
    <w:rsid w:val="00FE66FA"/>
    <w:rsid w:val="00FF0655"/>
    <w:rsid w:val="00FF47ED"/>
    <w:rsid w:val="00FF55A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DF763D-C60A-4358-8B79-C9CC03670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2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iPriority="2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29" w:unhideWhenUsed="1"/>
    <w:lsdException w:name="List Bullet 4" w:semiHidden="1" w:uiPriority="29"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jc w:val="both"/>
    </w:pPr>
    <w:rPr>
      <w:rFonts w:ascii="Times New Roman" w:eastAsia="Times New Roman" w:hAnsi="Times New Roman"/>
      <w:sz w:val="24"/>
      <w:szCs w:val="24"/>
      <w:lang w:eastAsia="en-US"/>
    </w:rPr>
  </w:style>
  <w:style w:type="paragraph" w:styleId="Heading1">
    <w:name w:val="heading 1"/>
    <w:aliases w:val="F3 Heading 1 - Section,1.,h1,ITTHEADER1,(Section),Numbered - 1,Section,Chapter Hdg,CH TITLE 1,Chapter Heading,Titre 1,1,H1,section head,al,section head1,h11,section head2,h12,section head3,h13,section head4,h14,IMPACT STUDY TITLE1,Headline 1"/>
    <w:basedOn w:val="Normal"/>
    <w:next w:val="Text1"/>
    <w:link w:val="Heading1Char"/>
    <w:qFormat/>
    <w:pPr>
      <w:keepNext/>
      <w:numPr>
        <w:numId w:val="24"/>
      </w:numPr>
      <w:spacing w:after="240"/>
      <w:outlineLvl w:val="0"/>
    </w:pPr>
    <w:rPr>
      <w:b/>
      <w:bCs/>
      <w:smallCaps/>
      <w:szCs w:val="32"/>
    </w:rPr>
  </w:style>
  <w:style w:type="paragraph" w:styleId="Heading2">
    <w:name w:val="heading 2"/>
    <w:aliases w:val="F4 Heading 2 - SubSection,h2,Heading 2 Char1,Heading 2 Char Char,H2 Char,heading 2 Char,(SubSection),Para Nos,Para,Main Heading,Main Headi,Numbered - 2,(Main Heading),Paragraph,Sub Heading,ignorer2,Oscar Faber 2,IMPACT STUDY TITLE2,2H,2H1,2H2"/>
    <w:basedOn w:val="Normal"/>
    <w:next w:val="Text1"/>
    <w:link w:val="Heading2Char"/>
    <w:qFormat/>
    <w:pPr>
      <w:keepNext/>
      <w:numPr>
        <w:ilvl w:val="1"/>
        <w:numId w:val="39"/>
      </w:numPr>
      <w:spacing w:before="240" w:after="240"/>
      <w:outlineLvl w:val="1"/>
    </w:pPr>
    <w:rPr>
      <w:b/>
      <w:bCs/>
      <w:smallCaps/>
      <w:szCs w:val="32"/>
    </w:rPr>
  </w:style>
  <w:style w:type="paragraph" w:styleId="Heading3">
    <w:name w:val="heading 3"/>
    <w:aliases w:val="F5 Heading 3,Heading Like 3,h3,Heading 3 Char1,Heading 3 Char Char,Heading Like 3 Char Char,H3,Heading Like 3 Char,Numbered - 3,IMPACT STUDY TITLE3,Title3,0H,0H1,0H2,0H11,0h,3h,3H,heading 3 + Indent: Left 0.25 in,ariad2-heading3,H31,Headline 3"/>
    <w:basedOn w:val="Normal"/>
    <w:next w:val="Text1"/>
    <w:link w:val="Heading3Char"/>
    <w:autoRedefine/>
    <w:uiPriority w:val="9"/>
    <w:qFormat/>
    <w:rsid w:val="0055096C"/>
    <w:pPr>
      <w:keepNext/>
      <w:ind w:left="360" w:hanging="360"/>
      <w:outlineLvl w:val="2"/>
    </w:pPr>
    <w:rPr>
      <w:b/>
      <w:bCs/>
      <w:i/>
      <w:szCs w:val="26"/>
    </w:rPr>
  </w:style>
  <w:style w:type="paragraph" w:styleId="Heading4">
    <w:name w:val="heading 4"/>
    <w:aliases w:val="itth4,TABLE,heading 4 Char,Numbered - 4,level 3 subhead,PA Micro Section,(Alt+4),H41,(Alt+4)1,H42,(Alt+4)2,H43,(Alt+4)3,H44,(Alt+4)4,H45,(Alt+4)5,H411,(Alt+4)11,H421,(Alt+4)21,H431,(Alt+4)31,H46,(Alt+4)6,H412,(Alt+4)12,H422,(Alt+4)22,H432,H47"/>
    <w:basedOn w:val="Normal"/>
    <w:next w:val="Text1"/>
    <w:link w:val="Heading4Char"/>
    <w:uiPriority w:val="9"/>
    <w:qFormat/>
    <w:pPr>
      <w:keepNext/>
      <w:numPr>
        <w:ilvl w:val="3"/>
        <w:numId w:val="26"/>
      </w:numPr>
      <w:outlineLvl w:val="3"/>
    </w:pPr>
    <w:rPr>
      <w:bCs/>
      <w:i/>
      <w:szCs w:val="28"/>
    </w:rPr>
  </w:style>
  <w:style w:type="paragraph" w:styleId="Heading5">
    <w:name w:val="heading 5"/>
    <w:aliases w:val="Heading 5(war),DNV-H5,Block Label,Heading 5 CFMU,Para 5,h5,Level 3 - i,DO NOT USE_h5,H5,Roman list,Schedule A to X"/>
    <w:basedOn w:val="Normal"/>
    <w:next w:val="Normal"/>
    <w:link w:val="Heading5Char"/>
    <w:uiPriority w:val="29"/>
    <w:qFormat/>
    <w:pPr>
      <w:tabs>
        <w:tab w:val="num" w:pos="1008"/>
      </w:tabs>
      <w:spacing w:before="240" w:after="60"/>
      <w:ind w:left="1008" w:hanging="1008"/>
      <w:jc w:val="left"/>
      <w:outlineLvl w:val="4"/>
    </w:pPr>
    <w:rPr>
      <w:b/>
      <w:bCs/>
      <w:i/>
      <w:iCs/>
      <w:sz w:val="26"/>
      <w:szCs w:val="26"/>
      <w:lang w:eastAsia="en-GB"/>
    </w:rPr>
  </w:style>
  <w:style w:type="paragraph" w:styleId="Heading6">
    <w:name w:val="heading 6"/>
    <w:basedOn w:val="Normal"/>
    <w:next w:val="Normal"/>
    <w:link w:val="Heading6Char"/>
    <w:uiPriority w:val="99"/>
    <w:qFormat/>
    <w:pPr>
      <w:tabs>
        <w:tab w:val="num" w:pos="1152"/>
      </w:tabs>
      <w:spacing w:before="240" w:after="60"/>
      <w:ind w:left="1152" w:hanging="1152"/>
      <w:jc w:val="left"/>
      <w:outlineLvl w:val="5"/>
    </w:pPr>
    <w:rPr>
      <w:b/>
      <w:bCs/>
      <w:sz w:val="22"/>
      <w:szCs w:val="22"/>
      <w:lang w:eastAsia="en-GB"/>
    </w:rPr>
  </w:style>
  <w:style w:type="paragraph" w:styleId="Heading7">
    <w:name w:val="heading 7"/>
    <w:basedOn w:val="Normal"/>
    <w:next w:val="Normal"/>
    <w:link w:val="Heading7Char"/>
    <w:uiPriority w:val="99"/>
    <w:qFormat/>
    <w:pPr>
      <w:tabs>
        <w:tab w:val="num" w:pos="1296"/>
      </w:tabs>
      <w:spacing w:before="240" w:after="60"/>
      <w:ind w:left="1296" w:hanging="1296"/>
      <w:jc w:val="left"/>
      <w:outlineLvl w:val="6"/>
    </w:pPr>
    <w:rPr>
      <w:lang w:eastAsia="en-GB"/>
    </w:rPr>
  </w:style>
  <w:style w:type="paragraph" w:styleId="Heading8">
    <w:name w:val="heading 8"/>
    <w:basedOn w:val="Normal"/>
    <w:next w:val="Normal"/>
    <w:link w:val="Heading8Char"/>
    <w:uiPriority w:val="99"/>
    <w:qFormat/>
    <w:pPr>
      <w:tabs>
        <w:tab w:val="num" w:pos="1440"/>
      </w:tabs>
      <w:spacing w:before="240" w:after="60"/>
      <w:ind w:left="1440" w:hanging="1440"/>
      <w:jc w:val="left"/>
      <w:outlineLvl w:val="7"/>
    </w:pPr>
    <w:rPr>
      <w:i/>
      <w:iCs/>
      <w:lang w:eastAsia="en-GB"/>
    </w:rPr>
  </w:style>
  <w:style w:type="paragraph" w:styleId="Heading9">
    <w:name w:val="heading 9"/>
    <w:basedOn w:val="Normal"/>
    <w:next w:val="Normal"/>
    <w:link w:val="Heading9Char"/>
    <w:uiPriority w:val="99"/>
    <w:qFormat/>
    <w:pPr>
      <w:tabs>
        <w:tab w:val="num" w:pos="1584"/>
      </w:tabs>
      <w:spacing w:before="240" w:after="60"/>
      <w:ind w:left="1584" w:hanging="1584"/>
      <w:jc w:val="left"/>
      <w:outlineLvl w:val="8"/>
    </w:pPr>
    <w:rPr>
      <w:rFonts w:ascii="Arial" w:hAnsi="Arial" w:cs="Arial"/>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F3 Heading 1 - Section Char,1. Char,h1 Char,ITTHEADER1 Char,(Section) Char,Numbered - 1 Char,Section Char,Chapter Hdg Char,CH TITLE 1 Char,Chapter Heading Char,Titre 1 Char,1 Char,H1 Char,section head Char,al Char,section head1 Char"/>
    <w:link w:val="Heading1"/>
    <w:rPr>
      <w:rFonts w:ascii="Times New Roman" w:eastAsia="Times New Roman" w:hAnsi="Times New Roman"/>
      <w:b/>
      <w:bCs/>
      <w:smallCaps/>
      <w:sz w:val="24"/>
      <w:szCs w:val="32"/>
      <w:lang w:val="en-GB"/>
    </w:rPr>
  </w:style>
  <w:style w:type="character" w:customStyle="1" w:styleId="Heading2Char">
    <w:name w:val="Heading 2 Char"/>
    <w:aliases w:val="F4 Heading 2 - SubSection Char,h2 Char,Heading 2 Char1 Char,Heading 2 Char Char Char,H2 Char Char,heading 2 Char Char,(SubSection) Char,Para Nos Char,Para Char,Main Heading Char,Main Headi Char,Numbered - 2 Char,(Main Heading) Char"/>
    <w:link w:val="Heading2"/>
    <w:rPr>
      <w:rFonts w:ascii="Times New Roman" w:eastAsia="Times New Roman" w:hAnsi="Times New Roman"/>
      <w:b/>
      <w:bCs/>
      <w:smallCaps/>
      <w:sz w:val="24"/>
      <w:szCs w:val="32"/>
      <w:lang w:eastAsia="en-US"/>
    </w:rPr>
  </w:style>
  <w:style w:type="character" w:customStyle="1" w:styleId="Heading3Char">
    <w:name w:val="Heading 3 Char"/>
    <w:aliases w:val="F5 Heading 3 Char,Heading Like 3 Char1,h3 Char,Heading 3 Char1 Char,Heading 3 Char Char Char,Heading Like 3 Char Char Char,H3 Char,Heading Like 3 Char Char1,Numbered - 3 Char,IMPACT STUDY TITLE3 Char,Title3 Char,0H Char,0H1 Char,0H2 Char"/>
    <w:link w:val="Heading3"/>
    <w:uiPriority w:val="9"/>
    <w:rsid w:val="0055096C"/>
    <w:rPr>
      <w:rFonts w:ascii="Times New Roman" w:eastAsia="Times New Roman" w:hAnsi="Times New Roman"/>
      <w:b/>
      <w:bCs/>
      <w:i/>
      <w:sz w:val="24"/>
      <w:szCs w:val="26"/>
      <w:lang w:eastAsia="en-US"/>
    </w:rPr>
  </w:style>
  <w:style w:type="character" w:customStyle="1" w:styleId="Heading4Char">
    <w:name w:val="Heading 4 Char"/>
    <w:aliases w:val="itth4 Char,TABLE Char,heading 4 Char Char,Numbered - 4 Char,level 3 subhead Char,PA Micro Section Char,(Alt+4) Char,H41 Char,(Alt+4)1 Char,H42 Char,(Alt+4)2 Char,H43 Char,(Alt+4)3 Char,H44 Char,(Alt+4)4 Char,H45 Char,(Alt+4)5 Char"/>
    <w:link w:val="Heading4"/>
    <w:uiPriority w:val="9"/>
    <w:rPr>
      <w:rFonts w:ascii="Times New Roman" w:eastAsia="Times New Roman" w:hAnsi="Times New Roman"/>
      <w:bCs/>
      <w:i/>
      <w:sz w:val="24"/>
      <w:szCs w:val="28"/>
      <w:lang w:eastAsia="en-US"/>
    </w:rPr>
  </w:style>
  <w:style w:type="character" w:customStyle="1" w:styleId="Heading5Char">
    <w:name w:val="Heading 5 Char"/>
    <w:aliases w:val="Heading 5(war) Char,DNV-H5 Char,Block Label Char,Heading 5 CFMU Char,Para 5 Char,h5 Char,Level 3 - i Char,DO NOT USE_h5 Char,H5 Char,Roman list Char,Schedule A to X Char"/>
    <w:link w:val="Heading5"/>
    <w:uiPriority w:val="29"/>
    <w:rPr>
      <w:rFonts w:ascii="Times New Roman" w:eastAsia="Times New Roman" w:hAnsi="Times New Roman" w:cs="Times New Roman"/>
      <w:b/>
      <w:bCs/>
      <w:i/>
      <w:iCs/>
      <w:sz w:val="26"/>
      <w:szCs w:val="26"/>
      <w:lang w:eastAsia="en-GB"/>
    </w:rPr>
  </w:style>
  <w:style w:type="character" w:customStyle="1" w:styleId="Heading6Char">
    <w:name w:val="Heading 6 Char"/>
    <w:link w:val="Heading6"/>
    <w:uiPriority w:val="9"/>
    <w:rPr>
      <w:rFonts w:ascii="Times New Roman" w:eastAsia="Times New Roman" w:hAnsi="Times New Roman" w:cs="Times New Roman"/>
      <w:b/>
      <w:bCs/>
      <w:lang w:eastAsia="en-GB"/>
    </w:rPr>
  </w:style>
  <w:style w:type="character" w:customStyle="1" w:styleId="Heading7Char">
    <w:name w:val="Heading 7 Char"/>
    <w:link w:val="Heading7"/>
    <w:uiPriority w:val="9"/>
    <w:rPr>
      <w:rFonts w:ascii="Times New Roman" w:eastAsia="Times New Roman" w:hAnsi="Times New Roman" w:cs="Times New Roman"/>
      <w:sz w:val="24"/>
      <w:szCs w:val="24"/>
      <w:lang w:eastAsia="en-GB"/>
    </w:rPr>
  </w:style>
  <w:style w:type="character" w:customStyle="1" w:styleId="Heading8Char">
    <w:name w:val="Heading 8 Char"/>
    <w:link w:val="Heading8"/>
    <w:uiPriority w:val="9"/>
    <w:rPr>
      <w:rFonts w:ascii="Times New Roman" w:eastAsia="Times New Roman" w:hAnsi="Times New Roman" w:cs="Times New Roman"/>
      <w:i/>
      <w:iCs/>
      <w:sz w:val="24"/>
      <w:szCs w:val="24"/>
      <w:lang w:eastAsia="en-GB"/>
    </w:rPr>
  </w:style>
  <w:style w:type="character" w:customStyle="1" w:styleId="Heading9Char">
    <w:name w:val="Heading 9 Char"/>
    <w:link w:val="Heading9"/>
    <w:uiPriority w:val="9"/>
    <w:rPr>
      <w:rFonts w:ascii="Arial" w:eastAsia="Times New Roman" w:hAnsi="Arial" w:cs="Arial"/>
      <w:lang w:eastAsia="en-GB"/>
    </w:rPr>
  </w:style>
  <w:style w:type="paragraph" w:styleId="Header">
    <w:name w:val="header"/>
    <w:basedOn w:val="Normal"/>
    <w:link w:val="HeaderChar"/>
    <w:uiPriority w:val="29"/>
    <w:unhideWhenUsed/>
    <w:pPr>
      <w:tabs>
        <w:tab w:val="center" w:pos="4535"/>
        <w:tab w:val="right" w:pos="9071"/>
      </w:tabs>
      <w:spacing w:before="0"/>
    </w:pPr>
    <w:rPr>
      <w:rFonts w:eastAsia="Calibri"/>
      <w:szCs w:val="22"/>
    </w:rPr>
  </w:style>
  <w:style w:type="character" w:customStyle="1" w:styleId="HeaderChar">
    <w:name w:val="Header Char"/>
    <w:link w:val="Header"/>
    <w:uiPriority w:val="29"/>
    <w:rPr>
      <w:rFonts w:ascii="Times New Roman" w:hAnsi="Times New Roman" w:cs="Times New Roman"/>
      <w:sz w:val="24"/>
    </w:rPr>
  </w:style>
  <w:style w:type="paragraph" w:styleId="Footer">
    <w:name w:val="footer"/>
    <w:basedOn w:val="Normal"/>
    <w:link w:val="FooterChar"/>
    <w:uiPriority w:val="99"/>
    <w:pPr>
      <w:tabs>
        <w:tab w:val="center" w:pos="4535"/>
        <w:tab w:val="right" w:pos="9071"/>
        <w:tab w:val="right" w:pos="9921"/>
      </w:tabs>
      <w:spacing w:before="360" w:after="0"/>
      <w:ind w:left="-850" w:right="-850"/>
      <w:jc w:val="left"/>
    </w:pPr>
  </w:style>
  <w:style w:type="character" w:customStyle="1" w:styleId="FooterChar">
    <w:name w:val="Footer Char"/>
    <w:link w:val="Footer"/>
    <w:uiPriority w:val="99"/>
    <w:rPr>
      <w:rFonts w:ascii="Times New Roman" w:eastAsia="Times New Roman" w:hAnsi="Times New Roman" w:cs="Times New Roman"/>
      <w:sz w:val="24"/>
      <w:szCs w:val="24"/>
    </w:rPr>
  </w:style>
  <w:style w:type="paragraph" w:styleId="FootnoteText">
    <w:name w:val="footnote text"/>
    <w:aliases w:val="Footnote Text Char Char,Fußnotentext Char Char1 Char,Fußnotentext Char1 Char1 Char Char,Fußnotentext Char Char Char Char Char Char,Fußnotentext Char1 Char Char Char Char1 Char,Footnote text,o,footnote,fn,FOOTNOTES,ft,Fußnote,fn Char Char"/>
    <w:basedOn w:val="Normal"/>
    <w:link w:val="FootnoteTextChar"/>
    <w:autoRedefine/>
    <w:uiPriority w:val="99"/>
    <w:qFormat/>
    <w:rsid w:val="00470C47"/>
    <w:pPr>
      <w:spacing w:before="0" w:after="0"/>
      <w:ind w:left="240" w:hanging="240"/>
    </w:pPr>
    <w:rPr>
      <w:sz w:val="20"/>
      <w:szCs w:val="20"/>
    </w:rPr>
  </w:style>
  <w:style w:type="character" w:customStyle="1" w:styleId="FootnoteTextChar">
    <w:name w:val="Footnote Text Char"/>
    <w:aliases w:val="Footnote Text Char Char Char,Fußnotentext Char Char1 Char Char,Fußnotentext Char1 Char1 Char Char Char,Fußnotentext Char Char Char Char Char Char Char,Fußnotentext Char1 Char Char Char Char1 Char Char,Footnote text Char,o Char,fn Char"/>
    <w:link w:val="FootnoteText"/>
    <w:uiPriority w:val="99"/>
    <w:rsid w:val="00470C47"/>
    <w:rPr>
      <w:rFonts w:ascii="Times New Roman" w:eastAsia="Times New Roman" w:hAnsi="Times New Roman"/>
      <w:lang w:eastAsia="en-US"/>
    </w:rPr>
  </w:style>
  <w:style w:type="paragraph" w:styleId="TOC1">
    <w:name w:val="toc 1"/>
    <w:basedOn w:val="Normal"/>
    <w:next w:val="Normal"/>
    <w:uiPriority w:val="39"/>
    <w:pPr>
      <w:tabs>
        <w:tab w:val="right" w:leader="dot" w:pos="9071"/>
      </w:tabs>
      <w:spacing w:before="60"/>
      <w:ind w:left="850" w:hanging="850"/>
      <w:jc w:val="left"/>
    </w:pPr>
  </w:style>
  <w:style w:type="paragraph" w:styleId="TOC2">
    <w:name w:val="toc 2"/>
    <w:basedOn w:val="Normal"/>
    <w:next w:val="Normal"/>
    <w:uiPriority w:val="39"/>
    <w:pPr>
      <w:tabs>
        <w:tab w:val="right" w:leader="dot" w:pos="9071"/>
      </w:tabs>
      <w:spacing w:before="60"/>
      <w:ind w:left="850" w:hanging="850"/>
      <w:jc w:val="left"/>
    </w:pPr>
  </w:style>
  <w:style w:type="paragraph" w:styleId="TOC3">
    <w:name w:val="toc 3"/>
    <w:basedOn w:val="Normal"/>
    <w:next w:val="Normal"/>
    <w:uiPriority w:val="39"/>
    <w:pPr>
      <w:tabs>
        <w:tab w:val="right" w:leader="dot" w:pos="9071"/>
      </w:tabs>
      <w:spacing w:before="60"/>
      <w:ind w:left="850" w:hanging="850"/>
      <w:jc w:val="left"/>
    </w:pPr>
  </w:style>
  <w:style w:type="paragraph" w:styleId="TOC4">
    <w:name w:val="toc 4"/>
    <w:basedOn w:val="Normal"/>
    <w:next w:val="Normal"/>
    <w:uiPriority w:val="39"/>
    <w:pPr>
      <w:tabs>
        <w:tab w:val="right" w:leader="dot" w:pos="9071"/>
      </w:tabs>
      <w:spacing w:before="60"/>
      <w:ind w:left="850" w:hanging="850"/>
      <w:jc w:val="left"/>
    </w:pPr>
  </w:style>
  <w:style w:type="paragraph" w:styleId="TOC5">
    <w:name w:val="toc 5"/>
    <w:basedOn w:val="Normal"/>
    <w:next w:val="Normal"/>
    <w:uiPriority w:val="39"/>
    <w:pPr>
      <w:tabs>
        <w:tab w:val="right" w:leader="dot" w:pos="9071"/>
      </w:tabs>
      <w:spacing w:before="300"/>
      <w:jc w:val="left"/>
    </w:pPr>
  </w:style>
  <w:style w:type="paragraph" w:styleId="TOC6">
    <w:name w:val="toc 6"/>
    <w:basedOn w:val="Normal"/>
    <w:next w:val="Normal"/>
    <w:uiPriority w:val="39"/>
    <w:pPr>
      <w:tabs>
        <w:tab w:val="right" w:leader="dot" w:pos="9071"/>
      </w:tabs>
      <w:spacing w:before="240"/>
      <w:jc w:val="left"/>
    </w:pPr>
  </w:style>
  <w:style w:type="paragraph" w:styleId="TOC7">
    <w:name w:val="toc 7"/>
    <w:basedOn w:val="Normal"/>
    <w:next w:val="Normal"/>
    <w:uiPriority w:val="39"/>
    <w:pPr>
      <w:tabs>
        <w:tab w:val="right" w:leader="dot" w:pos="9071"/>
      </w:tabs>
      <w:spacing w:before="180"/>
      <w:jc w:val="left"/>
    </w:pPr>
  </w:style>
  <w:style w:type="paragraph" w:styleId="TOC8">
    <w:name w:val="toc 8"/>
    <w:basedOn w:val="Normal"/>
    <w:next w:val="Normal"/>
    <w:uiPriority w:val="39"/>
    <w:pPr>
      <w:tabs>
        <w:tab w:val="right" w:leader="dot" w:pos="9071"/>
      </w:tabs>
      <w:jc w:val="left"/>
    </w:pPr>
  </w:style>
  <w:style w:type="paragraph" w:styleId="TOC9">
    <w:name w:val="toc 9"/>
    <w:basedOn w:val="Normal"/>
    <w:next w:val="Normal"/>
    <w:uiPriority w:val="39"/>
    <w:pPr>
      <w:tabs>
        <w:tab w:val="right" w:leader="dot" w:pos="9071"/>
      </w:tabs>
    </w:pPr>
  </w:style>
  <w:style w:type="paragraph" w:customStyle="1" w:styleId="HeaderLandscape">
    <w:name w:val="HeaderLandscape"/>
    <w:basedOn w:val="Normal"/>
    <w:pPr>
      <w:tabs>
        <w:tab w:val="center" w:pos="7285"/>
        <w:tab w:val="right" w:pos="14003"/>
      </w:tabs>
      <w:spacing w:before="0"/>
    </w:pPr>
    <w:rPr>
      <w:rFonts w:eastAsia="Calibri"/>
      <w:szCs w:val="22"/>
    </w:rPr>
  </w:style>
  <w:style w:type="paragraph" w:customStyle="1" w:styleId="FooterLandscape">
    <w:name w:val="FooterLandscape"/>
    <w:basedOn w:val="Normal"/>
    <w:pPr>
      <w:tabs>
        <w:tab w:val="center" w:pos="7285"/>
        <w:tab w:val="center" w:pos="10913"/>
        <w:tab w:val="right" w:pos="15137"/>
      </w:tabs>
      <w:spacing w:before="360" w:after="0"/>
      <w:ind w:left="-567" w:right="-567"/>
      <w:jc w:val="left"/>
    </w:pPr>
  </w:style>
  <w:style w:type="character" w:styleId="FootnoteReference">
    <w:name w:val="footnote reference"/>
    <w:aliases w:val="Footnote symbol,Odwołanie przypisu,Footnote Reference Number,Footnote Reference Superscript,SUPERS,Times 10 Point,Exposant 3 Point,Footnote,Ref,de nota al pie,Footnote reference number,Footnote Reference_LVL6,note T,note TESI,Char1,f"/>
    <w:link w:val="FootnotesymbolCarZchn"/>
    <w:uiPriority w:val="99"/>
    <w:qFormat/>
    <w:rPr>
      <w:shd w:val="clear" w:color="auto" w:fill="auto"/>
      <w:vertAlign w:val="superscript"/>
    </w:rPr>
  </w:style>
  <w:style w:type="paragraph" w:customStyle="1" w:styleId="Text1">
    <w:name w:val="Text 1"/>
    <w:basedOn w:val="Normal"/>
    <w:pPr>
      <w:ind w:left="850"/>
    </w:pPr>
  </w:style>
  <w:style w:type="paragraph" w:customStyle="1" w:styleId="Text2">
    <w:name w:val="Text 2"/>
    <w:basedOn w:val="Normal"/>
    <w:pPr>
      <w:ind w:left="1417"/>
    </w:pPr>
  </w:style>
  <w:style w:type="paragraph" w:customStyle="1" w:styleId="Text3">
    <w:name w:val="Text 3"/>
    <w:basedOn w:val="Normal"/>
    <w:pPr>
      <w:ind w:left="1984"/>
    </w:pPr>
  </w:style>
  <w:style w:type="paragraph" w:customStyle="1" w:styleId="Text4">
    <w:name w:val="Text 4"/>
    <w:basedOn w:val="Normal"/>
    <w:pPr>
      <w:ind w:left="2551"/>
    </w:pPr>
  </w:style>
  <w:style w:type="paragraph" w:customStyle="1" w:styleId="NormalCentered">
    <w:name w:val="Normal Centered"/>
    <w:basedOn w:val="Normal"/>
    <w:pPr>
      <w:jc w:val="center"/>
    </w:pPr>
  </w:style>
  <w:style w:type="paragraph" w:customStyle="1" w:styleId="NormalLeft">
    <w:name w:val="Normal Left"/>
    <w:basedOn w:val="Normal"/>
    <w:pPr>
      <w:jc w:val="left"/>
    </w:pPr>
  </w:style>
  <w:style w:type="paragraph" w:customStyle="1" w:styleId="NormalRight">
    <w:name w:val="Normal Right"/>
    <w:basedOn w:val="Normal"/>
    <w:pPr>
      <w:jc w:val="right"/>
    </w:pPr>
  </w:style>
  <w:style w:type="paragraph" w:customStyle="1" w:styleId="QuotedText">
    <w:name w:val="Quoted Text"/>
    <w:basedOn w:val="Normal"/>
    <w:pPr>
      <w:ind w:left="1417"/>
    </w:pPr>
  </w:style>
  <w:style w:type="paragraph" w:customStyle="1" w:styleId="Point0">
    <w:name w:val="Point 0"/>
    <w:basedOn w:val="Normal"/>
    <w:pPr>
      <w:ind w:left="850" w:hanging="850"/>
    </w:pPr>
  </w:style>
  <w:style w:type="paragraph" w:customStyle="1" w:styleId="Point1">
    <w:name w:val="Point 1"/>
    <w:basedOn w:val="Normal"/>
    <w:pPr>
      <w:ind w:left="1417" w:hanging="567"/>
    </w:pPr>
  </w:style>
  <w:style w:type="paragraph" w:customStyle="1" w:styleId="Point2">
    <w:name w:val="Point 2"/>
    <w:basedOn w:val="Normal"/>
    <w:pPr>
      <w:ind w:left="1984" w:hanging="567"/>
    </w:pPr>
  </w:style>
  <w:style w:type="paragraph" w:customStyle="1" w:styleId="Point3">
    <w:name w:val="Point 3"/>
    <w:basedOn w:val="Normal"/>
    <w:pPr>
      <w:ind w:left="2551" w:hanging="567"/>
    </w:pPr>
  </w:style>
  <w:style w:type="paragraph" w:customStyle="1" w:styleId="Point4">
    <w:name w:val="Point 4"/>
    <w:basedOn w:val="Normal"/>
    <w:pPr>
      <w:ind w:left="3118" w:hanging="567"/>
    </w:pPr>
  </w:style>
  <w:style w:type="paragraph" w:customStyle="1" w:styleId="Tiret0">
    <w:name w:val="Tiret 0"/>
    <w:basedOn w:val="Point0"/>
    <w:pPr>
      <w:numPr>
        <w:numId w:val="1"/>
      </w:numPr>
    </w:pPr>
  </w:style>
  <w:style w:type="paragraph" w:customStyle="1" w:styleId="Tiret1">
    <w:name w:val="Tiret 1"/>
    <w:basedOn w:val="Point1"/>
    <w:pPr>
      <w:numPr>
        <w:numId w:val="2"/>
      </w:numPr>
    </w:pPr>
  </w:style>
  <w:style w:type="paragraph" w:customStyle="1" w:styleId="Tiret2">
    <w:name w:val="Tiret 2"/>
    <w:basedOn w:val="Point2"/>
    <w:pPr>
      <w:numPr>
        <w:numId w:val="3"/>
      </w:numPr>
    </w:pPr>
  </w:style>
  <w:style w:type="paragraph" w:customStyle="1" w:styleId="Tiret3">
    <w:name w:val="Tiret 3"/>
    <w:basedOn w:val="Point3"/>
    <w:pPr>
      <w:numPr>
        <w:numId w:val="4"/>
      </w:numPr>
    </w:pPr>
  </w:style>
  <w:style w:type="paragraph" w:customStyle="1" w:styleId="Tiret4">
    <w:name w:val="Tiret 4"/>
    <w:basedOn w:val="Point4"/>
    <w:pPr>
      <w:numPr>
        <w:numId w:val="5"/>
      </w:numPr>
    </w:pPr>
  </w:style>
  <w:style w:type="paragraph" w:customStyle="1" w:styleId="PointDouble0">
    <w:name w:val="PointDouble 0"/>
    <w:basedOn w:val="Normal"/>
    <w:pPr>
      <w:tabs>
        <w:tab w:val="left" w:pos="850"/>
      </w:tabs>
      <w:ind w:left="1417" w:hanging="1417"/>
    </w:pPr>
  </w:style>
  <w:style w:type="paragraph" w:customStyle="1" w:styleId="PointDouble1">
    <w:name w:val="PointDouble 1"/>
    <w:basedOn w:val="Normal"/>
    <w:pPr>
      <w:tabs>
        <w:tab w:val="left" w:pos="1417"/>
      </w:tabs>
      <w:ind w:left="1984" w:hanging="1134"/>
    </w:pPr>
  </w:style>
  <w:style w:type="paragraph" w:customStyle="1" w:styleId="PointDouble2">
    <w:name w:val="PointDouble 2"/>
    <w:basedOn w:val="Normal"/>
    <w:pPr>
      <w:tabs>
        <w:tab w:val="left" w:pos="1984"/>
      </w:tabs>
      <w:ind w:left="2551" w:hanging="1134"/>
    </w:pPr>
  </w:style>
  <w:style w:type="paragraph" w:customStyle="1" w:styleId="PointDouble3">
    <w:name w:val="PointDouble 3"/>
    <w:basedOn w:val="Normal"/>
    <w:pPr>
      <w:tabs>
        <w:tab w:val="left" w:pos="2551"/>
      </w:tabs>
      <w:ind w:left="3118" w:hanging="1134"/>
    </w:pPr>
  </w:style>
  <w:style w:type="paragraph" w:customStyle="1" w:styleId="PointDouble4">
    <w:name w:val="PointDouble 4"/>
    <w:basedOn w:val="Normal"/>
    <w:pPr>
      <w:tabs>
        <w:tab w:val="left" w:pos="3118"/>
      </w:tabs>
      <w:ind w:left="3685" w:hanging="1134"/>
    </w:pPr>
  </w:style>
  <w:style w:type="paragraph" w:customStyle="1" w:styleId="PointTriple0">
    <w:name w:val="PointTriple 0"/>
    <w:basedOn w:val="Normal"/>
    <w:pPr>
      <w:tabs>
        <w:tab w:val="left" w:pos="850"/>
        <w:tab w:val="left" w:pos="1417"/>
      </w:tabs>
      <w:ind w:left="1984" w:hanging="1984"/>
    </w:pPr>
  </w:style>
  <w:style w:type="paragraph" w:customStyle="1" w:styleId="PointTriple1">
    <w:name w:val="PointTriple 1"/>
    <w:basedOn w:val="Normal"/>
    <w:pPr>
      <w:tabs>
        <w:tab w:val="left" w:pos="1417"/>
        <w:tab w:val="left" w:pos="1984"/>
      </w:tabs>
      <w:ind w:left="2551" w:hanging="1701"/>
    </w:pPr>
  </w:style>
  <w:style w:type="paragraph" w:customStyle="1" w:styleId="PointTriple2">
    <w:name w:val="PointTriple 2"/>
    <w:basedOn w:val="Normal"/>
    <w:pPr>
      <w:tabs>
        <w:tab w:val="left" w:pos="1984"/>
        <w:tab w:val="left" w:pos="2551"/>
      </w:tabs>
      <w:ind w:left="3118" w:hanging="1701"/>
    </w:pPr>
  </w:style>
  <w:style w:type="paragraph" w:customStyle="1" w:styleId="PointTriple3">
    <w:name w:val="PointTriple 3"/>
    <w:basedOn w:val="Normal"/>
    <w:pPr>
      <w:tabs>
        <w:tab w:val="left" w:pos="2551"/>
        <w:tab w:val="left" w:pos="3118"/>
      </w:tabs>
      <w:ind w:left="3685" w:hanging="1701"/>
    </w:pPr>
  </w:style>
  <w:style w:type="paragraph" w:customStyle="1" w:styleId="PointTriple4">
    <w:name w:val="PointTriple 4"/>
    <w:basedOn w:val="Normal"/>
    <w:pPr>
      <w:tabs>
        <w:tab w:val="left" w:pos="3118"/>
        <w:tab w:val="left" w:pos="3685"/>
      </w:tabs>
      <w:ind w:left="4252" w:hanging="1701"/>
    </w:pPr>
  </w:style>
  <w:style w:type="paragraph" w:customStyle="1" w:styleId="NumPar1">
    <w:name w:val="NumPar 1"/>
    <w:basedOn w:val="Normal"/>
    <w:next w:val="Text1"/>
    <w:pPr>
      <w:numPr>
        <w:numId w:val="6"/>
      </w:numPr>
    </w:pPr>
  </w:style>
  <w:style w:type="paragraph" w:customStyle="1" w:styleId="NumPar2">
    <w:name w:val="NumPar 2"/>
    <w:basedOn w:val="Normal"/>
    <w:next w:val="Text1"/>
    <w:pPr>
      <w:numPr>
        <w:ilvl w:val="1"/>
        <w:numId w:val="6"/>
      </w:numPr>
    </w:pPr>
  </w:style>
  <w:style w:type="paragraph" w:customStyle="1" w:styleId="NumPar3">
    <w:name w:val="NumPar 3"/>
    <w:basedOn w:val="Normal"/>
    <w:next w:val="Text1"/>
    <w:pPr>
      <w:numPr>
        <w:ilvl w:val="2"/>
        <w:numId w:val="6"/>
      </w:numPr>
    </w:pPr>
  </w:style>
  <w:style w:type="paragraph" w:customStyle="1" w:styleId="NumPar4">
    <w:name w:val="NumPar 4"/>
    <w:basedOn w:val="Normal"/>
    <w:next w:val="Text1"/>
    <w:pPr>
      <w:numPr>
        <w:ilvl w:val="3"/>
        <w:numId w:val="6"/>
      </w:numPr>
    </w:pPr>
  </w:style>
  <w:style w:type="paragraph" w:customStyle="1" w:styleId="ManualNumPar1">
    <w:name w:val="Manual NumPar 1"/>
    <w:basedOn w:val="Normal"/>
    <w:next w:val="Text1"/>
    <w:pPr>
      <w:ind w:left="850" w:hanging="850"/>
    </w:pPr>
  </w:style>
  <w:style w:type="paragraph" w:customStyle="1" w:styleId="ManualNumPar2">
    <w:name w:val="Manual NumPar 2"/>
    <w:basedOn w:val="Normal"/>
    <w:next w:val="Text1"/>
    <w:pPr>
      <w:ind w:left="850" w:hanging="850"/>
    </w:pPr>
  </w:style>
  <w:style w:type="paragraph" w:customStyle="1" w:styleId="ManualNumPar3">
    <w:name w:val="Manual NumPar 3"/>
    <w:basedOn w:val="Normal"/>
    <w:next w:val="Text1"/>
    <w:pPr>
      <w:ind w:left="850" w:hanging="850"/>
    </w:pPr>
  </w:style>
  <w:style w:type="paragraph" w:customStyle="1" w:styleId="ManualNumPar4">
    <w:name w:val="Manual NumPar 4"/>
    <w:basedOn w:val="Normal"/>
    <w:next w:val="Text1"/>
    <w:pPr>
      <w:ind w:left="850" w:hanging="850"/>
    </w:pPr>
  </w:style>
  <w:style w:type="paragraph" w:customStyle="1" w:styleId="QuotedNumPar">
    <w:name w:val="Quoted NumPar"/>
    <w:basedOn w:val="Normal"/>
    <w:pPr>
      <w:ind w:left="1417" w:hanging="567"/>
    </w:pPr>
  </w:style>
  <w:style w:type="paragraph" w:customStyle="1" w:styleId="ManualHeading1">
    <w:name w:val="Manual Heading 1"/>
    <w:basedOn w:val="Normal"/>
    <w:next w:val="Text1"/>
    <w:pPr>
      <w:keepNext/>
      <w:tabs>
        <w:tab w:val="left" w:pos="850"/>
      </w:tabs>
      <w:spacing w:before="360"/>
      <w:ind w:left="850" w:hanging="850"/>
      <w:outlineLvl w:val="0"/>
    </w:pPr>
    <w:rPr>
      <w:b/>
      <w:smallCaps/>
    </w:rPr>
  </w:style>
  <w:style w:type="paragraph" w:customStyle="1" w:styleId="ManualHeading2">
    <w:name w:val="Manual Heading 2"/>
    <w:basedOn w:val="Normal"/>
    <w:next w:val="Text1"/>
    <w:pPr>
      <w:keepNext/>
      <w:tabs>
        <w:tab w:val="left" w:pos="850"/>
      </w:tabs>
      <w:ind w:left="850" w:hanging="850"/>
      <w:outlineLvl w:val="1"/>
    </w:pPr>
    <w:rPr>
      <w:b/>
    </w:rPr>
  </w:style>
  <w:style w:type="paragraph" w:customStyle="1" w:styleId="ManualHeading3">
    <w:name w:val="Manual Heading 3"/>
    <w:basedOn w:val="Normal"/>
    <w:next w:val="Text1"/>
    <w:pPr>
      <w:keepNext/>
      <w:tabs>
        <w:tab w:val="left" w:pos="850"/>
      </w:tabs>
      <w:ind w:left="850" w:hanging="850"/>
      <w:outlineLvl w:val="2"/>
    </w:pPr>
    <w:rPr>
      <w:i/>
    </w:rPr>
  </w:style>
  <w:style w:type="paragraph" w:customStyle="1" w:styleId="ManualHeading4">
    <w:name w:val="Manual Heading 4"/>
    <w:basedOn w:val="Normal"/>
    <w:next w:val="Text1"/>
    <w:pPr>
      <w:keepNext/>
      <w:tabs>
        <w:tab w:val="left" w:pos="850"/>
      </w:tabs>
      <w:ind w:left="850" w:hanging="850"/>
      <w:outlineLvl w:val="3"/>
    </w:pPr>
  </w:style>
  <w:style w:type="paragraph" w:customStyle="1" w:styleId="ChapterTitle">
    <w:name w:val="ChapterTitle"/>
    <w:basedOn w:val="Normal"/>
    <w:next w:val="Normal"/>
    <w:pPr>
      <w:keepNext/>
      <w:spacing w:after="360"/>
      <w:jc w:val="center"/>
    </w:pPr>
    <w:rPr>
      <w:b/>
      <w:sz w:val="32"/>
    </w:rPr>
  </w:style>
  <w:style w:type="paragraph" w:customStyle="1" w:styleId="PartTitle">
    <w:name w:val="PartTitle"/>
    <w:basedOn w:val="Normal"/>
    <w:next w:val="ChapterTitle"/>
    <w:pPr>
      <w:keepNext/>
      <w:pageBreakBefore/>
      <w:spacing w:after="360"/>
      <w:jc w:val="center"/>
    </w:pPr>
    <w:rPr>
      <w:b/>
      <w:sz w:val="36"/>
    </w:rPr>
  </w:style>
  <w:style w:type="paragraph" w:customStyle="1" w:styleId="SectionTitle">
    <w:name w:val="SectionTitle"/>
    <w:basedOn w:val="Normal"/>
    <w:next w:val="Heading1"/>
    <w:pPr>
      <w:keepNext/>
      <w:spacing w:after="360"/>
      <w:jc w:val="center"/>
    </w:pPr>
    <w:rPr>
      <w:b/>
      <w:smallCaps/>
      <w:sz w:val="28"/>
    </w:rPr>
  </w:style>
  <w:style w:type="paragraph" w:customStyle="1" w:styleId="TableTitle">
    <w:name w:val="Table Title"/>
    <w:basedOn w:val="Normal"/>
    <w:next w:val="Normal"/>
    <w:pPr>
      <w:jc w:val="center"/>
    </w:pPr>
    <w:rPr>
      <w:b/>
    </w:rPr>
  </w:style>
  <w:style w:type="character" w:customStyle="1" w:styleId="Marker">
    <w:name w:val="Marker"/>
    <w:basedOn w:val="DefaultParagraphFont"/>
    <w:rsid w:val="008B418B"/>
    <w:rPr>
      <w:color w:val="0000FF"/>
      <w:shd w:val="clear" w:color="auto" w:fill="auto"/>
    </w:rPr>
  </w:style>
  <w:style w:type="character" w:customStyle="1" w:styleId="Marker1">
    <w:name w:val="Marker1"/>
    <w:rPr>
      <w:color w:val="008000"/>
      <w:shd w:val="clear" w:color="auto" w:fill="auto"/>
    </w:rPr>
  </w:style>
  <w:style w:type="character" w:customStyle="1" w:styleId="Marker2">
    <w:name w:val="Marker2"/>
    <w:rPr>
      <w:color w:val="FF0000"/>
      <w:shd w:val="clear" w:color="auto" w:fill="auto"/>
    </w:rPr>
  </w:style>
  <w:style w:type="paragraph" w:customStyle="1" w:styleId="Nagwekspisutreci">
    <w:name w:val="Nagłówek spisu treści"/>
    <w:basedOn w:val="Normal"/>
    <w:next w:val="Normal"/>
    <w:uiPriority w:val="39"/>
    <w:qFormat/>
    <w:pPr>
      <w:spacing w:after="240"/>
      <w:jc w:val="center"/>
    </w:pPr>
    <w:rPr>
      <w:b/>
      <w:sz w:val="28"/>
    </w:rPr>
  </w:style>
  <w:style w:type="paragraph" w:customStyle="1" w:styleId="Point0number">
    <w:name w:val="Point 0 (number)"/>
    <w:basedOn w:val="Normal"/>
    <w:pPr>
      <w:numPr>
        <w:numId w:val="7"/>
      </w:numPr>
    </w:pPr>
  </w:style>
  <w:style w:type="paragraph" w:customStyle="1" w:styleId="Point1number">
    <w:name w:val="Point 1 (number)"/>
    <w:basedOn w:val="Normal"/>
    <w:pPr>
      <w:numPr>
        <w:ilvl w:val="2"/>
        <w:numId w:val="7"/>
      </w:numPr>
    </w:pPr>
  </w:style>
  <w:style w:type="paragraph" w:customStyle="1" w:styleId="Point2number">
    <w:name w:val="Point 2 (number)"/>
    <w:basedOn w:val="Normal"/>
    <w:pPr>
      <w:numPr>
        <w:ilvl w:val="4"/>
        <w:numId w:val="7"/>
      </w:numPr>
    </w:pPr>
  </w:style>
  <w:style w:type="paragraph" w:customStyle="1" w:styleId="Point3number">
    <w:name w:val="Point 3 (number)"/>
    <w:basedOn w:val="Normal"/>
    <w:pPr>
      <w:numPr>
        <w:ilvl w:val="6"/>
        <w:numId w:val="7"/>
      </w:numPr>
    </w:pPr>
  </w:style>
  <w:style w:type="paragraph" w:customStyle="1" w:styleId="Point0letter">
    <w:name w:val="Point 0 (letter)"/>
    <w:basedOn w:val="Normal"/>
    <w:pPr>
      <w:numPr>
        <w:ilvl w:val="1"/>
        <w:numId w:val="7"/>
      </w:numPr>
    </w:pPr>
  </w:style>
  <w:style w:type="paragraph" w:customStyle="1" w:styleId="Point1letter">
    <w:name w:val="Point 1 (letter)"/>
    <w:basedOn w:val="Normal"/>
    <w:pPr>
      <w:numPr>
        <w:ilvl w:val="3"/>
        <w:numId w:val="7"/>
      </w:numPr>
    </w:pPr>
  </w:style>
  <w:style w:type="paragraph" w:customStyle="1" w:styleId="Point2letter">
    <w:name w:val="Point 2 (letter)"/>
    <w:basedOn w:val="Normal"/>
    <w:pPr>
      <w:numPr>
        <w:ilvl w:val="5"/>
        <w:numId w:val="7"/>
      </w:numPr>
    </w:pPr>
  </w:style>
  <w:style w:type="paragraph" w:customStyle="1" w:styleId="Point3letter">
    <w:name w:val="Point 3 (letter)"/>
    <w:basedOn w:val="Normal"/>
    <w:pPr>
      <w:numPr>
        <w:ilvl w:val="7"/>
        <w:numId w:val="7"/>
      </w:numPr>
    </w:pPr>
  </w:style>
  <w:style w:type="paragraph" w:customStyle="1" w:styleId="Point4letter">
    <w:name w:val="Point 4 (letter)"/>
    <w:basedOn w:val="Normal"/>
    <w:pPr>
      <w:numPr>
        <w:ilvl w:val="8"/>
        <w:numId w:val="7"/>
      </w:numPr>
    </w:pPr>
  </w:style>
  <w:style w:type="paragraph" w:customStyle="1" w:styleId="Bullet0">
    <w:name w:val="Bullet 0"/>
    <w:basedOn w:val="Normal"/>
    <w:pPr>
      <w:numPr>
        <w:numId w:val="8"/>
      </w:numPr>
    </w:pPr>
  </w:style>
  <w:style w:type="paragraph" w:customStyle="1" w:styleId="Bullet1">
    <w:name w:val="Bullet 1"/>
    <w:basedOn w:val="Normal"/>
    <w:pPr>
      <w:numPr>
        <w:numId w:val="9"/>
      </w:numPr>
    </w:pPr>
  </w:style>
  <w:style w:type="paragraph" w:customStyle="1" w:styleId="Bullet2">
    <w:name w:val="Bullet 2"/>
    <w:basedOn w:val="Normal"/>
    <w:pPr>
      <w:numPr>
        <w:numId w:val="10"/>
      </w:numPr>
    </w:pPr>
  </w:style>
  <w:style w:type="paragraph" w:customStyle="1" w:styleId="Bullet3">
    <w:name w:val="Bullet 3"/>
    <w:basedOn w:val="Normal"/>
    <w:pPr>
      <w:numPr>
        <w:numId w:val="11"/>
      </w:numPr>
    </w:pPr>
  </w:style>
  <w:style w:type="paragraph" w:customStyle="1" w:styleId="Bullet4">
    <w:name w:val="Bullet 4"/>
    <w:basedOn w:val="Normal"/>
    <w:pPr>
      <w:numPr>
        <w:numId w:val="12"/>
      </w:numPr>
    </w:pPr>
  </w:style>
  <w:style w:type="paragraph" w:customStyle="1" w:styleId="Annexetitreexpos">
    <w:name w:val="Annexe titre (exposé)"/>
    <w:basedOn w:val="Normal"/>
    <w:next w:val="Normal"/>
    <w:pPr>
      <w:jc w:val="center"/>
    </w:pPr>
    <w:rPr>
      <w:b/>
      <w:u w:val="single"/>
    </w:rPr>
  </w:style>
  <w:style w:type="paragraph" w:customStyle="1" w:styleId="Annexetitre">
    <w:name w:val="Annexe titre"/>
    <w:basedOn w:val="Normal"/>
    <w:next w:val="Normal"/>
    <w:pPr>
      <w:jc w:val="center"/>
    </w:pPr>
    <w:rPr>
      <w:b/>
      <w:u w:val="single"/>
    </w:rPr>
  </w:style>
  <w:style w:type="paragraph" w:customStyle="1" w:styleId="Annexetitrefichefinancire">
    <w:name w:val="Annexe titre (fiche financière)"/>
    <w:basedOn w:val="Normal"/>
    <w:next w:val="Normal"/>
    <w:pPr>
      <w:jc w:val="center"/>
    </w:pPr>
    <w:rPr>
      <w:b/>
      <w:u w:val="single"/>
    </w:rPr>
  </w:style>
  <w:style w:type="paragraph" w:customStyle="1" w:styleId="Applicationdirecte">
    <w:name w:val="Application directe"/>
    <w:basedOn w:val="Normal"/>
    <w:next w:val="Fait"/>
    <w:pPr>
      <w:spacing w:before="480"/>
    </w:pPr>
  </w:style>
  <w:style w:type="paragraph" w:customStyle="1" w:styleId="Avertissementtitre">
    <w:name w:val="Avertissement titre"/>
    <w:basedOn w:val="Normal"/>
    <w:next w:val="Normal"/>
    <w:pPr>
      <w:keepNext/>
      <w:spacing w:before="480"/>
    </w:pPr>
    <w:rPr>
      <w:u w:val="single"/>
    </w:rPr>
  </w:style>
  <w:style w:type="paragraph" w:customStyle="1" w:styleId="Confidence">
    <w:name w:val="Confidence"/>
    <w:basedOn w:val="Normal"/>
    <w:next w:val="Normal"/>
    <w:pPr>
      <w:spacing w:before="360"/>
      <w:jc w:val="center"/>
    </w:pPr>
  </w:style>
  <w:style w:type="paragraph" w:customStyle="1" w:styleId="Confidentialit">
    <w:name w:val="Confidentialité"/>
    <w:basedOn w:val="Normal"/>
    <w:next w:val="TypedudocumentPagedecouverture"/>
    <w:pPr>
      <w:spacing w:before="240" w:after="240"/>
      <w:ind w:left="5103"/>
    </w:pPr>
    <w:rPr>
      <w:i/>
      <w:sz w:val="32"/>
    </w:rPr>
  </w:style>
  <w:style w:type="paragraph" w:customStyle="1" w:styleId="Considrant">
    <w:name w:val="Considérant"/>
    <w:basedOn w:val="Normal"/>
    <w:pPr>
      <w:numPr>
        <w:numId w:val="13"/>
      </w:numPr>
    </w:pPr>
  </w:style>
  <w:style w:type="paragraph" w:customStyle="1" w:styleId="Corrigendum">
    <w:name w:val="Corrigendum"/>
    <w:basedOn w:val="Normal"/>
    <w:next w:val="Normal"/>
    <w:pPr>
      <w:spacing w:before="0" w:after="240"/>
      <w:jc w:val="left"/>
    </w:pPr>
  </w:style>
  <w:style w:type="paragraph" w:customStyle="1" w:styleId="Datedadoption">
    <w:name w:val="Date d'adoption"/>
    <w:basedOn w:val="Normal"/>
    <w:next w:val="Titreobjet"/>
    <w:pPr>
      <w:spacing w:before="360" w:after="0"/>
      <w:jc w:val="center"/>
    </w:pPr>
    <w:rPr>
      <w:b/>
    </w:rPr>
  </w:style>
  <w:style w:type="paragraph" w:customStyle="1" w:styleId="Emission">
    <w:name w:val="Emission"/>
    <w:basedOn w:val="Normal"/>
    <w:next w:val="Rfrenceinstitutionnelle"/>
    <w:pPr>
      <w:spacing w:before="0" w:after="0"/>
      <w:ind w:left="5103"/>
      <w:jc w:val="left"/>
    </w:pPr>
  </w:style>
  <w:style w:type="paragraph" w:customStyle="1" w:styleId="Exposdesmotifstitre">
    <w:name w:val="Exposé des motifs titre"/>
    <w:basedOn w:val="Normal"/>
    <w:next w:val="Normal"/>
    <w:pPr>
      <w:jc w:val="center"/>
    </w:pPr>
    <w:rPr>
      <w:b/>
      <w:u w:val="single"/>
    </w:rPr>
  </w:style>
  <w:style w:type="paragraph" w:customStyle="1" w:styleId="Fait">
    <w:name w:val="Fait à"/>
    <w:basedOn w:val="Normal"/>
    <w:next w:val="Institutionquisigne"/>
    <w:pPr>
      <w:keepNext/>
      <w:spacing w:after="0"/>
    </w:pPr>
  </w:style>
  <w:style w:type="paragraph" w:customStyle="1" w:styleId="Formuledadoption">
    <w:name w:val="Formule d'adoption"/>
    <w:basedOn w:val="Normal"/>
    <w:next w:val="Titrearticle"/>
    <w:pPr>
      <w:keepNext/>
    </w:pPr>
  </w:style>
  <w:style w:type="paragraph" w:customStyle="1" w:styleId="Institutionquiagit">
    <w:name w:val="Institution qui agit"/>
    <w:basedOn w:val="Normal"/>
    <w:next w:val="Normal"/>
    <w:pPr>
      <w:keepNext/>
      <w:spacing w:before="600"/>
    </w:pPr>
  </w:style>
  <w:style w:type="paragraph" w:customStyle="1" w:styleId="Institutionquisigne">
    <w:name w:val="Institution qui signe"/>
    <w:basedOn w:val="Normal"/>
    <w:next w:val="Personnequisigne"/>
    <w:pPr>
      <w:keepNext/>
      <w:tabs>
        <w:tab w:val="left" w:pos="4252"/>
      </w:tabs>
      <w:spacing w:before="720" w:after="0"/>
    </w:pPr>
    <w:rPr>
      <w:i/>
    </w:rPr>
  </w:style>
  <w:style w:type="paragraph" w:customStyle="1" w:styleId="Langue">
    <w:name w:val="Langue"/>
    <w:basedOn w:val="Normal"/>
    <w:next w:val="Rfrenceinterne"/>
    <w:pPr>
      <w:framePr w:wrap="around" w:vAnchor="page" w:hAnchor="text" w:xAlign="center" w:y="14741"/>
      <w:spacing w:before="0" w:after="600"/>
      <w:jc w:val="center"/>
    </w:pPr>
    <w:rPr>
      <w:b/>
      <w:caps/>
    </w:rPr>
  </w:style>
  <w:style w:type="paragraph" w:customStyle="1" w:styleId="ManualConsidrant">
    <w:name w:val="Manual Considérant"/>
    <w:basedOn w:val="Normal"/>
    <w:pPr>
      <w:ind w:left="709" w:hanging="709"/>
    </w:pPr>
  </w:style>
  <w:style w:type="paragraph" w:customStyle="1" w:styleId="Nomdelinstitution">
    <w:name w:val="Nom de l'institution"/>
    <w:basedOn w:val="Normal"/>
    <w:next w:val="Emission"/>
    <w:pPr>
      <w:spacing w:before="0" w:after="0"/>
      <w:jc w:val="left"/>
    </w:pPr>
    <w:rPr>
      <w:rFonts w:ascii="Arial" w:hAnsi="Arial" w:cs="Arial"/>
    </w:rPr>
  </w:style>
  <w:style w:type="paragraph" w:customStyle="1" w:styleId="Personnequisigne">
    <w:name w:val="Personne qui signe"/>
    <w:basedOn w:val="Normal"/>
    <w:next w:val="Institutionquisigne"/>
    <w:pPr>
      <w:tabs>
        <w:tab w:val="left" w:pos="4252"/>
      </w:tabs>
      <w:spacing w:before="0" w:after="0"/>
      <w:jc w:val="left"/>
    </w:pPr>
    <w:rPr>
      <w:i/>
    </w:rPr>
  </w:style>
  <w:style w:type="paragraph" w:customStyle="1" w:styleId="Rfrenceinstitutionnelle">
    <w:name w:val="Référence institutionnelle"/>
    <w:basedOn w:val="Normal"/>
    <w:next w:val="Confidentialit"/>
    <w:pPr>
      <w:spacing w:before="0" w:after="240"/>
      <w:ind w:left="5103"/>
      <w:jc w:val="left"/>
    </w:pPr>
  </w:style>
  <w:style w:type="paragraph" w:customStyle="1" w:styleId="Rfrenceinterinstitutionnelle">
    <w:name w:val="Référence interinstitutionnelle"/>
    <w:basedOn w:val="Normal"/>
    <w:next w:val="Statut"/>
    <w:pPr>
      <w:spacing w:before="0" w:after="0"/>
      <w:ind w:left="5103"/>
      <w:jc w:val="left"/>
    </w:pPr>
  </w:style>
  <w:style w:type="paragraph" w:customStyle="1" w:styleId="Rfrenceinterne">
    <w:name w:val="Référence interne"/>
    <w:basedOn w:val="Normal"/>
    <w:next w:val="Rfrenceinterinstitutionnelle"/>
    <w:pPr>
      <w:spacing w:before="0" w:after="0"/>
      <w:ind w:left="5103"/>
      <w:jc w:val="left"/>
    </w:pPr>
  </w:style>
  <w:style w:type="paragraph" w:customStyle="1" w:styleId="Sous-titreobjet">
    <w:name w:val="Sous-titre objet"/>
    <w:basedOn w:val="Normal"/>
    <w:pPr>
      <w:spacing w:before="0" w:after="0"/>
      <w:jc w:val="center"/>
    </w:pPr>
    <w:rPr>
      <w:b/>
    </w:rPr>
  </w:style>
  <w:style w:type="paragraph" w:customStyle="1" w:styleId="Statut">
    <w:name w:val="Statut"/>
    <w:basedOn w:val="Normal"/>
    <w:next w:val="Typedudocument"/>
    <w:pPr>
      <w:spacing w:before="360" w:after="0"/>
      <w:jc w:val="center"/>
    </w:pPr>
  </w:style>
  <w:style w:type="paragraph" w:customStyle="1" w:styleId="Titrearticle">
    <w:name w:val="Titre article"/>
    <w:basedOn w:val="Normal"/>
    <w:next w:val="Normal"/>
    <w:pPr>
      <w:keepNext/>
      <w:spacing w:before="360"/>
      <w:jc w:val="center"/>
    </w:pPr>
    <w:rPr>
      <w:i/>
    </w:rPr>
  </w:style>
  <w:style w:type="paragraph" w:customStyle="1" w:styleId="Titreobjet">
    <w:name w:val="Titre objet"/>
    <w:basedOn w:val="Normal"/>
    <w:next w:val="Sous-titreobjet"/>
    <w:pPr>
      <w:spacing w:before="360" w:after="360"/>
      <w:jc w:val="center"/>
    </w:pPr>
    <w:rPr>
      <w:b/>
    </w:rPr>
  </w:style>
  <w:style w:type="paragraph" w:customStyle="1" w:styleId="Typedudocument">
    <w:name w:val="Type du document"/>
    <w:basedOn w:val="Normal"/>
    <w:next w:val="Titreobjet"/>
    <w:link w:val="TypedudocumentChar"/>
    <w:pPr>
      <w:spacing w:before="360" w:after="0"/>
      <w:jc w:val="center"/>
    </w:pPr>
    <w:rPr>
      <w:b/>
    </w:rPr>
  </w:style>
  <w:style w:type="character" w:customStyle="1" w:styleId="Added">
    <w:name w:val="Added"/>
    <w:rPr>
      <w:b/>
      <w:u w:val="single"/>
      <w:shd w:val="clear" w:color="auto" w:fill="auto"/>
    </w:rPr>
  </w:style>
  <w:style w:type="character" w:customStyle="1" w:styleId="Deleted">
    <w:name w:val="Deleted"/>
    <w:rPr>
      <w:strike/>
      <w:shd w:val="clear" w:color="auto" w:fill="auto"/>
    </w:rPr>
  </w:style>
  <w:style w:type="paragraph" w:customStyle="1" w:styleId="Address">
    <w:name w:val="Address"/>
    <w:basedOn w:val="Normal"/>
    <w:next w:val="Normal"/>
    <w:pPr>
      <w:keepLines/>
      <w:spacing w:line="360" w:lineRule="auto"/>
      <w:ind w:left="3402"/>
      <w:jc w:val="left"/>
    </w:pPr>
  </w:style>
  <w:style w:type="paragraph" w:customStyle="1" w:styleId="Objetexterne">
    <w:name w:val="Objet externe"/>
    <w:basedOn w:val="Normal"/>
    <w:next w:val="Normal"/>
    <w:rPr>
      <w:i/>
      <w:caps/>
    </w:rPr>
  </w:style>
  <w:style w:type="paragraph" w:customStyle="1" w:styleId="Pagedecouverture">
    <w:name w:val="Page de couverture"/>
    <w:basedOn w:val="Normal"/>
    <w:next w:val="Normal"/>
    <w:pPr>
      <w:spacing w:before="0" w:after="0"/>
    </w:pPr>
  </w:style>
  <w:style w:type="paragraph" w:customStyle="1" w:styleId="Supertitre">
    <w:name w:val="Supertitre"/>
    <w:basedOn w:val="Normal"/>
    <w:next w:val="Normal"/>
    <w:pPr>
      <w:spacing w:before="0" w:after="600"/>
      <w:jc w:val="center"/>
    </w:pPr>
    <w:rPr>
      <w:b/>
    </w:rPr>
  </w:style>
  <w:style w:type="paragraph" w:customStyle="1" w:styleId="Languesfaisantfoi">
    <w:name w:val="Langues faisant foi"/>
    <w:basedOn w:val="Normal"/>
    <w:next w:val="Normal"/>
    <w:pPr>
      <w:spacing w:before="360" w:after="0"/>
      <w:jc w:val="center"/>
    </w:pPr>
  </w:style>
  <w:style w:type="paragraph" w:customStyle="1" w:styleId="Rfrencecroise">
    <w:name w:val="Référence croisée"/>
    <w:basedOn w:val="Normal"/>
    <w:pPr>
      <w:spacing w:before="0" w:after="0"/>
      <w:jc w:val="center"/>
    </w:pPr>
  </w:style>
  <w:style w:type="paragraph" w:customStyle="1" w:styleId="Fichefinanciretitre">
    <w:name w:val="Fiche financière titre"/>
    <w:basedOn w:val="Normal"/>
    <w:next w:val="Normal"/>
    <w:pPr>
      <w:jc w:val="center"/>
    </w:pPr>
    <w:rPr>
      <w:b/>
      <w:u w:val="single"/>
    </w:rPr>
  </w:style>
  <w:style w:type="paragraph" w:customStyle="1" w:styleId="DatedadoptionPagedecouverture">
    <w:name w:val="Date d'adoption (Page de couverture)"/>
    <w:basedOn w:val="Datedadoption"/>
    <w:next w:val="TitreobjetPagedecouverture"/>
  </w:style>
  <w:style w:type="paragraph" w:customStyle="1" w:styleId="RfrenceinterinstitutionnellePagedecouverture">
    <w:name w:val="Référence interinstitutionnelle (Page de couverture)"/>
    <w:basedOn w:val="Rfrenceinterinstitutionnelle"/>
    <w:next w:val="Confidentialit"/>
  </w:style>
  <w:style w:type="paragraph" w:customStyle="1" w:styleId="Sous-titreobjetPagedecouverture">
    <w:name w:val="Sous-titre objet (Page de couverture)"/>
    <w:basedOn w:val="Sous-titreobjet"/>
  </w:style>
  <w:style w:type="paragraph" w:customStyle="1" w:styleId="StatutPagedecouverture">
    <w:name w:val="Statut (Page de couverture)"/>
    <w:basedOn w:val="Statut"/>
    <w:next w:val="TypedudocumentPagedecouverture"/>
  </w:style>
  <w:style w:type="paragraph" w:customStyle="1" w:styleId="TitreobjetPagedecouverture">
    <w:name w:val="Titre objet (Page de couverture)"/>
    <w:basedOn w:val="Titreobjet"/>
    <w:next w:val="Sous-titreobjetPagedecouverture"/>
  </w:style>
  <w:style w:type="paragraph" w:customStyle="1" w:styleId="TypedudocumentPagedecouverture">
    <w:name w:val="Type du document (Page de couverture)"/>
    <w:basedOn w:val="Typedudocument"/>
    <w:next w:val="TitreobjetPagedecouverture"/>
  </w:style>
  <w:style w:type="paragraph" w:customStyle="1" w:styleId="Volume">
    <w:name w:val="Volume"/>
    <w:basedOn w:val="Normal"/>
    <w:next w:val="Confidentialit"/>
    <w:pPr>
      <w:spacing w:before="0" w:after="240"/>
      <w:ind w:left="5103"/>
      <w:jc w:val="left"/>
    </w:pPr>
  </w:style>
  <w:style w:type="paragraph" w:customStyle="1" w:styleId="IntrtEEE">
    <w:name w:val="Intérêt EEE"/>
    <w:basedOn w:val="Languesfaisantfoi"/>
    <w:next w:val="Normal"/>
    <w:pPr>
      <w:spacing w:after="240"/>
    </w:pPr>
  </w:style>
  <w:style w:type="paragraph" w:customStyle="1" w:styleId="Accompagnant">
    <w:name w:val="Accompagnant"/>
    <w:basedOn w:val="Normal"/>
    <w:next w:val="Typeacteprincipal"/>
    <w:pPr>
      <w:spacing w:before="0" w:after="240"/>
      <w:jc w:val="center"/>
    </w:pPr>
    <w:rPr>
      <w:b/>
      <w:i/>
    </w:rPr>
  </w:style>
  <w:style w:type="paragraph" w:customStyle="1" w:styleId="Typeacteprincipal">
    <w:name w:val="Type acte principal"/>
    <w:basedOn w:val="Normal"/>
    <w:next w:val="Objetacteprincipal"/>
    <w:pPr>
      <w:spacing w:before="0" w:after="240"/>
      <w:jc w:val="center"/>
    </w:pPr>
    <w:rPr>
      <w:b/>
    </w:rPr>
  </w:style>
  <w:style w:type="paragraph" w:customStyle="1" w:styleId="Objetacteprincipal">
    <w:name w:val="Objet acte principal"/>
    <w:basedOn w:val="Normal"/>
    <w:next w:val="Titrearticle"/>
    <w:pPr>
      <w:spacing w:before="0" w:after="360"/>
      <w:jc w:val="center"/>
    </w:pPr>
    <w:rPr>
      <w:b/>
    </w:rPr>
  </w:style>
  <w:style w:type="paragraph" w:customStyle="1" w:styleId="IntrtEEEPagedecouverture">
    <w:name w:val="Intérêt EEE (Page de couverture)"/>
    <w:basedOn w:val="IntrtEEE"/>
    <w:next w:val="Rfrencecroise"/>
  </w:style>
  <w:style w:type="paragraph" w:customStyle="1" w:styleId="AccompagnantPagedecouverture">
    <w:name w:val="Accompagnant (Page de couverture)"/>
    <w:basedOn w:val="Accompagnant"/>
    <w:next w:val="TypeacteprincipalPagedecouverture"/>
  </w:style>
  <w:style w:type="paragraph" w:customStyle="1" w:styleId="TypeacteprincipalPagedecouverture">
    <w:name w:val="Type acte principal (Page de couverture)"/>
    <w:basedOn w:val="Typeacteprincipal"/>
    <w:next w:val="ObjetacteprincipalPagedecouverture"/>
  </w:style>
  <w:style w:type="paragraph" w:customStyle="1" w:styleId="ObjetacteprincipalPagedecouverture">
    <w:name w:val="Objet acte principal (Page de couverture)"/>
    <w:basedOn w:val="Objetacteprincipal"/>
    <w:next w:val="Rfrencecroise"/>
  </w:style>
  <w:style w:type="paragraph" w:customStyle="1" w:styleId="LanguesfaisantfoiPagedecouverture">
    <w:name w:val="Langues faisant foi (Page de couverture)"/>
    <w:basedOn w:val="Normal"/>
    <w:next w:val="Normal"/>
    <w:pPr>
      <w:spacing w:before="360" w:after="0"/>
      <w:jc w:val="center"/>
    </w:pPr>
  </w:style>
  <w:style w:type="character" w:styleId="Hyperlink">
    <w:name w:val="Hyperlink"/>
    <w:aliases w:val=" Char1"/>
    <w:uiPriority w:val="99"/>
    <w:rPr>
      <w:color w:val="0000FF"/>
      <w:u w:val="single"/>
    </w:rPr>
  </w:style>
  <w:style w:type="paragraph" w:styleId="ListBullet">
    <w:name w:val="List Bullet"/>
    <w:basedOn w:val="Normal"/>
    <w:uiPriority w:val="99"/>
    <w:pPr>
      <w:tabs>
        <w:tab w:val="num" w:pos="850"/>
        <w:tab w:val="num" w:pos="1984"/>
      </w:tabs>
      <w:ind w:left="360" w:hanging="360"/>
      <w:contextualSpacing/>
    </w:pPr>
  </w:style>
  <w:style w:type="paragraph" w:styleId="ListBullet2">
    <w:name w:val="List Bullet 2"/>
    <w:basedOn w:val="Normal"/>
    <w:link w:val="ListBullet2Char"/>
    <w:pPr>
      <w:tabs>
        <w:tab w:val="num" w:pos="643"/>
        <w:tab w:val="num" w:pos="850"/>
        <w:tab w:val="num" w:pos="2551"/>
      </w:tabs>
      <w:ind w:left="643" w:hanging="360"/>
      <w:contextualSpacing/>
    </w:pPr>
  </w:style>
  <w:style w:type="paragraph" w:styleId="ListBullet3">
    <w:name w:val="List Bullet 3"/>
    <w:basedOn w:val="Normal"/>
    <w:uiPriority w:val="29"/>
    <w:pPr>
      <w:tabs>
        <w:tab w:val="num" w:pos="850"/>
        <w:tab w:val="num" w:pos="926"/>
        <w:tab w:val="num" w:pos="3118"/>
      </w:tabs>
      <w:ind w:left="926" w:hanging="360"/>
      <w:contextualSpacing/>
    </w:pPr>
  </w:style>
  <w:style w:type="paragraph" w:styleId="ListBullet4">
    <w:name w:val="List Bullet 4"/>
    <w:basedOn w:val="Normal"/>
    <w:uiPriority w:val="29"/>
    <w:pPr>
      <w:tabs>
        <w:tab w:val="num" w:pos="709"/>
        <w:tab w:val="num" w:pos="1209"/>
        <w:tab w:val="num" w:pos="1417"/>
      </w:tabs>
      <w:ind w:left="1209" w:hanging="360"/>
      <w:contextualSpacing/>
    </w:pPr>
  </w:style>
  <w:style w:type="table" w:styleId="Table3Deffects1">
    <w:name w:val="Table 3D effects 1"/>
    <w:basedOn w:val="TableNormal"/>
    <w:uiPriority w:val="99"/>
    <w:rPr>
      <w:rFonts w:ascii="Verdana" w:eastAsia="Times New Roman" w:hAnsi="Verdana"/>
      <w:color w:val="333333"/>
    </w:rPr>
    <w:tblPr>
      <w:tblCellSpacing w:w="14" w:type="dxa"/>
    </w:tblPr>
    <w:trPr>
      <w:tblCellSpacing w:w="14" w:type="dxa"/>
    </w:tr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character" w:styleId="CommentReference">
    <w:name w:val="annotation reference"/>
    <w:uiPriority w:val="99"/>
    <w:rPr>
      <w:sz w:val="16"/>
    </w:rPr>
  </w:style>
  <w:style w:type="paragraph" w:styleId="CommentText">
    <w:name w:val="annotation text"/>
    <w:basedOn w:val="Normal"/>
    <w:link w:val="CommentTextChar"/>
    <w:uiPriority w:val="99"/>
    <w:pPr>
      <w:spacing w:before="0" w:after="0"/>
    </w:pPr>
    <w:rPr>
      <w:rFonts w:ascii="Verdana" w:hAnsi="Verdana"/>
      <w:color w:val="333333"/>
      <w:sz w:val="20"/>
      <w:szCs w:val="20"/>
      <w:lang w:eastAsia="en-GB"/>
    </w:rPr>
  </w:style>
  <w:style w:type="character" w:customStyle="1" w:styleId="CommentTextChar">
    <w:name w:val="Comment Text Char"/>
    <w:link w:val="CommentText"/>
    <w:uiPriority w:val="99"/>
    <w:rPr>
      <w:rFonts w:ascii="Verdana" w:eastAsia="Times New Roman" w:hAnsi="Verdana" w:cs="Times New Roman"/>
      <w:color w:val="333333"/>
      <w:sz w:val="20"/>
      <w:szCs w:val="20"/>
      <w:lang w:eastAsia="en-GB"/>
    </w:rPr>
  </w:style>
  <w:style w:type="paragraph" w:styleId="BalloonText">
    <w:name w:val="Balloon Text"/>
    <w:basedOn w:val="Normal"/>
    <w:link w:val="BalloonTextChar"/>
    <w:uiPriority w:val="99"/>
    <w:pPr>
      <w:spacing w:before="0" w:after="0"/>
    </w:pPr>
    <w:rPr>
      <w:rFonts w:ascii="Tahoma" w:hAnsi="Tahoma" w:cs="Tahoma"/>
      <w:sz w:val="16"/>
      <w:szCs w:val="16"/>
    </w:rPr>
  </w:style>
  <w:style w:type="character" w:customStyle="1" w:styleId="BalloonTextChar">
    <w:name w:val="Balloon Text Char"/>
    <w:link w:val="BalloonText"/>
    <w:uiPriority w:val="99"/>
    <w:rPr>
      <w:rFonts w:ascii="Tahoma" w:eastAsia="Times New Roman" w:hAnsi="Tahoma" w:cs="Tahoma"/>
      <w:sz w:val="16"/>
      <w:szCs w:val="16"/>
    </w:rPr>
  </w:style>
  <w:style w:type="character" w:customStyle="1" w:styleId="Wyrnienieintensywne">
    <w:name w:val="Wyróżnienie intensywne"/>
    <w:uiPriority w:val="21"/>
    <w:qFormat/>
    <w:rPr>
      <w:b/>
      <w:i/>
      <w:color w:val="4F81BD"/>
    </w:rPr>
  </w:style>
  <w:style w:type="paragraph" w:styleId="BodyText">
    <w:name w:val="Body Text"/>
    <w:aliases w:val="F2 Body Text,F4 Main Text,Document,Doc,Body Text2,doc,Standard paragraph,Text,1body,BodText,bt,body text,Body Txt,Body Text-10,Τίτλος Μελέτης,- TF,BodyText,(Norm),Body Text 12,gl,uvlaka 2,heading3,Body Text - Level 2,Text Char1,b...,-, (Norm)"/>
    <w:basedOn w:val="Normal"/>
    <w:link w:val="BodyTextChar"/>
    <w:uiPriority w:val="1"/>
    <w:qFormat/>
    <w:pPr>
      <w:spacing w:before="0"/>
    </w:pPr>
    <w:rPr>
      <w:rFonts w:ascii="Verdana" w:hAnsi="Verdana"/>
      <w:color w:val="333333"/>
      <w:sz w:val="20"/>
      <w:lang w:eastAsia="en-GB"/>
    </w:rPr>
  </w:style>
  <w:style w:type="character" w:customStyle="1" w:styleId="BodyTextChar">
    <w:name w:val="Body Text Char"/>
    <w:aliases w:val="F2 Body Text Char,F4 Main Text Char,Document Char,Doc Char,Body Text2 Char,doc Char,Standard paragraph Char,Text Char,1body Char,BodText Char,bt Char,body text Char,Body Txt Char,Body Text-10 Char,Τίτλος Μελέτης Char,- TF Char,(Norm) Char"/>
    <w:link w:val="BodyText"/>
    <w:uiPriority w:val="1"/>
    <w:rPr>
      <w:rFonts w:ascii="Verdana" w:eastAsia="Times New Roman" w:hAnsi="Verdana" w:cs="Times New Roman"/>
      <w:color w:val="333333"/>
      <w:sz w:val="20"/>
      <w:szCs w:val="24"/>
      <w:lang w:eastAsia="en-GB"/>
    </w:rPr>
  </w:style>
  <w:style w:type="paragraph" w:customStyle="1" w:styleId="astandard3520normal">
    <w:name w:val="a_standard__35__20_normal"/>
    <w:basedOn w:val="Normal"/>
    <w:pPr>
      <w:spacing w:before="0"/>
      <w:ind w:right="57"/>
    </w:pPr>
    <w:rPr>
      <w:lang w:eastAsia="en-GB"/>
    </w:rPr>
  </w:style>
  <w:style w:type="paragraph" w:customStyle="1" w:styleId="5Normal">
    <w:name w:val="5 Normal"/>
    <w:link w:val="5NormalChar"/>
    <w:pPr>
      <w:tabs>
        <w:tab w:val="left" w:pos="284"/>
        <w:tab w:val="left" w:pos="567"/>
        <w:tab w:val="left" w:pos="851"/>
        <w:tab w:val="left" w:pos="1134"/>
        <w:tab w:val="left" w:pos="1418"/>
        <w:tab w:val="left" w:pos="1701"/>
        <w:tab w:val="left" w:pos="1985"/>
        <w:tab w:val="left" w:pos="2268"/>
        <w:tab w:val="left" w:pos="2552"/>
        <w:tab w:val="left" w:pos="3119"/>
        <w:tab w:val="left" w:pos="4253"/>
        <w:tab w:val="left" w:pos="5954"/>
        <w:tab w:val="left" w:pos="8222"/>
        <w:tab w:val="right" w:pos="11057"/>
      </w:tabs>
      <w:suppressAutoHyphens/>
      <w:spacing w:after="120"/>
      <w:jc w:val="both"/>
    </w:pPr>
    <w:rPr>
      <w:rFonts w:ascii="Arial" w:eastAsia="Times New Roman" w:hAnsi="Arial"/>
      <w:spacing w:val="-2"/>
      <w:sz w:val="22"/>
    </w:rPr>
  </w:style>
  <w:style w:type="paragraph" w:styleId="CommentSubject">
    <w:name w:val="annotation subject"/>
    <w:basedOn w:val="CommentText"/>
    <w:next w:val="CommentText"/>
    <w:link w:val="CommentSubjectChar"/>
    <w:uiPriority w:val="99"/>
    <w:pPr>
      <w:spacing w:before="120" w:after="120"/>
    </w:pPr>
    <w:rPr>
      <w:rFonts w:ascii="Times New Roman" w:hAnsi="Times New Roman"/>
      <w:b/>
      <w:bCs/>
      <w:color w:val="auto"/>
      <w:lang w:eastAsia="en-US"/>
    </w:rPr>
  </w:style>
  <w:style w:type="character" w:customStyle="1" w:styleId="CommentSubjectChar">
    <w:name w:val="Comment Subject Char"/>
    <w:link w:val="CommentSubject"/>
    <w:uiPriority w:val="99"/>
    <w:rPr>
      <w:rFonts w:ascii="Times New Roman" w:eastAsia="Times New Roman" w:hAnsi="Times New Roman" w:cs="Times New Roman"/>
      <w:b/>
      <w:bCs/>
      <w:color w:val="333333"/>
      <w:sz w:val="20"/>
      <w:szCs w:val="20"/>
      <w:lang w:eastAsia="en-GB"/>
    </w:rPr>
  </w:style>
  <w:style w:type="table" w:styleId="ColorfulShading-Accent1">
    <w:name w:val="Colorful Shading Accent 1"/>
    <w:basedOn w:val="TableNormal"/>
    <w:uiPriority w:val="71"/>
    <w:rPr>
      <w:rFonts w:ascii="Times New Roman" w:eastAsia="Times New Roman" w:hAnsi="Times New Roman"/>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List-Accent1">
    <w:name w:val="Colorful List Accent 1"/>
    <w:basedOn w:val="TableNormal"/>
    <w:uiPriority w:val="72"/>
    <w:rPr>
      <w:rFonts w:ascii="Times New Roman" w:eastAsia="Times New Roman" w:hAnsi="Times New Roman"/>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ColorfulList-Accent1Char">
    <w:name w:val="Colorful List - Accent 1 Char"/>
    <w:uiPriority w:val="34"/>
    <w:locked/>
    <w:rPr>
      <w:rFonts w:ascii="Verdana" w:hAnsi="Verdana"/>
      <w:color w:val="333333"/>
      <w:lang w:val="nl-BE" w:eastAsia="de-DE"/>
    </w:rPr>
  </w:style>
  <w:style w:type="table" w:styleId="TableProfessional">
    <w:name w:val="Table Professional"/>
    <w:basedOn w:val="TableNormal"/>
    <w:uiPriority w:val="99"/>
    <w:pPr>
      <w:jc w:val="both"/>
    </w:pPr>
    <w:rPr>
      <w:rFonts w:ascii="Verdana" w:eastAsia="Times New Roman"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character" w:customStyle="1" w:styleId="st1">
    <w:name w:val="st1"/>
  </w:style>
  <w:style w:type="paragraph" w:styleId="NormalWeb">
    <w:name w:val="Normal (Web)"/>
    <w:basedOn w:val="Normal"/>
    <w:uiPriority w:val="99"/>
    <w:unhideWhenUsed/>
    <w:pPr>
      <w:spacing w:before="100" w:beforeAutospacing="1" w:after="100" w:afterAutospacing="1"/>
      <w:jc w:val="left"/>
    </w:pPr>
    <w:rPr>
      <w:lang w:eastAsia="en-GB"/>
    </w:rPr>
  </w:style>
  <w:style w:type="character" w:customStyle="1" w:styleId="at11">
    <w:name w:val="a__t11"/>
    <w:rPr>
      <w:i/>
    </w:rPr>
  </w:style>
  <w:style w:type="table" w:styleId="TableGrid">
    <w:name w:val="Table Grid"/>
    <w:basedOn w:val="TableNormal"/>
    <w:uiPriority w:val="5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Pr>
      <w:rFonts w:ascii="Lucida Grande" w:hAnsi="Lucida Grande"/>
    </w:rPr>
  </w:style>
  <w:style w:type="character" w:customStyle="1" w:styleId="DocumentMapChar">
    <w:name w:val="Document Map Char"/>
    <w:link w:val="DocumentMap"/>
    <w:uiPriority w:val="99"/>
    <w:rPr>
      <w:rFonts w:ascii="Lucida Grande" w:eastAsia="Times New Roman" w:hAnsi="Lucida Grande" w:cs="Times New Roman"/>
      <w:sz w:val="24"/>
      <w:szCs w:val="24"/>
    </w:rPr>
  </w:style>
  <w:style w:type="paragraph" w:styleId="Revision">
    <w:name w:val="Revision"/>
    <w:hidden/>
    <w:uiPriority w:val="99"/>
    <w:semiHidden/>
    <w:rPr>
      <w:rFonts w:ascii="Times New Roman" w:eastAsia="Times New Roman" w:hAnsi="Times New Roman"/>
      <w:sz w:val="24"/>
      <w:szCs w:val="24"/>
      <w:lang w:eastAsia="en-US"/>
    </w:rPr>
  </w:style>
  <w:style w:type="paragraph" w:styleId="Caption">
    <w:name w:val="caption"/>
    <w:aliases w:val="Legend,Figure reference,Tab_Überschrift,Caption Char1,Caption Char Char,Caption Char1 Char Char Char,Caption Char Char Char Char Char,Caption Char1 Char Char Char Char Char,Caption Char Char Char Char Char Char Char,Caption Char,Tas,Legen,Lege"/>
    <w:basedOn w:val="Normal"/>
    <w:next w:val="Normal"/>
    <w:link w:val="CaptionChar2"/>
    <w:uiPriority w:val="35"/>
    <w:qFormat/>
    <w:rsid w:val="00652DBE"/>
    <w:pPr>
      <w:keepNext/>
      <w:spacing w:after="0"/>
    </w:pPr>
    <w:rPr>
      <w:b/>
      <w:sz w:val="20"/>
      <w:szCs w:val="20"/>
    </w:rPr>
  </w:style>
  <w:style w:type="paragraph" w:customStyle="1" w:styleId="ListNumberLevel4">
    <w:name w:val="List Number (Level 4)"/>
    <w:basedOn w:val="Normal"/>
    <w:pPr>
      <w:numPr>
        <w:numId w:val="15"/>
      </w:numPr>
      <w:tabs>
        <w:tab w:val="clear" w:pos="926"/>
        <w:tab w:val="num" w:pos="2835"/>
      </w:tabs>
      <w:spacing w:before="0" w:after="240"/>
      <w:ind w:left="2835" w:hanging="709"/>
    </w:pPr>
    <w:rPr>
      <w:szCs w:val="20"/>
    </w:rPr>
  </w:style>
  <w:style w:type="paragraph" w:customStyle="1" w:styleId="ListNumber3Level4">
    <w:name w:val="List Number 3 (Level 4)"/>
    <w:basedOn w:val="Text3"/>
    <w:pPr>
      <w:numPr>
        <w:numId w:val="16"/>
      </w:numPr>
      <w:tabs>
        <w:tab w:val="clear" w:pos="360"/>
        <w:tab w:val="num" w:pos="4751"/>
      </w:tabs>
      <w:spacing w:before="0" w:after="240"/>
      <w:ind w:left="4751" w:hanging="709"/>
    </w:pPr>
    <w:rPr>
      <w:szCs w:val="20"/>
    </w:rPr>
  </w:style>
  <w:style w:type="paragraph" w:customStyle="1" w:styleId="ListNumber4Level4">
    <w:name w:val="List Number 4 (Level 4)"/>
    <w:basedOn w:val="Text4"/>
    <w:pPr>
      <w:numPr>
        <w:numId w:val="17"/>
      </w:numPr>
      <w:tabs>
        <w:tab w:val="clear" w:pos="643"/>
        <w:tab w:val="num" w:pos="5715"/>
      </w:tabs>
      <w:spacing w:before="0" w:after="240"/>
      <w:ind w:left="5715" w:hanging="709"/>
    </w:pPr>
    <w:rPr>
      <w:szCs w:val="20"/>
    </w:rPr>
  </w:style>
  <w:style w:type="paragraph" w:customStyle="1" w:styleId="FooterCoverPage">
    <w:name w:val="Footer Cover Page"/>
    <w:basedOn w:val="Normal"/>
    <w:link w:val="FooterCoverPageChar"/>
    <w:pPr>
      <w:tabs>
        <w:tab w:val="center" w:pos="4535"/>
        <w:tab w:val="right" w:pos="9071"/>
        <w:tab w:val="right" w:pos="9921"/>
      </w:tabs>
      <w:spacing w:before="360" w:after="0"/>
      <w:ind w:left="-850" w:right="-850"/>
      <w:jc w:val="left"/>
    </w:pPr>
    <w:rPr>
      <w:szCs w:val="20"/>
      <w:lang w:eastAsia="en-GB"/>
    </w:rPr>
  </w:style>
  <w:style w:type="character" w:customStyle="1" w:styleId="FooterCoverPageChar">
    <w:name w:val="Footer Cover Page Char"/>
    <w:link w:val="FooterCoverPage"/>
    <w:locked/>
    <w:rPr>
      <w:rFonts w:ascii="Times New Roman" w:eastAsia="Times New Roman" w:hAnsi="Times New Roman"/>
      <w:sz w:val="24"/>
    </w:rPr>
  </w:style>
  <w:style w:type="character" w:styleId="Emphasis">
    <w:name w:val="Emphasis"/>
    <w:uiPriority w:val="20"/>
    <w:qFormat/>
    <w:rPr>
      <w:i/>
    </w:rPr>
  </w:style>
  <w:style w:type="character" w:styleId="FollowedHyperlink">
    <w:name w:val="FollowedHyperlink"/>
    <w:uiPriority w:val="99"/>
    <w:rPr>
      <w:color w:val="800080"/>
      <w:u w:val="single"/>
    </w:rPr>
  </w:style>
  <w:style w:type="paragraph" w:styleId="TOCHeading">
    <w:name w:val="TOC Heading"/>
    <w:basedOn w:val="Heading1"/>
    <w:next w:val="Normal"/>
    <w:uiPriority w:val="39"/>
    <w:semiHidden/>
    <w:unhideWhenUsed/>
    <w:qFormat/>
    <w:pPr>
      <w:numPr>
        <w:numId w:val="0"/>
      </w:numPr>
      <w:spacing w:before="240" w:after="60"/>
      <w:outlineLvl w:val="9"/>
    </w:pPr>
    <w:rPr>
      <w:rFonts w:ascii="Cambria" w:hAnsi="Cambria"/>
      <w:smallCaps w:val="0"/>
      <w:kern w:val="32"/>
      <w:sz w:val="32"/>
    </w:rPr>
  </w:style>
  <w:style w:type="numbering" w:customStyle="1" w:styleId="Style2">
    <w:name w:val="Style2"/>
    <w:pPr>
      <w:numPr>
        <w:numId w:val="14"/>
      </w:numPr>
    </w:pPr>
  </w:style>
  <w:style w:type="numbering" w:customStyle="1" w:styleId="NoList1">
    <w:name w:val="No List1"/>
    <w:next w:val="NoList"/>
    <w:uiPriority w:val="99"/>
    <w:semiHidden/>
    <w:unhideWhenUsed/>
  </w:style>
  <w:style w:type="paragraph" w:customStyle="1" w:styleId="Style1">
    <w:name w:val="Style1"/>
    <w:basedOn w:val="Normal"/>
    <w:pPr>
      <w:spacing w:before="0" w:after="0"/>
    </w:pPr>
    <w:rPr>
      <w:rFonts w:ascii="Verdana" w:hAnsi="Verdana"/>
      <w:color w:val="333333"/>
      <w:sz w:val="20"/>
      <w:lang w:eastAsia="en-GB"/>
    </w:rPr>
  </w:style>
  <w:style w:type="paragraph" w:styleId="ListNumber">
    <w:name w:val="List Number"/>
    <w:aliases w:val="List Number Justified"/>
    <w:basedOn w:val="Normal"/>
    <w:pPr>
      <w:tabs>
        <w:tab w:val="num" w:pos="284"/>
      </w:tabs>
      <w:spacing w:before="0" w:after="0"/>
      <w:ind w:left="284" w:hanging="284"/>
    </w:pPr>
    <w:rPr>
      <w:rFonts w:ascii="Verdana" w:hAnsi="Verdana"/>
      <w:color w:val="333333"/>
      <w:sz w:val="20"/>
      <w:lang w:eastAsia="en-GB"/>
    </w:rPr>
  </w:style>
  <w:style w:type="paragraph" w:styleId="ListNumber2">
    <w:name w:val="List Number 2"/>
    <w:basedOn w:val="Normal"/>
    <w:pPr>
      <w:tabs>
        <w:tab w:val="num" w:pos="567"/>
      </w:tabs>
      <w:spacing w:before="80" w:after="80"/>
      <w:ind w:left="567" w:hanging="284"/>
    </w:pPr>
    <w:rPr>
      <w:rFonts w:ascii="Verdana" w:hAnsi="Verdana"/>
      <w:color w:val="333333"/>
      <w:sz w:val="20"/>
      <w:lang w:eastAsia="en-GB"/>
    </w:rPr>
  </w:style>
  <w:style w:type="paragraph" w:styleId="ListNumber4">
    <w:name w:val="List Number 4"/>
    <w:basedOn w:val="Normal"/>
    <w:pPr>
      <w:numPr>
        <w:numId w:val="19"/>
      </w:numPr>
      <w:spacing w:before="0" w:after="0"/>
    </w:pPr>
    <w:rPr>
      <w:rFonts w:ascii="Verdana" w:hAnsi="Verdana"/>
      <w:color w:val="333333"/>
      <w:sz w:val="20"/>
      <w:lang w:eastAsia="en-GB"/>
    </w:rPr>
  </w:style>
  <w:style w:type="paragraph" w:styleId="ListNumber3">
    <w:name w:val="List Number 3"/>
    <w:basedOn w:val="Normal"/>
    <w:pPr>
      <w:numPr>
        <w:numId w:val="18"/>
      </w:numPr>
      <w:spacing w:before="0" w:after="0"/>
    </w:pPr>
    <w:rPr>
      <w:rFonts w:ascii="Verdana" w:hAnsi="Verdana"/>
      <w:color w:val="333333"/>
      <w:sz w:val="20"/>
      <w:lang w:eastAsia="en-GB"/>
    </w:rPr>
  </w:style>
  <w:style w:type="paragraph" w:styleId="NormalIndent">
    <w:name w:val="Normal Indent"/>
    <w:basedOn w:val="Normal"/>
    <w:pPr>
      <w:spacing w:before="0" w:after="0"/>
      <w:ind w:left="720"/>
    </w:pPr>
    <w:rPr>
      <w:rFonts w:ascii="Verdana" w:hAnsi="Verdana"/>
      <w:color w:val="333333"/>
      <w:sz w:val="20"/>
      <w:lang w:eastAsia="en-GB"/>
    </w:rPr>
  </w:style>
  <w:style w:type="paragraph" w:customStyle="1" w:styleId="StyleListNumberListNumberJustifiedCustomColorRGB266312">
    <w:name w:val="Style List NumberList Number Justified + Custom Color(RGB(266312..."/>
    <w:basedOn w:val="ListNumber"/>
    <w:pPr>
      <w:ind w:left="0" w:firstLine="0"/>
    </w:pPr>
    <w:rPr>
      <w:szCs w:val="20"/>
    </w:rPr>
  </w:style>
  <w:style w:type="paragraph" w:styleId="Date">
    <w:name w:val="Date"/>
    <w:basedOn w:val="Normal"/>
    <w:next w:val="Normal"/>
    <w:link w:val="DateChar"/>
    <w:pPr>
      <w:spacing w:before="0" w:after="0"/>
    </w:pPr>
    <w:rPr>
      <w:rFonts w:ascii="Verdana" w:hAnsi="Verdana"/>
      <w:color w:val="808080"/>
      <w:sz w:val="16"/>
      <w:lang w:eastAsia="en-GB"/>
    </w:rPr>
  </w:style>
  <w:style w:type="character" w:customStyle="1" w:styleId="DateChar">
    <w:name w:val="Date Char"/>
    <w:link w:val="Date"/>
    <w:rPr>
      <w:rFonts w:ascii="Verdana" w:eastAsia="Times New Roman" w:hAnsi="Verdana" w:cs="Times New Roman"/>
      <w:color w:val="808080"/>
      <w:sz w:val="16"/>
      <w:szCs w:val="24"/>
      <w:lang w:eastAsia="en-GB"/>
    </w:rPr>
  </w:style>
  <w:style w:type="paragraph" w:styleId="ListNumber5">
    <w:name w:val="List Number 5"/>
    <w:basedOn w:val="Normal"/>
    <w:pPr>
      <w:numPr>
        <w:numId w:val="20"/>
      </w:numPr>
      <w:spacing w:before="0" w:after="0"/>
    </w:pPr>
    <w:rPr>
      <w:rFonts w:ascii="Verdana" w:hAnsi="Verdana"/>
      <w:color w:val="333333"/>
      <w:sz w:val="20"/>
      <w:lang w:eastAsia="en-GB"/>
    </w:rPr>
  </w:style>
  <w:style w:type="table" w:customStyle="1" w:styleId="Table3Deffects11">
    <w:name w:val="Table 3D effects 11"/>
    <w:basedOn w:val="TableNormal"/>
    <w:next w:val="Table3Deffects1"/>
    <w:rPr>
      <w:rFonts w:ascii="Verdana" w:eastAsia="Times New Roman" w:hAnsi="Verdana"/>
      <w:color w:val="333333"/>
      <w:lang w:val="en-US"/>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Pr>
      <w:rFonts w:ascii="Verdana" w:eastAsia="Times New Roman" w:hAnsi="Verdana"/>
      <w:color w:val="333333"/>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Pr>
      <w:rFonts w:ascii="Verdana" w:eastAsia="Times New Roman" w:hAnsi="Verdana"/>
      <w:color w:val="333333"/>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Pr>
      <w:rFonts w:ascii="Verdana" w:hAnsi="Verdana"/>
      <w:color w:val="333333"/>
      <w:sz w:val="20"/>
    </w:rPr>
  </w:style>
  <w:style w:type="paragraph" w:customStyle="1" w:styleId="StyleBodyTextAfter0pt">
    <w:name w:val="Style Body Text + After:  0 pt"/>
    <w:basedOn w:val="BodyText"/>
    <w:link w:val="StyleBodyTextAfter0ptChar"/>
    <w:pPr>
      <w:spacing w:after="0"/>
    </w:pPr>
    <w:rPr>
      <w:szCs w:val="20"/>
    </w:rPr>
  </w:style>
  <w:style w:type="paragraph" w:customStyle="1" w:styleId="StyleStyleBulleted10ptCustomColorRGB12311170Left">
    <w:name w:val="Style Style Bulleted 10 pt Custom Color(RGB(12311170)) + Left"/>
    <w:basedOn w:val="Normal"/>
    <w:pPr>
      <w:numPr>
        <w:numId w:val="21"/>
      </w:numPr>
      <w:spacing w:before="0" w:after="220"/>
      <w:ind w:left="360"/>
      <w:jc w:val="left"/>
    </w:pPr>
    <w:rPr>
      <w:rFonts w:ascii="Verdana" w:hAnsi="Verdana"/>
      <w:color w:val="000000"/>
      <w:sz w:val="20"/>
      <w:lang w:eastAsia="en-GB"/>
    </w:rPr>
  </w:style>
  <w:style w:type="paragraph" w:customStyle="1" w:styleId="StyleListBulletListBulletJustifiedLeft">
    <w:name w:val="Style List BulletList Bullet Justified + Left"/>
    <w:basedOn w:val="Normal"/>
    <w:pPr>
      <w:tabs>
        <w:tab w:val="num" w:pos="227"/>
      </w:tabs>
      <w:spacing w:before="80" w:after="80"/>
      <w:ind w:left="227" w:hanging="227"/>
      <w:jc w:val="left"/>
    </w:pPr>
    <w:rPr>
      <w:rFonts w:ascii="Verdana" w:hAnsi="Verdana"/>
      <w:color w:val="333333"/>
      <w:sz w:val="20"/>
      <w:szCs w:val="20"/>
      <w:lang w:eastAsia="en-GB"/>
    </w:rPr>
  </w:style>
  <w:style w:type="table" w:customStyle="1" w:styleId="TableProfessional1">
    <w:name w:val="Table Professional1"/>
    <w:basedOn w:val="TableNormal"/>
    <w:next w:val="TableProfessional"/>
    <w:pPr>
      <w:jc w:val="both"/>
    </w:pPr>
    <w:rPr>
      <w:rFonts w:ascii="Verdana" w:eastAsia="Times New Roman" w:hAnsi="Verdana"/>
      <w:color w:val="333333"/>
      <w:lang w:val="en-US"/>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1">
    <w:name w:val="Style21"/>
    <w:basedOn w:val="NoList"/>
    <w:pPr>
      <w:numPr>
        <w:numId w:val="9"/>
      </w:numPr>
    </w:pPr>
  </w:style>
  <w:style w:type="paragraph" w:customStyle="1" w:styleId="StyleHeading1VerdanaAuto">
    <w:name w:val="Style Heading 1 + Verdana Auto"/>
    <w:basedOn w:val="Heading1"/>
    <w:pPr>
      <w:numPr>
        <w:numId w:val="0"/>
      </w:numPr>
      <w:spacing w:before="240" w:after="60"/>
    </w:pPr>
    <w:rPr>
      <w:rFonts w:ascii="Verdana" w:hAnsi="Verdana" w:cs="Arial"/>
      <w:smallCaps w:val="0"/>
      <w:color w:val="263673"/>
      <w:kern w:val="32"/>
      <w:sz w:val="28"/>
      <w:lang w:eastAsia="en-GB"/>
    </w:rPr>
  </w:style>
  <w:style w:type="paragraph" w:customStyle="1" w:styleId="StyleHeading1VerdanaAuto1">
    <w:name w:val="Style Heading 1 + Verdana Auto1"/>
    <w:basedOn w:val="Heading1"/>
    <w:pPr>
      <w:numPr>
        <w:numId w:val="0"/>
      </w:numPr>
      <w:spacing w:before="240" w:after="60"/>
    </w:pPr>
    <w:rPr>
      <w:rFonts w:ascii="Verdana" w:hAnsi="Verdana" w:cs="Arial"/>
      <w:smallCaps w:val="0"/>
      <w:color w:val="263673"/>
      <w:kern w:val="32"/>
      <w:sz w:val="28"/>
      <w:lang w:eastAsia="en-GB"/>
    </w:rPr>
  </w:style>
  <w:style w:type="paragraph" w:customStyle="1" w:styleId="StyleHeading2VerdanaAuto">
    <w:name w:val="Style Heading 2 + Verdana Auto"/>
    <w:basedOn w:val="Heading2"/>
    <w:pPr>
      <w:numPr>
        <w:ilvl w:val="0"/>
        <w:numId w:val="0"/>
      </w:numPr>
      <w:spacing w:after="60"/>
    </w:pPr>
    <w:rPr>
      <w:rFonts w:ascii="Verdana" w:hAnsi="Verdana" w:cs="Arial"/>
      <w:iCs/>
      <w:color w:val="263673"/>
      <w:sz w:val="22"/>
      <w:lang w:eastAsia="en-GB"/>
    </w:rPr>
  </w:style>
  <w:style w:type="paragraph" w:customStyle="1" w:styleId="StyleListBullet2">
    <w:name w:val="Style List Bullet 2 +"/>
    <w:basedOn w:val="ListBullet2"/>
    <w:link w:val="StyleListBullet2Char"/>
    <w:pPr>
      <w:tabs>
        <w:tab w:val="clear" w:pos="643"/>
        <w:tab w:val="clear" w:pos="850"/>
        <w:tab w:val="clear" w:pos="2551"/>
        <w:tab w:val="num" w:pos="227"/>
      </w:tabs>
      <w:spacing w:before="60" w:after="60"/>
      <w:ind w:left="227" w:hanging="227"/>
      <w:contextualSpacing w:val="0"/>
      <w:jc w:val="left"/>
    </w:pPr>
    <w:rPr>
      <w:rFonts w:ascii="Verdana" w:hAnsi="Verdana"/>
      <w:color w:val="333333"/>
      <w:sz w:val="20"/>
      <w:lang w:eastAsia="en-GB"/>
    </w:rPr>
  </w:style>
  <w:style w:type="character" w:customStyle="1" w:styleId="ListBullet2Char">
    <w:name w:val="List Bullet 2 Char"/>
    <w:link w:val="ListBullet2"/>
    <w:rPr>
      <w:rFonts w:ascii="Times New Roman" w:eastAsia="Times New Roman" w:hAnsi="Times New Roman" w:cs="Times New Roman"/>
      <w:sz w:val="24"/>
      <w:szCs w:val="24"/>
    </w:rPr>
  </w:style>
  <w:style w:type="character" w:customStyle="1" w:styleId="StyleListBullet2Char">
    <w:name w:val="Style List Bullet 2 + Char"/>
    <w:link w:val="StyleListBullet2"/>
    <w:rPr>
      <w:rFonts w:ascii="Verdana" w:eastAsia="Times New Roman" w:hAnsi="Verdana" w:cs="Times New Roman"/>
      <w:color w:val="333333"/>
      <w:sz w:val="20"/>
      <w:szCs w:val="24"/>
      <w:lang w:eastAsia="en-GB"/>
    </w:rPr>
  </w:style>
  <w:style w:type="paragraph" w:customStyle="1" w:styleId="StyleStyleBodyTextAfter0ptVerdana">
    <w:name w:val="Style Style Body Text + After:  0 pt + Verdana"/>
    <w:basedOn w:val="StyleBodyTextAfter0pt"/>
    <w:link w:val="StyleStyleBodyTextAfter0ptVerdanaChar"/>
  </w:style>
  <w:style w:type="character" w:customStyle="1" w:styleId="StyleBodyTextAfter0ptChar">
    <w:name w:val="Style Body Text + After:  0 pt Char"/>
    <w:link w:val="StyleBodyTextAfter0pt"/>
    <w:rPr>
      <w:rFonts w:ascii="Verdana" w:eastAsia="Times New Roman" w:hAnsi="Verdana" w:cs="Times New Roman"/>
      <w:color w:val="333333"/>
      <w:sz w:val="20"/>
      <w:szCs w:val="20"/>
      <w:lang w:eastAsia="en-GB"/>
    </w:rPr>
  </w:style>
  <w:style w:type="character" w:customStyle="1" w:styleId="StyleStyleBodyTextAfter0ptVerdanaChar">
    <w:name w:val="Style Style Body Text + After:  0 pt + Verdana Char"/>
    <w:link w:val="StyleStyleBodyTextAfter0ptVerdana"/>
    <w:rPr>
      <w:rFonts w:ascii="Verdana" w:eastAsia="Times New Roman" w:hAnsi="Verdana" w:cs="Times New Roman"/>
      <w:color w:val="333333"/>
      <w:sz w:val="20"/>
      <w:szCs w:val="20"/>
      <w:lang w:eastAsia="en-GB"/>
    </w:rPr>
  </w:style>
  <w:style w:type="paragraph" w:customStyle="1" w:styleId="StyleStyleBodyTextAfter0ptVerdanaBold">
    <w:name w:val="Style Style Body Text + After:  0 pt + Verdana Bold"/>
    <w:basedOn w:val="StyleBodyTextAfter0pt"/>
    <w:link w:val="StyleStyleBodyTextAfter0ptVerdanaBoldChar"/>
    <w:rPr>
      <w:b/>
      <w:bCs/>
      <w:szCs w:val="24"/>
    </w:rPr>
  </w:style>
  <w:style w:type="character" w:customStyle="1" w:styleId="StyleStyleBodyTextAfter0ptVerdanaBoldChar">
    <w:name w:val="Style Style Body Text + After:  0 pt + Verdana Bold Char"/>
    <w:link w:val="StyleStyleBodyTextAfter0ptVerdanaBold"/>
    <w:rPr>
      <w:rFonts w:ascii="Verdana" w:eastAsia="Times New Roman" w:hAnsi="Verdana" w:cs="Times New Roman"/>
      <w:b/>
      <w:bCs/>
      <w:color w:val="333333"/>
      <w:sz w:val="20"/>
      <w:szCs w:val="24"/>
      <w:lang w:eastAsia="en-GB"/>
    </w:rPr>
  </w:style>
  <w:style w:type="paragraph" w:customStyle="1" w:styleId="StyleStyleBodyTextAfter0ptVerdanaBoldAuto">
    <w:name w:val="Style Style Body Text + After:  0 pt + Verdana Bold Auto"/>
    <w:basedOn w:val="StyleBodyTextAfter0pt"/>
    <w:link w:val="StyleStyleBodyTextAfter0ptVerdanaBoldAutoChar"/>
    <w:rPr>
      <w:b/>
      <w:bCs/>
      <w:szCs w:val="24"/>
    </w:rPr>
  </w:style>
  <w:style w:type="character" w:customStyle="1" w:styleId="StyleStyleBodyTextAfter0ptVerdanaBoldAutoChar">
    <w:name w:val="Style Style Body Text + After:  0 pt + Verdana Bold Auto Char"/>
    <w:link w:val="StyleStyleBodyTextAfter0ptVerdanaBoldAuto"/>
    <w:rPr>
      <w:rFonts w:ascii="Verdana" w:eastAsia="Times New Roman" w:hAnsi="Verdana" w:cs="Times New Roman"/>
      <w:b/>
      <w:bCs/>
      <w:color w:val="333333"/>
      <w:sz w:val="20"/>
      <w:szCs w:val="24"/>
      <w:lang w:eastAsia="en-GB"/>
    </w:rPr>
  </w:style>
  <w:style w:type="paragraph" w:customStyle="1" w:styleId="StyleHeading1Gray-80">
    <w:name w:val="Style Heading 1 + Gray-80%"/>
    <w:basedOn w:val="Heading1"/>
    <w:link w:val="StyleHeading1Gray-80Char"/>
    <w:pPr>
      <w:numPr>
        <w:numId w:val="0"/>
      </w:numPr>
      <w:spacing w:before="240" w:after="60"/>
    </w:pPr>
    <w:rPr>
      <w:rFonts w:ascii="Verdana" w:hAnsi="Verdana" w:cs="Arial"/>
      <w:smallCaps w:val="0"/>
      <w:color w:val="263673"/>
      <w:kern w:val="32"/>
      <w:sz w:val="28"/>
      <w:lang w:eastAsia="en-GB"/>
    </w:rPr>
  </w:style>
  <w:style w:type="character" w:customStyle="1" w:styleId="StyleHeading1Gray-80Char">
    <w:name w:val="Style Heading 1 + Gray-80% Char"/>
    <w:link w:val="StyleHeading1Gray-80"/>
    <w:rPr>
      <w:rFonts w:ascii="Verdana" w:eastAsia="Times New Roman" w:hAnsi="Verdana" w:cs="Arial"/>
      <w:b/>
      <w:bCs/>
      <w:color w:val="263673"/>
      <w:kern w:val="32"/>
      <w:sz w:val="28"/>
      <w:szCs w:val="32"/>
      <w:lang w:eastAsia="en-GB"/>
    </w:rPr>
  </w:style>
  <w:style w:type="paragraph" w:customStyle="1" w:styleId="StyleHeading1Auto">
    <w:name w:val="Style Heading 1 + Auto"/>
    <w:basedOn w:val="Heading1"/>
    <w:pPr>
      <w:numPr>
        <w:numId w:val="0"/>
      </w:numPr>
      <w:spacing w:before="240" w:after="60"/>
    </w:pPr>
    <w:rPr>
      <w:rFonts w:ascii="Verdana" w:hAnsi="Verdana" w:cs="Arial"/>
      <w:smallCaps w:val="0"/>
      <w:color w:val="263673"/>
      <w:kern w:val="32"/>
      <w:sz w:val="28"/>
      <w:lang w:eastAsia="en-GB"/>
    </w:rPr>
  </w:style>
  <w:style w:type="paragraph" w:styleId="Subtitle">
    <w:name w:val="Subtitle"/>
    <w:basedOn w:val="Normal"/>
    <w:next w:val="Normal"/>
    <w:link w:val="SubtitleChar"/>
    <w:qFormat/>
    <w:pPr>
      <w:numPr>
        <w:ilvl w:val="1"/>
      </w:numPr>
      <w:spacing w:before="0" w:after="0"/>
    </w:pPr>
    <w:rPr>
      <w:rFonts w:ascii="Cambria" w:hAnsi="Cambria"/>
      <w:i/>
      <w:iCs/>
      <w:color w:val="4F81BD"/>
      <w:spacing w:val="15"/>
      <w:lang w:eastAsia="en-GB"/>
    </w:rPr>
  </w:style>
  <w:style w:type="character" w:customStyle="1" w:styleId="SubtitleChar">
    <w:name w:val="Subtitle Char"/>
    <w:link w:val="Subtitle"/>
    <w:rPr>
      <w:rFonts w:ascii="Cambria" w:eastAsia="Times New Roman" w:hAnsi="Cambria" w:cs="Times New Roman"/>
      <w:i/>
      <w:iCs/>
      <w:color w:val="4F81BD"/>
      <w:spacing w:val="15"/>
      <w:sz w:val="24"/>
      <w:szCs w:val="24"/>
      <w:lang w:eastAsia="en-GB"/>
    </w:rPr>
  </w:style>
  <w:style w:type="numbering" w:customStyle="1" w:styleId="Aufzhlungszeichen1">
    <w:name w:val="Aufzählungszeichen1"/>
    <w:pPr>
      <w:numPr>
        <w:numId w:val="22"/>
      </w:numPr>
    </w:pPr>
  </w:style>
  <w:style w:type="paragraph" w:customStyle="1" w:styleId="Bulletlist">
    <w:name w:val="Bullet list"/>
    <w:basedOn w:val="Normal"/>
    <w:uiPriority w:val="99"/>
    <w:qFormat/>
    <w:pPr>
      <w:widowControl w:val="0"/>
      <w:numPr>
        <w:numId w:val="23"/>
      </w:numPr>
      <w:spacing w:before="0" w:after="160" w:line="280" w:lineRule="atLeast"/>
      <w:contextualSpacing/>
      <w:jc w:val="left"/>
    </w:pPr>
    <w:rPr>
      <w:rFonts w:ascii="Verdana" w:hAnsi="Verdana" w:cs="Arial"/>
      <w:bCs/>
      <w:color w:val="333333"/>
      <w:sz w:val="20"/>
      <w:szCs w:val="20"/>
      <w:lang w:val="en-US" w:eastAsia="de-DE"/>
    </w:rPr>
  </w:style>
  <w:style w:type="paragraph" w:styleId="ListParagraph">
    <w:name w:val="List Paragraph"/>
    <w:aliases w:val="Bullet List Paragraph,List Paragraph1"/>
    <w:basedOn w:val="Normal"/>
    <w:link w:val="ListParagraphChar"/>
    <w:uiPriority w:val="34"/>
    <w:qFormat/>
    <w:pPr>
      <w:spacing w:before="0" w:after="0"/>
      <w:ind w:left="720"/>
      <w:contextualSpacing/>
    </w:pPr>
    <w:rPr>
      <w:rFonts w:ascii="Verdana" w:hAnsi="Verdana"/>
      <w:color w:val="333333"/>
      <w:sz w:val="20"/>
      <w:lang w:eastAsia="en-GB"/>
    </w:rPr>
  </w:style>
  <w:style w:type="paragraph" w:customStyle="1" w:styleId="Default">
    <w:name w:val="Default"/>
    <w:pPr>
      <w:autoSpaceDE w:val="0"/>
      <w:autoSpaceDN w:val="0"/>
      <w:adjustRightInd w:val="0"/>
    </w:pPr>
    <w:rPr>
      <w:rFonts w:ascii="MJLKB A+ Calibri" w:eastAsia="Times New Roman" w:hAnsi="MJLKB A+ Calibri" w:cs="MJLKB A+ Calibri"/>
      <w:color w:val="000000"/>
      <w:sz w:val="24"/>
      <w:szCs w:val="24"/>
    </w:rPr>
  </w:style>
  <w:style w:type="paragraph" w:customStyle="1" w:styleId="xl65">
    <w:name w:val="xl65"/>
    <w:basedOn w:val="Normal"/>
    <w:pPr>
      <w:pBdr>
        <w:top w:val="single" w:sz="8" w:space="0" w:color="F2F2F2"/>
        <w:left w:val="single" w:sz="8" w:space="0" w:color="F2F2F2"/>
        <w:bottom w:val="single" w:sz="4" w:space="0" w:color="F2F2F2"/>
        <w:right w:val="single" w:sz="4" w:space="0" w:color="F2F2F2"/>
      </w:pBdr>
      <w:shd w:val="clear" w:color="000000" w:fill="76933C"/>
      <w:spacing w:before="100" w:beforeAutospacing="1" w:after="100" w:afterAutospacing="1"/>
      <w:jc w:val="left"/>
      <w:textAlignment w:val="center"/>
    </w:pPr>
    <w:rPr>
      <w:rFonts w:ascii="Arial" w:hAnsi="Arial" w:cs="Arial"/>
      <w:b/>
      <w:bCs/>
      <w:color w:val="FFFFFF"/>
      <w:sz w:val="16"/>
      <w:szCs w:val="16"/>
      <w:lang w:eastAsia="en-GB"/>
    </w:rPr>
  </w:style>
  <w:style w:type="paragraph" w:customStyle="1" w:styleId="xl66">
    <w:name w:val="xl66"/>
    <w:basedOn w:val="Normal"/>
    <w:pPr>
      <w:pBdr>
        <w:top w:val="single" w:sz="8" w:space="0" w:color="F2F2F2"/>
        <w:left w:val="single" w:sz="4" w:space="0" w:color="F2F2F2"/>
        <w:bottom w:val="single" w:sz="4" w:space="0" w:color="F2F2F2"/>
        <w:right w:val="single" w:sz="4" w:space="0" w:color="F2F2F2"/>
      </w:pBdr>
      <w:shd w:val="clear" w:color="000000" w:fill="76933C"/>
      <w:spacing w:before="100" w:beforeAutospacing="1" w:after="100" w:afterAutospacing="1"/>
      <w:jc w:val="left"/>
      <w:textAlignment w:val="center"/>
    </w:pPr>
    <w:rPr>
      <w:rFonts w:ascii="Arial" w:hAnsi="Arial" w:cs="Arial"/>
      <w:b/>
      <w:bCs/>
      <w:color w:val="FFFFFF"/>
      <w:sz w:val="16"/>
      <w:szCs w:val="16"/>
      <w:lang w:eastAsia="en-GB"/>
    </w:rPr>
  </w:style>
  <w:style w:type="paragraph" w:customStyle="1" w:styleId="xl67">
    <w:name w:val="xl67"/>
    <w:basedOn w:val="Normal"/>
    <w:pPr>
      <w:pBdr>
        <w:top w:val="single" w:sz="8" w:space="0" w:color="F2F2F2"/>
        <w:left w:val="single" w:sz="4" w:space="0" w:color="F2F2F2"/>
        <w:bottom w:val="single" w:sz="4" w:space="0" w:color="F2F2F2"/>
        <w:right w:val="single" w:sz="8" w:space="0" w:color="F2F2F2"/>
      </w:pBdr>
      <w:shd w:val="clear" w:color="000000" w:fill="76933C"/>
      <w:spacing w:before="100" w:beforeAutospacing="1" w:after="100" w:afterAutospacing="1"/>
      <w:jc w:val="left"/>
      <w:textAlignment w:val="center"/>
    </w:pPr>
    <w:rPr>
      <w:rFonts w:ascii="Arial" w:hAnsi="Arial" w:cs="Arial"/>
      <w:b/>
      <w:bCs/>
      <w:color w:val="FFFFFF"/>
      <w:sz w:val="16"/>
      <w:szCs w:val="16"/>
      <w:lang w:eastAsia="en-GB"/>
    </w:rPr>
  </w:style>
  <w:style w:type="paragraph" w:customStyle="1" w:styleId="xl68">
    <w:name w:val="xl68"/>
    <w:basedOn w:val="Normal"/>
    <w:pPr>
      <w:pBdr>
        <w:top w:val="single" w:sz="4" w:space="0" w:color="F2F2F2"/>
        <w:left w:val="single" w:sz="8" w:space="0" w:color="F2F2F2"/>
        <w:bottom w:val="single" w:sz="4" w:space="0" w:color="F2F2F2"/>
        <w:right w:val="single" w:sz="4" w:space="0" w:color="F2F2F2"/>
      </w:pBdr>
      <w:shd w:val="clear" w:color="000000" w:fill="D8E4BC"/>
      <w:spacing w:before="100" w:beforeAutospacing="1" w:after="100" w:afterAutospacing="1"/>
      <w:jc w:val="left"/>
      <w:textAlignment w:val="center"/>
    </w:pPr>
    <w:rPr>
      <w:rFonts w:ascii="Arial" w:hAnsi="Arial" w:cs="Arial"/>
      <w:color w:val="000000"/>
      <w:sz w:val="16"/>
      <w:szCs w:val="16"/>
      <w:lang w:eastAsia="en-GB"/>
    </w:rPr>
  </w:style>
  <w:style w:type="paragraph" w:customStyle="1" w:styleId="xl69">
    <w:name w:val="xl69"/>
    <w:basedOn w:val="Normal"/>
    <w:pPr>
      <w:pBdr>
        <w:top w:val="single" w:sz="4" w:space="0" w:color="F2F2F2"/>
        <w:left w:val="single" w:sz="8" w:space="0" w:color="F2F2F2"/>
        <w:bottom w:val="single" w:sz="4" w:space="0" w:color="F2F2F2"/>
        <w:right w:val="single" w:sz="4" w:space="0" w:color="F2F2F2"/>
      </w:pBdr>
      <w:shd w:val="clear" w:color="000000" w:fill="EBF1DE"/>
      <w:spacing w:before="100" w:beforeAutospacing="1" w:after="100" w:afterAutospacing="1"/>
      <w:jc w:val="left"/>
      <w:textAlignment w:val="center"/>
    </w:pPr>
    <w:rPr>
      <w:rFonts w:ascii="Arial" w:hAnsi="Arial" w:cs="Arial"/>
      <w:color w:val="000000"/>
      <w:sz w:val="16"/>
      <w:szCs w:val="16"/>
      <w:lang w:eastAsia="en-GB"/>
    </w:rPr>
  </w:style>
  <w:style w:type="paragraph" w:customStyle="1" w:styleId="xl70">
    <w:name w:val="xl70"/>
    <w:basedOn w:val="Normal"/>
    <w:pPr>
      <w:pBdr>
        <w:top w:val="single" w:sz="4" w:space="0" w:color="F2F2F2"/>
        <w:left w:val="single" w:sz="8" w:space="0" w:color="F2F2F2"/>
        <w:bottom w:val="single" w:sz="4" w:space="0" w:color="F2F2F2"/>
        <w:right w:val="single" w:sz="4" w:space="0" w:color="F2F2F2"/>
      </w:pBdr>
      <w:spacing w:before="100" w:beforeAutospacing="1" w:after="100" w:afterAutospacing="1"/>
      <w:jc w:val="left"/>
      <w:textAlignment w:val="center"/>
    </w:pPr>
    <w:rPr>
      <w:rFonts w:ascii="Arial" w:hAnsi="Arial" w:cs="Arial"/>
      <w:color w:val="000000"/>
      <w:sz w:val="16"/>
      <w:szCs w:val="16"/>
      <w:lang w:eastAsia="en-GB"/>
    </w:rPr>
  </w:style>
  <w:style w:type="paragraph" w:customStyle="1" w:styleId="xl71">
    <w:name w:val="xl71"/>
    <w:basedOn w:val="Normal"/>
    <w:pPr>
      <w:pBdr>
        <w:top w:val="single" w:sz="4" w:space="0" w:color="F2F2F2"/>
        <w:left w:val="single" w:sz="4" w:space="0" w:color="F2F2F2"/>
        <w:bottom w:val="single" w:sz="4" w:space="0" w:color="F2F2F2"/>
        <w:right w:val="single" w:sz="4" w:space="0" w:color="F2F2F2"/>
      </w:pBdr>
      <w:spacing w:before="100" w:beforeAutospacing="1" w:after="100" w:afterAutospacing="1"/>
      <w:jc w:val="left"/>
      <w:textAlignment w:val="center"/>
    </w:pPr>
    <w:rPr>
      <w:rFonts w:ascii="Arial" w:hAnsi="Arial" w:cs="Arial"/>
      <w:color w:val="000000"/>
      <w:sz w:val="16"/>
      <w:szCs w:val="16"/>
      <w:lang w:eastAsia="en-GB"/>
    </w:rPr>
  </w:style>
  <w:style w:type="paragraph" w:customStyle="1" w:styleId="xl72">
    <w:name w:val="xl72"/>
    <w:basedOn w:val="Normal"/>
    <w:pPr>
      <w:pBdr>
        <w:top w:val="single" w:sz="4" w:space="0" w:color="F2F2F2"/>
        <w:left w:val="single" w:sz="4" w:space="0" w:color="F2F2F2"/>
        <w:bottom w:val="single" w:sz="4" w:space="0" w:color="F2F2F2"/>
        <w:right w:val="single" w:sz="8" w:space="0" w:color="F2F2F2"/>
      </w:pBdr>
      <w:spacing w:before="100" w:beforeAutospacing="1" w:after="100" w:afterAutospacing="1"/>
      <w:jc w:val="left"/>
      <w:textAlignment w:val="center"/>
    </w:pPr>
    <w:rPr>
      <w:rFonts w:ascii="Arial" w:hAnsi="Arial" w:cs="Arial"/>
      <w:color w:val="000000"/>
      <w:sz w:val="16"/>
      <w:szCs w:val="16"/>
      <w:lang w:eastAsia="en-GB"/>
    </w:rPr>
  </w:style>
  <w:style w:type="paragraph" w:customStyle="1" w:styleId="xl73">
    <w:name w:val="xl73"/>
    <w:basedOn w:val="Normal"/>
    <w:pPr>
      <w:pBdr>
        <w:top w:val="single" w:sz="4" w:space="0" w:color="F2F2F2"/>
        <w:left w:val="single" w:sz="4" w:space="0" w:color="F2F2F2"/>
        <w:bottom w:val="single" w:sz="4" w:space="0" w:color="F2F2F2"/>
        <w:right w:val="single" w:sz="4" w:space="0" w:color="F2F2F2"/>
      </w:pBdr>
      <w:shd w:val="clear" w:color="000000" w:fill="D8E4BC"/>
      <w:spacing w:before="100" w:beforeAutospacing="1" w:after="100" w:afterAutospacing="1"/>
      <w:jc w:val="right"/>
      <w:textAlignment w:val="center"/>
    </w:pPr>
    <w:rPr>
      <w:rFonts w:ascii="Arial" w:hAnsi="Arial" w:cs="Arial"/>
      <w:color w:val="000000"/>
      <w:sz w:val="16"/>
      <w:szCs w:val="16"/>
      <w:lang w:eastAsia="en-GB"/>
    </w:rPr>
  </w:style>
  <w:style w:type="paragraph" w:customStyle="1" w:styleId="xl74">
    <w:name w:val="xl74"/>
    <w:basedOn w:val="Normal"/>
    <w:pPr>
      <w:pBdr>
        <w:top w:val="single" w:sz="4" w:space="0" w:color="F2F2F2"/>
        <w:left w:val="single" w:sz="4" w:space="0" w:color="F2F2F2"/>
        <w:bottom w:val="single" w:sz="4" w:space="0" w:color="F2F2F2"/>
        <w:right w:val="single" w:sz="8" w:space="0" w:color="F2F2F2"/>
      </w:pBdr>
      <w:shd w:val="clear" w:color="000000" w:fill="D8E4BC"/>
      <w:spacing w:before="100" w:beforeAutospacing="1" w:after="100" w:afterAutospacing="1"/>
      <w:jc w:val="right"/>
      <w:textAlignment w:val="center"/>
    </w:pPr>
    <w:rPr>
      <w:rFonts w:ascii="Arial" w:hAnsi="Arial" w:cs="Arial"/>
      <w:color w:val="000000"/>
      <w:sz w:val="16"/>
      <w:szCs w:val="16"/>
      <w:lang w:eastAsia="en-GB"/>
    </w:rPr>
  </w:style>
  <w:style w:type="paragraph" w:customStyle="1" w:styleId="xl75">
    <w:name w:val="xl75"/>
    <w:basedOn w:val="Normal"/>
    <w:pPr>
      <w:pBdr>
        <w:top w:val="single" w:sz="4" w:space="0" w:color="F2F2F2"/>
        <w:left w:val="single" w:sz="4" w:space="0" w:color="F2F2F2"/>
        <w:bottom w:val="single" w:sz="4" w:space="0" w:color="F2F2F2"/>
        <w:right w:val="single" w:sz="4" w:space="0" w:color="F2F2F2"/>
      </w:pBdr>
      <w:shd w:val="clear" w:color="000000" w:fill="EBF1DE"/>
      <w:spacing w:before="100" w:beforeAutospacing="1" w:after="100" w:afterAutospacing="1"/>
      <w:jc w:val="right"/>
      <w:textAlignment w:val="center"/>
    </w:pPr>
    <w:rPr>
      <w:rFonts w:ascii="Arial" w:hAnsi="Arial" w:cs="Arial"/>
      <w:color w:val="000000"/>
      <w:sz w:val="16"/>
      <w:szCs w:val="16"/>
      <w:lang w:eastAsia="en-GB"/>
    </w:rPr>
  </w:style>
  <w:style w:type="paragraph" w:customStyle="1" w:styleId="xl76">
    <w:name w:val="xl76"/>
    <w:basedOn w:val="Normal"/>
    <w:pPr>
      <w:pBdr>
        <w:top w:val="single" w:sz="4" w:space="0" w:color="F2F2F2"/>
        <w:left w:val="single" w:sz="8" w:space="0" w:color="F2F2F2"/>
        <w:bottom w:val="single" w:sz="4" w:space="0" w:color="F2F2F2"/>
        <w:right w:val="single" w:sz="4" w:space="0" w:color="F2F2F2"/>
      </w:pBdr>
      <w:shd w:val="clear" w:color="000000" w:fill="EBF1DE"/>
      <w:spacing w:before="100" w:beforeAutospacing="1" w:after="100" w:afterAutospacing="1"/>
      <w:jc w:val="right"/>
      <w:textAlignment w:val="center"/>
    </w:pPr>
    <w:rPr>
      <w:rFonts w:ascii="Arial" w:hAnsi="Arial" w:cs="Arial"/>
      <w:color w:val="000000"/>
      <w:sz w:val="16"/>
      <w:szCs w:val="16"/>
      <w:lang w:eastAsia="en-GB"/>
    </w:rPr>
  </w:style>
  <w:style w:type="paragraph" w:customStyle="1" w:styleId="xl77">
    <w:name w:val="xl77"/>
    <w:basedOn w:val="Normal"/>
    <w:pPr>
      <w:pBdr>
        <w:top w:val="single" w:sz="4" w:space="0" w:color="F2F2F2"/>
        <w:left w:val="single" w:sz="8" w:space="0" w:color="F2F2F2"/>
        <w:bottom w:val="single" w:sz="4" w:space="0" w:color="F2F2F2"/>
        <w:right w:val="single" w:sz="4" w:space="0" w:color="F2F2F2"/>
      </w:pBdr>
      <w:shd w:val="clear" w:color="000000" w:fill="EBF1DE"/>
      <w:spacing w:before="100" w:beforeAutospacing="1" w:after="100" w:afterAutospacing="1"/>
      <w:jc w:val="right"/>
      <w:textAlignment w:val="center"/>
    </w:pPr>
    <w:rPr>
      <w:rFonts w:ascii="Arial" w:hAnsi="Arial" w:cs="Arial"/>
      <w:color w:val="000000"/>
      <w:sz w:val="16"/>
      <w:szCs w:val="16"/>
      <w:lang w:eastAsia="en-GB"/>
    </w:rPr>
  </w:style>
  <w:style w:type="table" w:styleId="MediumShading1-Accent3">
    <w:name w:val="Medium Shading 1 Accent 3"/>
    <w:basedOn w:val="TableNormal"/>
    <w:uiPriority w:val="63"/>
    <w:rPr>
      <w:rFonts w:ascii="Times New Roman" w:eastAsia="Times New Roman" w:hAnsi="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HeaderCoverPage">
    <w:name w:val="Header Cover Page"/>
    <w:basedOn w:val="Normal"/>
    <w:link w:val="HeaderCoverPageChar"/>
    <w:pPr>
      <w:tabs>
        <w:tab w:val="center" w:pos="4535"/>
        <w:tab w:val="right" w:pos="9071"/>
      </w:tabs>
      <w:spacing w:before="0"/>
    </w:pPr>
    <w:rPr>
      <w:lang w:eastAsia="en-GB"/>
    </w:rPr>
  </w:style>
  <w:style w:type="character" w:customStyle="1" w:styleId="TypedudocumentChar">
    <w:name w:val="Type du document Char"/>
    <w:link w:val="Typedudocument"/>
    <w:rPr>
      <w:rFonts w:ascii="Times New Roman" w:eastAsia="Times New Roman" w:hAnsi="Times New Roman"/>
      <w:b/>
      <w:sz w:val="24"/>
      <w:szCs w:val="24"/>
      <w:lang w:eastAsia="en-US"/>
    </w:rPr>
  </w:style>
  <w:style w:type="character" w:customStyle="1" w:styleId="HeaderCoverPageChar">
    <w:name w:val="Header Cover Page Char"/>
    <w:link w:val="HeaderCoverPage"/>
    <w:rPr>
      <w:rFonts w:ascii="Times New Roman" w:eastAsia="Times New Roman" w:hAnsi="Times New Roman"/>
      <w:sz w:val="24"/>
      <w:szCs w:val="24"/>
    </w:rPr>
  </w:style>
  <w:style w:type="paragraph" w:customStyle="1" w:styleId="ReportParagraph">
    <w:name w:val="Report Paragraph"/>
    <w:basedOn w:val="Normal"/>
    <w:qFormat/>
    <w:pPr>
      <w:spacing w:before="0" w:after="200" w:line="300" w:lineRule="auto"/>
    </w:pPr>
    <w:rPr>
      <w:rFonts w:ascii="Verdana" w:eastAsia="MS Mincho" w:hAnsi="Verdana"/>
      <w:sz w:val="20"/>
      <w:szCs w:val="20"/>
      <w:lang w:eastAsia="ja-JP"/>
    </w:rPr>
  </w:style>
  <w:style w:type="paragraph" w:customStyle="1" w:styleId="ReportFootnotes">
    <w:name w:val="Report Footnotes"/>
    <w:basedOn w:val="FootnoteText"/>
    <w:qFormat/>
    <w:pPr>
      <w:ind w:left="0" w:firstLine="0"/>
    </w:pPr>
    <w:rPr>
      <w:rFonts w:ascii="Verdana" w:hAnsi="Verdana"/>
      <w:sz w:val="16"/>
      <w:szCs w:val="16"/>
    </w:rPr>
  </w:style>
  <w:style w:type="paragraph" w:customStyle="1" w:styleId="ReportNoteundergraph">
    <w:name w:val="Report Note under graph"/>
    <w:basedOn w:val="ReportParagraph"/>
    <w:pPr>
      <w:contextualSpacing/>
      <w:jc w:val="center"/>
    </w:pPr>
    <w:rPr>
      <w:rFonts w:eastAsia="Times New Roman"/>
      <w:sz w:val="16"/>
    </w:rPr>
  </w:style>
  <w:style w:type="paragraph" w:customStyle="1" w:styleId="ReportChapters">
    <w:name w:val="Report Chapters"/>
    <w:basedOn w:val="Normal"/>
    <w:qFormat/>
    <w:pPr>
      <w:numPr>
        <w:numId w:val="25"/>
      </w:numPr>
      <w:spacing w:before="0" w:after="200" w:line="360" w:lineRule="auto"/>
      <w:jc w:val="left"/>
      <w:outlineLvl w:val="0"/>
    </w:pPr>
    <w:rPr>
      <w:rFonts w:ascii="Verdana" w:eastAsia="MS Mincho" w:hAnsi="Verdana"/>
      <w:b/>
      <w:caps/>
      <w:color w:val="365F91"/>
      <w:sz w:val="20"/>
      <w:szCs w:val="20"/>
      <w:lang w:eastAsia="ja-JP"/>
    </w:rPr>
  </w:style>
  <w:style w:type="paragraph" w:customStyle="1" w:styleId="ReportSub-chapters">
    <w:name w:val="Report Sub-chapters"/>
    <w:basedOn w:val="ReportChapters"/>
    <w:qFormat/>
    <w:pPr>
      <w:numPr>
        <w:ilvl w:val="1"/>
      </w:numPr>
    </w:pPr>
    <w:rPr>
      <w:rFonts w:ascii="Verdana Bold" w:hAnsi="Verdana Bold"/>
      <w:caps w:val="0"/>
    </w:rPr>
  </w:style>
  <w:style w:type="paragraph" w:customStyle="1" w:styleId="ReportSub-sub-chapters">
    <w:name w:val="Report Sub-sub-chapters"/>
    <w:basedOn w:val="ReportParagraph"/>
    <w:qFormat/>
    <w:pPr>
      <w:numPr>
        <w:ilvl w:val="2"/>
        <w:numId w:val="25"/>
      </w:numPr>
    </w:pPr>
    <w:rPr>
      <w:b/>
      <w:i/>
    </w:rPr>
  </w:style>
  <w:style w:type="paragraph" w:customStyle="1" w:styleId="ReportSub-sub-sub-chapters">
    <w:name w:val="Report Sub-sub-sub-chapters"/>
    <w:basedOn w:val="ReportParagraph"/>
    <w:qFormat/>
    <w:pPr>
      <w:numPr>
        <w:ilvl w:val="3"/>
        <w:numId w:val="25"/>
      </w:numPr>
    </w:pPr>
    <w:rPr>
      <w:i/>
    </w:rPr>
  </w:style>
  <w:style w:type="paragraph" w:customStyle="1" w:styleId="ReportMainIdea">
    <w:name w:val="Report Main Idea"/>
    <w:basedOn w:val="ReportParagraph"/>
    <w:qFormat/>
    <w:pPr>
      <w:jc w:val="center"/>
    </w:pPr>
    <w:rPr>
      <w:b/>
    </w:rPr>
  </w:style>
  <w:style w:type="character" w:customStyle="1" w:styleId="pageheading">
    <w:name w:val="pageheading"/>
    <w:rPr>
      <w:b/>
      <w:bCs/>
      <w:sz w:val="21"/>
      <w:szCs w:val="21"/>
    </w:rPr>
  </w:style>
  <w:style w:type="paragraph" w:customStyle="1" w:styleId="sourcereference">
    <w:name w:val="source reference"/>
    <w:basedOn w:val="Normal"/>
    <w:link w:val="sourcereferenceChar"/>
    <w:qFormat/>
    <w:pPr>
      <w:spacing w:before="0" w:after="200" w:line="276" w:lineRule="auto"/>
      <w:jc w:val="left"/>
    </w:pPr>
    <w:rPr>
      <w:i/>
      <w:sz w:val="20"/>
      <w:szCs w:val="20"/>
    </w:rPr>
  </w:style>
  <w:style w:type="character" w:customStyle="1" w:styleId="sourcereferenceChar">
    <w:name w:val="source reference Char"/>
    <w:link w:val="sourcereference"/>
    <w:rPr>
      <w:rFonts w:ascii="Times New Roman" w:eastAsia="Times New Roman" w:hAnsi="Times New Roman"/>
      <w:i/>
      <w:lang w:val="en-GB" w:eastAsia="en-US"/>
    </w:rPr>
  </w:style>
  <w:style w:type="table" w:styleId="LightShading-Accent1">
    <w:name w:val="Light Shading Accent 1"/>
    <w:basedOn w:val="TableNormal"/>
    <w:uiPriority w:val="6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Pr>
      <w:b/>
      <w:bCs/>
    </w:rPr>
  </w:style>
  <w:style w:type="character" w:styleId="SubtleEmphasis">
    <w:name w:val="Subtle Emphasis"/>
    <w:uiPriority w:val="19"/>
    <w:qFormat/>
    <w:rPr>
      <w:i/>
      <w:iCs/>
      <w:color w:val="808080"/>
    </w:rPr>
  </w:style>
  <w:style w:type="character" w:customStyle="1" w:styleId="5NormalChar">
    <w:name w:val="5 Normal Char"/>
    <w:link w:val="5Normal"/>
    <w:locked/>
    <w:rPr>
      <w:rFonts w:ascii="Arial" w:eastAsia="Times New Roman" w:hAnsi="Arial"/>
      <w:spacing w:val="-2"/>
      <w:sz w:val="22"/>
    </w:rPr>
  </w:style>
  <w:style w:type="paragraph" w:customStyle="1" w:styleId="3Titre">
    <w:name w:val="3 Titre"/>
    <w:basedOn w:val="Normal"/>
    <w:next w:val="Normal"/>
    <w:pPr>
      <w:keepNext/>
      <w:tabs>
        <w:tab w:val="left" w:pos="284"/>
        <w:tab w:val="left" w:pos="567"/>
        <w:tab w:val="left" w:pos="851"/>
        <w:tab w:val="left" w:pos="1134"/>
        <w:tab w:val="left" w:pos="1418"/>
        <w:tab w:val="left" w:pos="1701"/>
        <w:tab w:val="left" w:pos="1985"/>
        <w:tab w:val="left" w:pos="2268"/>
        <w:tab w:val="left" w:pos="2552"/>
        <w:tab w:val="left" w:pos="3119"/>
        <w:tab w:val="left" w:pos="4253"/>
        <w:tab w:val="left" w:pos="5954"/>
        <w:tab w:val="left" w:pos="8222"/>
        <w:tab w:val="right" w:pos="11057"/>
      </w:tabs>
      <w:spacing w:before="240" w:after="240"/>
      <w:ind w:right="57"/>
      <w:jc w:val="left"/>
    </w:pPr>
    <w:rPr>
      <w:rFonts w:ascii="Verdana" w:hAnsi="Verdana"/>
      <w:b/>
      <w:sz w:val="28"/>
      <w:szCs w:val="28"/>
      <w:lang w:eastAsia="en-GB"/>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19"/>
    <w:pPr>
      <w:spacing w:before="0" w:after="160" w:line="240" w:lineRule="exact"/>
    </w:pPr>
    <w:rPr>
      <w:rFonts w:ascii="Calibri" w:eastAsia="Calibri" w:hAnsi="Calibri"/>
      <w:sz w:val="20"/>
      <w:szCs w:val="20"/>
      <w:vertAlign w:val="superscript"/>
      <w:lang w:eastAsia="en-GB"/>
    </w:rPr>
  </w:style>
  <w:style w:type="character" w:customStyle="1" w:styleId="ListParagraphChar">
    <w:name w:val="List Paragraph Char"/>
    <w:aliases w:val="Bullet List Paragraph Char,List Paragraph1 Char"/>
    <w:link w:val="ListParagraph"/>
    <w:uiPriority w:val="34"/>
    <w:locked/>
    <w:rPr>
      <w:rFonts w:ascii="Verdana" w:eastAsia="Times New Roman" w:hAnsi="Verdana"/>
      <w:color w:val="333333"/>
      <w:szCs w:val="24"/>
    </w:rPr>
  </w:style>
  <w:style w:type="character" w:customStyle="1" w:styleId="Corpsdutexte">
    <w:name w:val="Corps du texte_"/>
    <w:link w:val="Corpsdutexte0"/>
    <w:rPr>
      <w:sz w:val="22"/>
      <w:szCs w:val="22"/>
      <w:shd w:val="clear" w:color="auto" w:fill="FFFFFF"/>
    </w:rPr>
  </w:style>
  <w:style w:type="character" w:customStyle="1" w:styleId="Corpsdutexte4">
    <w:name w:val="Corps du texte (4)_"/>
    <w:link w:val="Corpsdutexte40"/>
    <w:rPr>
      <w:sz w:val="22"/>
      <w:szCs w:val="22"/>
      <w:shd w:val="clear" w:color="auto" w:fill="FFFFFF"/>
    </w:rPr>
  </w:style>
  <w:style w:type="paragraph" w:customStyle="1" w:styleId="Corpsdutexte0">
    <w:name w:val="Corps du texte"/>
    <w:basedOn w:val="Normal"/>
    <w:link w:val="Corpsdutexte"/>
    <w:pPr>
      <w:widowControl w:val="0"/>
      <w:shd w:val="clear" w:color="auto" w:fill="FFFFFF"/>
      <w:spacing w:before="0" w:after="0" w:line="0" w:lineRule="atLeast"/>
      <w:ind w:hanging="360"/>
      <w:jc w:val="left"/>
    </w:pPr>
    <w:rPr>
      <w:rFonts w:ascii="Calibri" w:eastAsia="Calibri" w:hAnsi="Calibri"/>
      <w:sz w:val="22"/>
      <w:szCs w:val="22"/>
      <w:lang w:eastAsia="en-GB"/>
    </w:rPr>
  </w:style>
  <w:style w:type="paragraph" w:customStyle="1" w:styleId="Corpsdutexte40">
    <w:name w:val="Corps du texte (4)"/>
    <w:basedOn w:val="Normal"/>
    <w:link w:val="Corpsdutexte4"/>
    <w:pPr>
      <w:widowControl w:val="0"/>
      <w:shd w:val="clear" w:color="auto" w:fill="FFFFFF"/>
      <w:spacing w:before="1380" w:after="300" w:line="274" w:lineRule="exact"/>
      <w:jc w:val="center"/>
    </w:pPr>
    <w:rPr>
      <w:rFonts w:ascii="Calibri" w:eastAsia="Calibri" w:hAnsi="Calibri"/>
      <w:sz w:val="22"/>
      <w:szCs w:val="22"/>
      <w:lang w:eastAsia="en-GB"/>
    </w:rPr>
  </w:style>
  <w:style w:type="paragraph" w:customStyle="1" w:styleId="AddressTR">
    <w:name w:val="AddressTR"/>
    <w:basedOn w:val="Normal"/>
    <w:next w:val="Normal"/>
    <w:pPr>
      <w:spacing w:before="0" w:after="720"/>
      <w:ind w:left="5103"/>
      <w:jc w:val="left"/>
    </w:pPr>
    <w:rPr>
      <w:szCs w:val="20"/>
    </w:rPr>
  </w:style>
  <w:style w:type="character" w:customStyle="1" w:styleId="mw-headline">
    <w:name w:val="mw-headline"/>
  </w:style>
  <w:style w:type="character" w:customStyle="1" w:styleId="CaptionChar2">
    <w:name w:val="Caption Char2"/>
    <w:aliases w:val="Legend Char,Figure reference Char,Tab_Überschrift Char,Caption Char1 Char,Caption Char Char Char,Caption Char1 Char Char Char Char,Caption Char Char Char Char Char Char,Caption Char1 Char Char Char Char Char Char,Caption Char Char1"/>
    <w:link w:val="Caption"/>
    <w:uiPriority w:val="35"/>
    <w:locked/>
    <w:rsid w:val="00652DBE"/>
    <w:rPr>
      <w:rFonts w:ascii="Times New Roman" w:eastAsia="Times New Roman" w:hAnsi="Times New Roman"/>
      <w:b/>
      <w:lang w:eastAsia="en-US"/>
    </w:rPr>
  </w:style>
  <w:style w:type="paragraph" w:customStyle="1" w:styleId="Pa14">
    <w:name w:val="Pa14"/>
    <w:basedOn w:val="Default"/>
    <w:next w:val="Default"/>
    <w:uiPriority w:val="99"/>
    <w:pPr>
      <w:spacing w:line="241" w:lineRule="atLeast"/>
    </w:pPr>
    <w:rPr>
      <w:rFonts w:ascii="EC Square Sans Pro Medium" w:eastAsia="Calibri" w:hAnsi="EC Square Sans Pro Medium" w:cs="Times New Roman"/>
      <w:color w:val="auto"/>
    </w:rPr>
  </w:style>
  <w:style w:type="character" w:customStyle="1" w:styleId="A3">
    <w:name w:val="A3"/>
    <w:uiPriority w:val="99"/>
    <w:rPr>
      <w:rFonts w:ascii="EC Square Sans Pro" w:hAnsi="EC Square Sans Pro" w:cs="EC Square Sans Pro"/>
      <w:color w:val="000000"/>
      <w:sz w:val="20"/>
      <w:szCs w:val="20"/>
    </w:rPr>
  </w:style>
  <w:style w:type="character" w:customStyle="1" w:styleId="A12">
    <w:name w:val="A12"/>
    <w:uiPriority w:val="99"/>
    <w:rPr>
      <w:rFonts w:ascii="EC Square Sans Pro" w:hAnsi="EC Square Sans Pro" w:cs="EC Square Sans Pro"/>
      <w:color w:val="000000"/>
      <w:sz w:val="11"/>
      <w:szCs w:val="11"/>
    </w:rPr>
  </w:style>
  <w:style w:type="paragraph" w:customStyle="1" w:styleId="BTBullet1">
    <w:name w:val="BTBullet1"/>
    <w:basedOn w:val="Normal"/>
    <w:uiPriority w:val="6"/>
    <w:qFormat/>
    <w:pPr>
      <w:numPr>
        <w:numId w:val="32"/>
      </w:numPr>
      <w:spacing w:before="0" w:after="0" w:line="240" w:lineRule="atLeast"/>
      <w:ind w:left="660" w:hanging="360"/>
      <w:jc w:val="left"/>
    </w:pPr>
    <w:rPr>
      <w:rFonts w:ascii="Arial" w:eastAsia="Calibri" w:hAnsi="Arial"/>
      <w:sz w:val="20"/>
    </w:rPr>
  </w:style>
  <w:style w:type="paragraph" w:customStyle="1" w:styleId="Figure">
    <w:name w:val="Figure"/>
    <w:basedOn w:val="Normal"/>
    <w:next w:val="BodyText"/>
    <w:uiPriority w:val="11"/>
    <w:qFormat/>
    <w:pPr>
      <w:keepNext/>
      <w:spacing w:line="240" w:lineRule="atLeast"/>
      <w:ind w:left="4320" w:hanging="360"/>
      <w:jc w:val="left"/>
    </w:pPr>
    <w:rPr>
      <w:rFonts w:ascii="Calibri" w:eastAsia="Calibri" w:hAnsi="Calibri"/>
      <w:b/>
      <w:color w:val="0067AC"/>
      <w:sz w:val="20"/>
    </w:rPr>
  </w:style>
  <w:style w:type="paragraph" w:customStyle="1" w:styleId="Table">
    <w:name w:val="Table"/>
    <w:basedOn w:val="Normal"/>
    <w:next w:val="BodyText"/>
    <w:uiPriority w:val="11"/>
    <w:qFormat/>
    <w:pPr>
      <w:keepNext/>
      <w:spacing w:line="240" w:lineRule="atLeast"/>
      <w:ind w:left="5040" w:hanging="360"/>
      <w:jc w:val="left"/>
    </w:pPr>
    <w:rPr>
      <w:rFonts w:ascii="Calibri" w:eastAsia="Calibri" w:hAnsi="Calibri"/>
      <w:b/>
      <w:color w:val="0067AC"/>
      <w:sz w:val="20"/>
    </w:rPr>
  </w:style>
  <w:style w:type="paragraph" w:customStyle="1" w:styleId="BTBullet2">
    <w:name w:val="BTBullet2"/>
    <w:basedOn w:val="Normal"/>
    <w:uiPriority w:val="6"/>
    <w:qFormat/>
    <w:pPr>
      <w:numPr>
        <w:ilvl w:val="1"/>
        <w:numId w:val="32"/>
      </w:numPr>
      <w:spacing w:before="0" w:after="0" w:line="240" w:lineRule="atLeast"/>
      <w:ind w:left="1380" w:hanging="360"/>
      <w:jc w:val="left"/>
    </w:pPr>
    <w:rPr>
      <w:rFonts w:ascii="Arial" w:eastAsia="Calibri" w:hAnsi="Arial"/>
      <w:sz w:val="20"/>
    </w:rPr>
  </w:style>
  <w:style w:type="paragraph" w:customStyle="1" w:styleId="FooterLand">
    <w:name w:val="FooterLand"/>
    <w:basedOn w:val="Footer"/>
    <w:uiPriority w:val="29"/>
    <w:semiHidden/>
    <w:qFormat/>
    <w:pPr>
      <w:tabs>
        <w:tab w:val="clear" w:pos="4535"/>
        <w:tab w:val="clear" w:pos="9071"/>
        <w:tab w:val="clear" w:pos="9921"/>
        <w:tab w:val="right" w:pos="14005"/>
      </w:tabs>
      <w:spacing w:before="0"/>
      <w:ind w:left="0" w:right="0"/>
    </w:pPr>
    <w:rPr>
      <w:rFonts w:ascii="Arial" w:eastAsia="Calibri" w:hAnsi="Arial"/>
      <w:sz w:val="20"/>
    </w:rPr>
  </w:style>
  <w:style w:type="paragraph" w:customStyle="1" w:styleId="BTBullet3">
    <w:name w:val="BTBullet3"/>
    <w:basedOn w:val="Normal"/>
    <w:uiPriority w:val="6"/>
    <w:qFormat/>
    <w:pPr>
      <w:numPr>
        <w:ilvl w:val="2"/>
        <w:numId w:val="32"/>
      </w:numPr>
      <w:spacing w:before="0" w:after="0" w:line="240" w:lineRule="atLeast"/>
      <w:ind w:left="2100" w:hanging="180"/>
      <w:jc w:val="left"/>
    </w:pPr>
    <w:rPr>
      <w:rFonts w:ascii="Arial" w:eastAsia="Calibri" w:hAnsi="Arial"/>
      <w:sz w:val="20"/>
    </w:rPr>
  </w:style>
  <w:style w:type="numbering" w:customStyle="1" w:styleId="NumbLstMain">
    <w:name w:val="NumbLstMain"/>
    <w:uiPriority w:val="99"/>
    <w:pPr>
      <w:numPr>
        <w:numId w:val="30"/>
      </w:numPr>
    </w:pPr>
  </w:style>
  <w:style w:type="paragraph" w:customStyle="1" w:styleId="Box">
    <w:name w:val="Box"/>
    <w:basedOn w:val="Normal"/>
    <w:next w:val="BodyText"/>
    <w:uiPriority w:val="6"/>
    <w:qFormat/>
    <w:pPr>
      <w:spacing w:line="240" w:lineRule="atLeast"/>
      <w:ind w:left="5760" w:hanging="360"/>
      <w:jc w:val="left"/>
    </w:pPr>
    <w:rPr>
      <w:rFonts w:ascii="Calibri" w:eastAsia="Calibri" w:hAnsi="Calibri"/>
      <w:b/>
      <w:color w:val="0067AC"/>
      <w:sz w:val="20"/>
    </w:rPr>
  </w:style>
  <w:style w:type="numbering" w:customStyle="1" w:styleId="NumbLstBTBullet">
    <w:name w:val="NumbLstBTBullet"/>
    <w:uiPriority w:val="99"/>
    <w:pPr>
      <w:numPr>
        <w:numId w:val="31"/>
      </w:numPr>
    </w:pPr>
  </w:style>
  <w:style w:type="character" w:styleId="LineNumber">
    <w:name w:val="line number"/>
    <w:basedOn w:val="DefaultParagraphFont"/>
    <w:uiPriority w:val="99"/>
    <w:semiHidden/>
    <w:unhideWhenUsed/>
  </w:style>
  <w:style w:type="paragraph" w:styleId="NoSpacing">
    <w:name w:val="No Spacing"/>
    <w:uiPriority w:val="1"/>
    <w:qFormat/>
    <w:rPr>
      <w:sz w:val="22"/>
      <w:szCs w:val="22"/>
      <w:lang w:val="en-US" w:eastAsia="en-US"/>
    </w:rPr>
  </w:style>
  <w:style w:type="paragraph" w:styleId="PlainText">
    <w:name w:val="Plain Text"/>
    <w:basedOn w:val="Normal"/>
    <w:link w:val="PlainTextChar"/>
    <w:uiPriority w:val="99"/>
    <w:unhideWhenUsed/>
    <w:rsid w:val="005802C6"/>
    <w:pPr>
      <w:spacing w:before="0" w:after="0"/>
      <w:jc w:val="left"/>
    </w:pPr>
    <w:rPr>
      <w:rFonts w:ascii="Calibri" w:eastAsia="Calibri" w:hAnsi="Calibri"/>
      <w:sz w:val="22"/>
      <w:szCs w:val="21"/>
      <w:lang w:eastAsia="en-GB"/>
    </w:rPr>
  </w:style>
  <w:style w:type="character" w:customStyle="1" w:styleId="PlainTextChar">
    <w:name w:val="Plain Text Char"/>
    <w:link w:val="PlainText"/>
    <w:uiPriority w:val="99"/>
    <w:rsid w:val="005802C6"/>
    <w:rPr>
      <w:sz w:val="22"/>
      <w:szCs w:val="21"/>
    </w:rPr>
  </w:style>
  <w:style w:type="table" w:customStyle="1" w:styleId="TableGrid1">
    <w:name w:val="Table Grid1"/>
    <w:basedOn w:val="TableNormal"/>
    <w:next w:val="TableGrid"/>
    <w:uiPriority w:val="59"/>
    <w:rsid w:val="00B1729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chnicalBlock">
    <w:name w:val="Technical Block"/>
    <w:basedOn w:val="Normal"/>
    <w:link w:val="TechnicalBlockChar"/>
    <w:rsid w:val="008B418B"/>
    <w:pPr>
      <w:spacing w:before="0" w:after="240"/>
      <w:jc w:val="center"/>
    </w:pPr>
  </w:style>
  <w:style w:type="character" w:customStyle="1" w:styleId="TechnicalBlockChar">
    <w:name w:val="Technical Block Char"/>
    <w:basedOn w:val="DefaultParagraphFont"/>
    <w:link w:val="TechnicalBlock"/>
    <w:rsid w:val="008B418B"/>
    <w:rPr>
      <w:rFonts w:ascii="Times New Roman" w:eastAsia="Times New Roman" w:hAnsi="Times New Roman"/>
      <w:sz w:val="24"/>
      <w:szCs w:val="24"/>
      <w:lang w:eastAsia="en-US"/>
    </w:rPr>
  </w:style>
  <w:style w:type="paragraph" w:customStyle="1" w:styleId="EntText">
    <w:name w:val="EntText"/>
    <w:basedOn w:val="Normal"/>
    <w:rsid w:val="008B418B"/>
    <w:pPr>
      <w:spacing w:line="360" w:lineRule="auto"/>
      <w:jc w:val="left"/>
    </w:pPr>
  </w:style>
  <w:style w:type="paragraph" w:customStyle="1" w:styleId="Lignefinal">
    <w:name w:val="Ligne final"/>
    <w:basedOn w:val="Normal"/>
    <w:next w:val="Normal"/>
    <w:rsid w:val="008B418B"/>
    <w:pPr>
      <w:pBdr>
        <w:bottom w:val="single" w:sz="4" w:space="0" w:color="000000"/>
      </w:pBdr>
      <w:spacing w:before="360" w:line="360" w:lineRule="auto"/>
      <w:ind w:left="3400" w:right="3400"/>
      <w:jc w:val="center"/>
    </w:pPr>
    <w:rPr>
      <w:b/>
    </w:rPr>
  </w:style>
  <w:style w:type="paragraph" w:customStyle="1" w:styleId="pj">
    <w:name w:val="p.j."/>
    <w:basedOn w:val="Normal"/>
    <w:link w:val="pjChar"/>
    <w:rsid w:val="008B418B"/>
    <w:pPr>
      <w:spacing w:before="1200"/>
      <w:ind w:left="1440" w:hanging="1440"/>
      <w:jc w:val="left"/>
    </w:pPr>
  </w:style>
  <w:style w:type="character" w:customStyle="1" w:styleId="pjChar">
    <w:name w:val="p.j. Char"/>
    <w:basedOn w:val="TechnicalBlockChar"/>
    <w:link w:val="pj"/>
    <w:rsid w:val="008B418B"/>
    <w:rPr>
      <w:rFonts w:ascii="Times New Roman" w:eastAsia="Times New Roman" w:hAnsi="Times New Roman"/>
      <w:sz w:val="24"/>
      <w:szCs w:val="24"/>
      <w:lang w:eastAsia="en-US"/>
    </w:rPr>
  </w:style>
  <w:style w:type="paragraph" w:customStyle="1" w:styleId="HeaderCouncil">
    <w:name w:val="Header Council"/>
    <w:basedOn w:val="Normal"/>
    <w:link w:val="HeaderCouncilChar"/>
    <w:rsid w:val="008B418B"/>
    <w:pPr>
      <w:spacing w:before="0" w:after="0"/>
    </w:pPr>
    <w:rPr>
      <w:sz w:val="2"/>
    </w:rPr>
  </w:style>
  <w:style w:type="character" w:customStyle="1" w:styleId="HeaderCouncilChar">
    <w:name w:val="Header Council Char"/>
    <w:basedOn w:val="pjChar"/>
    <w:link w:val="HeaderCouncil"/>
    <w:rsid w:val="008B418B"/>
    <w:rPr>
      <w:rFonts w:ascii="Times New Roman" w:eastAsia="Times New Roman" w:hAnsi="Times New Roman"/>
      <w:sz w:val="2"/>
      <w:szCs w:val="24"/>
      <w:lang w:eastAsia="en-US"/>
    </w:rPr>
  </w:style>
  <w:style w:type="paragraph" w:customStyle="1" w:styleId="HeaderCouncilLarge">
    <w:name w:val="Header Council Large"/>
    <w:basedOn w:val="Normal"/>
    <w:link w:val="HeaderCouncilLargeChar"/>
    <w:rsid w:val="008B418B"/>
    <w:pPr>
      <w:spacing w:before="0" w:after="440"/>
    </w:pPr>
    <w:rPr>
      <w:sz w:val="2"/>
    </w:rPr>
  </w:style>
  <w:style w:type="character" w:customStyle="1" w:styleId="HeaderCouncilLargeChar">
    <w:name w:val="Header Council Large Char"/>
    <w:basedOn w:val="pjChar"/>
    <w:link w:val="HeaderCouncilLarge"/>
    <w:rsid w:val="008B418B"/>
    <w:rPr>
      <w:rFonts w:ascii="Times New Roman" w:eastAsia="Times New Roman" w:hAnsi="Times New Roman"/>
      <w:sz w:val="2"/>
      <w:szCs w:val="24"/>
      <w:lang w:eastAsia="en-US"/>
    </w:rPr>
  </w:style>
  <w:style w:type="paragraph" w:customStyle="1" w:styleId="FooterCouncil">
    <w:name w:val="Footer Council"/>
    <w:basedOn w:val="Normal"/>
    <w:link w:val="FooterCouncilChar"/>
    <w:rsid w:val="008B418B"/>
    <w:pPr>
      <w:spacing w:before="0" w:after="0"/>
    </w:pPr>
    <w:rPr>
      <w:sz w:val="2"/>
    </w:rPr>
  </w:style>
  <w:style w:type="character" w:customStyle="1" w:styleId="FooterCouncilChar">
    <w:name w:val="Footer Council Char"/>
    <w:basedOn w:val="pjChar"/>
    <w:link w:val="FooterCouncil"/>
    <w:rsid w:val="008B418B"/>
    <w:rPr>
      <w:rFonts w:ascii="Times New Roman" w:eastAsia="Times New Roman" w:hAnsi="Times New Roman"/>
      <w:sz w:val="2"/>
      <w:szCs w:val="24"/>
      <w:lang w:eastAsia="en-US"/>
    </w:rPr>
  </w:style>
  <w:style w:type="paragraph" w:customStyle="1" w:styleId="FooterText">
    <w:name w:val="Footer Text"/>
    <w:basedOn w:val="Normal"/>
    <w:rsid w:val="008B418B"/>
    <w:pPr>
      <w:spacing w:before="0"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6888">
      <w:bodyDiv w:val="1"/>
      <w:marLeft w:val="0"/>
      <w:marRight w:val="0"/>
      <w:marTop w:val="0"/>
      <w:marBottom w:val="0"/>
      <w:divBdr>
        <w:top w:val="none" w:sz="0" w:space="0" w:color="auto"/>
        <w:left w:val="none" w:sz="0" w:space="0" w:color="auto"/>
        <w:bottom w:val="none" w:sz="0" w:space="0" w:color="auto"/>
        <w:right w:val="none" w:sz="0" w:space="0" w:color="auto"/>
      </w:divBdr>
    </w:div>
    <w:div w:id="248856771">
      <w:bodyDiv w:val="1"/>
      <w:marLeft w:val="0"/>
      <w:marRight w:val="0"/>
      <w:marTop w:val="0"/>
      <w:marBottom w:val="0"/>
      <w:divBdr>
        <w:top w:val="none" w:sz="0" w:space="0" w:color="auto"/>
        <w:left w:val="none" w:sz="0" w:space="0" w:color="auto"/>
        <w:bottom w:val="none" w:sz="0" w:space="0" w:color="auto"/>
        <w:right w:val="none" w:sz="0" w:space="0" w:color="auto"/>
      </w:divBdr>
    </w:div>
    <w:div w:id="276955554">
      <w:bodyDiv w:val="1"/>
      <w:marLeft w:val="0"/>
      <w:marRight w:val="0"/>
      <w:marTop w:val="0"/>
      <w:marBottom w:val="0"/>
      <w:divBdr>
        <w:top w:val="none" w:sz="0" w:space="0" w:color="auto"/>
        <w:left w:val="none" w:sz="0" w:space="0" w:color="auto"/>
        <w:bottom w:val="none" w:sz="0" w:space="0" w:color="auto"/>
        <w:right w:val="none" w:sz="0" w:space="0" w:color="auto"/>
      </w:divBdr>
    </w:div>
    <w:div w:id="357049754">
      <w:bodyDiv w:val="1"/>
      <w:marLeft w:val="0"/>
      <w:marRight w:val="0"/>
      <w:marTop w:val="0"/>
      <w:marBottom w:val="0"/>
      <w:divBdr>
        <w:top w:val="none" w:sz="0" w:space="0" w:color="auto"/>
        <w:left w:val="none" w:sz="0" w:space="0" w:color="auto"/>
        <w:bottom w:val="none" w:sz="0" w:space="0" w:color="auto"/>
        <w:right w:val="none" w:sz="0" w:space="0" w:color="auto"/>
      </w:divBdr>
    </w:div>
    <w:div w:id="380522499">
      <w:bodyDiv w:val="1"/>
      <w:marLeft w:val="0"/>
      <w:marRight w:val="0"/>
      <w:marTop w:val="0"/>
      <w:marBottom w:val="0"/>
      <w:divBdr>
        <w:top w:val="none" w:sz="0" w:space="0" w:color="auto"/>
        <w:left w:val="none" w:sz="0" w:space="0" w:color="auto"/>
        <w:bottom w:val="none" w:sz="0" w:space="0" w:color="auto"/>
        <w:right w:val="none" w:sz="0" w:space="0" w:color="auto"/>
      </w:divBdr>
    </w:div>
    <w:div w:id="432356823">
      <w:bodyDiv w:val="1"/>
      <w:marLeft w:val="0"/>
      <w:marRight w:val="0"/>
      <w:marTop w:val="0"/>
      <w:marBottom w:val="0"/>
      <w:divBdr>
        <w:top w:val="none" w:sz="0" w:space="0" w:color="auto"/>
        <w:left w:val="none" w:sz="0" w:space="0" w:color="auto"/>
        <w:bottom w:val="none" w:sz="0" w:space="0" w:color="auto"/>
        <w:right w:val="none" w:sz="0" w:space="0" w:color="auto"/>
      </w:divBdr>
    </w:div>
    <w:div w:id="469710299">
      <w:bodyDiv w:val="1"/>
      <w:marLeft w:val="0"/>
      <w:marRight w:val="0"/>
      <w:marTop w:val="0"/>
      <w:marBottom w:val="0"/>
      <w:divBdr>
        <w:top w:val="none" w:sz="0" w:space="0" w:color="auto"/>
        <w:left w:val="none" w:sz="0" w:space="0" w:color="auto"/>
        <w:bottom w:val="none" w:sz="0" w:space="0" w:color="auto"/>
        <w:right w:val="none" w:sz="0" w:space="0" w:color="auto"/>
      </w:divBdr>
      <w:divsChild>
        <w:div w:id="692848217">
          <w:marLeft w:val="0"/>
          <w:marRight w:val="0"/>
          <w:marTop w:val="0"/>
          <w:marBottom w:val="0"/>
          <w:divBdr>
            <w:top w:val="single" w:sz="2" w:space="0" w:color="FFFFFF"/>
            <w:left w:val="single" w:sz="2" w:space="0" w:color="FFFFFF"/>
            <w:bottom w:val="single" w:sz="2" w:space="0" w:color="FFFFFF"/>
            <w:right w:val="single" w:sz="2" w:space="0" w:color="FFFFFF"/>
          </w:divBdr>
          <w:divsChild>
            <w:div w:id="601110539">
              <w:marLeft w:val="0"/>
              <w:marRight w:val="0"/>
              <w:marTop w:val="0"/>
              <w:marBottom w:val="0"/>
              <w:divBdr>
                <w:top w:val="single" w:sz="6" w:space="0" w:color="FFFFFF"/>
                <w:left w:val="none" w:sz="0" w:space="0" w:color="auto"/>
                <w:bottom w:val="none" w:sz="0" w:space="0" w:color="auto"/>
                <w:right w:val="none" w:sz="0" w:space="0" w:color="auto"/>
              </w:divBdr>
              <w:divsChild>
                <w:div w:id="783043073">
                  <w:marLeft w:val="0"/>
                  <w:marRight w:val="0"/>
                  <w:marTop w:val="0"/>
                  <w:marBottom w:val="0"/>
                  <w:divBdr>
                    <w:top w:val="none" w:sz="0" w:space="0" w:color="auto"/>
                    <w:left w:val="none" w:sz="0" w:space="0" w:color="auto"/>
                    <w:bottom w:val="none" w:sz="0" w:space="0" w:color="auto"/>
                    <w:right w:val="none" w:sz="0" w:space="0" w:color="auto"/>
                  </w:divBdr>
                  <w:divsChild>
                    <w:div w:id="1391077513">
                      <w:marLeft w:val="0"/>
                      <w:marRight w:val="0"/>
                      <w:marTop w:val="0"/>
                      <w:marBottom w:val="0"/>
                      <w:divBdr>
                        <w:top w:val="none" w:sz="0" w:space="0" w:color="auto"/>
                        <w:left w:val="none" w:sz="0" w:space="0" w:color="auto"/>
                        <w:bottom w:val="none" w:sz="0" w:space="0" w:color="auto"/>
                        <w:right w:val="none" w:sz="0" w:space="0" w:color="auto"/>
                      </w:divBdr>
                      <w:divsChild>
                        <w:div w:id="439421454">
                          <w:marLeft w:val="0"/>
                          <w:marRight w:val="0"/>
                          <w:marTop w:val="0"/>
                          <w:marBottom w:val="0"/>
                          <w:divBdr>
                            <w:top w:val="none" w:sz="0" w:space="0" w:color="auto"/>
                            <w:left w:val="none" w:sz="0" w:space="0" w:color="auto"/>
                            <w:bottom w:val="none" w:sz="0" w:space="0" w:color="auto"/>
                            <w:right w:val="none" w:sz="0" w:space="0" w:color="auto"/>
                          </w:divBdr>
                          <w:divsChild>
                            <w:div w:id="20251862">
                              <w:marLeft w:val="0"/>
                              <w:marRight w:val="0"/>
                              <w:marTop w:val="0"/>
                              <w:marBottom w:val="0"/>
                              <w:divBdr>
                                <w:top w:val="none" w:sz="0" w:space="0" w:color="auto"/>
                                <w:left w:val="none" w:sz="0" w:space="0" w:color="auto"/>
                                <w:bottom w:val="none" w:sz="0" w:space="0" w:color="auto"/>
                                <w:right w:val="none" w:sz="0" w:space="0" w:color="auto"/>
                              </w:divBdr>
                              <w:divsChild>
                                <w:div w:id="2073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575192">
      <w:bodyDiv w:val="1"/>
      <w:marLeft w:val="0"/>
      <w:marRight w:val="0"/>
      <w:marTop w:val="0"/>
      <w:marBottom w:val="0"/>
      <w:divBdr>
        <w:top w:val="none" w:sz="0" w:space="0" w:color="auto"/>
        <w:left w:val="none" w:sz="0" w:space="0" w:color="auto"/>
        <w:bottom w:val="none" w:sz="0" w:space="0" w:color="auto"/>
        <w:right w:val="none" w:sz="0" w:space="0" w:color="auto"/>
      </w:divBdr>
    </w:div>
    <w:div w:id="549145432">
      <w:bodyDiv w:val="1"/>
      <w:marLeft w:val="0"/>
      <w:marRight w:val="0"/>
      <w:marTop w:val="0"/>
      <w:marBottom w:val="0"/>
      <w:divBdr>
        <w:top w:val="none" w:sz="0" w:space="0" w:color="auto"/>
        <w:left w:val="none" w:sz="0" w:space="0" w:color="auto"/>
        <w:bottom w:val="none" w:sz="0" w:space="0" w:color="auto"/>
        <w:right w:val="none" w:sz="0" w:space="0" w:color="auto"/>
      </w:divBdr>
    </w:div>
    <w:div w:id="611136262">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
    <w:div w:id="676805117">
      <w:bodyDiv w:val="1"/>
      <w:marLeft w:val="0"/>
      <w:marRight w:val="0"/>
      <w:marTop w:val="0"/>
      <w:marBottom w:val="0"/>
      <w:divBdr>
        <w:top w:val="none" w:sz="0" w:space="0" w:color="auto"/>
        <w:left w:val="none" w:sz="0" w:space="0" w:color="auto"/>
        <w:bottom w:val="none" w:sz="0" w:space="0" w:color="auto"/>
        <w:right w:val="none" w:sz="0" w:space="0" w:color="auto"/>
      </w:divBdr>
    </w:div>
    <w:div w:id="683213665">
      <w:bodyDiv w:val="1"/>
      <w:marLeft w:val="0"/>
      <w:marRight w:val="0"/>
      <w:marTop w:val="0"/>
      <w:marBottom w:val="0"/>
      <w:divBdr>
        <w:top w:val="none" w:sz="0" w:space="0" w:color="auto"/>
        <w:left w:val="none" w:sz="0" w:space="0" w:color="auto"/>
        <w:bottom w:val="none" w:sz="0" w:space="0" w:color="auto"/>
        <w:right w:val="none" w:sz="0" w:space="0" w:color="auto"/>
      </w:divBdr>
      <w:divsChild>
        <w:div w:id="1151094660">
          <w:marLeft w:val="0"/>
          <w:marRight w:val="0"/>
          <w:marTop w:val="0"/>
          <w:marBottom w:val="0"/>
          <w:divBdr>
            <w:top w:val="none" w:sz="0" w:space="0" w:color="auto"/>
            <w:left w:val="none" w:sz="0" w:space="0" w:color="auto"/>
            <w:bottom w:val="none" w:sz="0" w:space="0" w:color="auto"/>
            <w:right w:val="none" w:sz="0" w:space="0" w:color="auto"/>
          </w:divBdr>
          <w:divsChild>
            <w:div w:id="559098631">
              <w:marLeft w:val="0"/>
              <w:marRight w:val="0"/>
              <w:marTop w:val="0"/>
              <w:marBottom w:val="0"/>
              <w:divBdr>
                <w:top w:val="none" w:sz="0" w:space="0" w:color="auto"/>
                <w:left w:val="none" w:sz="0" w:space="0" w:color="auto"/>
                <w:bottom w:val="none" w:sz="0" w:space="0" w:color="auto"/>
                <w:right w:val="none" w:sz="0" w:space="0" w:color="auto"/>
              </w:divBdr>
              <w:divsChild>
                <w:div w:id="19950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13426859">
      <w:bodyDiv w:val="1"/>
      <w:marLeft w:val="0"/>
      <w:marRight w:val="0"/>
      <w:marTop w:val="0"/>
      <w:marBottom w:val="0"/>
      <w:divBdr>
        <w:top w:val="none" w:sz="0" w:space="0" w:color="auto"/>
        <w:left w:val="none" w:sz="0" w:space="0" w:color="auto"/>
        <w:bottom w:val="none" w:sz="0" w:space="0" w:color="auto"/>
        <w:right w:val="none" w:sz="0" w:space="0" w:color="auto"/>
      </w:divBdr>
    </w:div>
    <w:div w:id="731778731">
      <w:bodyDiv w:val="1"/>
      <w:marLeft w:val="0"/>
      <w:marRight w:val="0"/>
      <w:marTop w:val="0"/>
      <w:marBottom w:val="0"/>
      <w:divBdr>
        <w:top w:val="none" w:sz="0" w:space="0" w:color="auto"/>
        <w:left w:val="none" w:sz="0" w:space="0" w:color="auto"/>
        <w:bottom w:val="none" w:sz="0" w:space="0" w:color="auto"/>
        <w:right w:val="none" w:sz="0" w:space="0" w:color="auto"/>
      </w:divBdr>
    </w:div>
    <w:div w:id="810906542">
      <w:bodyDiv w:val="1"/>
      <w:marLeft w:val="0"/>
      <w:marRight w:val="0"/>
      <w:marTop w:val="0"/>
      <w:marBottom w:val="0"/>
      <w:divBdr>
        <w:top w:val="none" w:sz="0" w:space="0" w:color="auto"/>
        <w:left w:val="none" w:sz="0" w:space="0" w:color="auto"/>
        <w:bottom w:val="none" w:sz="0" w:space="0" w:color="auto"/>
        <w:right w:val="none" w:sz="0" w:space="0" w:color="auto"/>
      </w:divBdr>
    </w:div>
    <w:div w:id="893125697">
      <w:bodyDiv w:val="1"/>
      <w:marLeft w:val="0"/>
      <w:marRight w:val="0"/>
      <w:marTop w:val="0"/>
      <w:marBottom w:val="0"/>
      <w:divBdr>
        <w:top w:val="none" w:sz="0" w:space="0" w:color="auto"/>
        <w:left w:val="none" w:sz="0" w:space="0" w:color="auto"/>
        <w:bottom w:val="none" w:sz="0" w:space="0" w:color="auto"/>
        <w:right w:val="none" w:sz="0" w:space="0" w:color="auto"/>
      </w:divBdr>
    </w:div>
    <w:div w:id="963849128">
      <w:bodyDiv w:val="1"/>
      <w:marLeft w:val="0"/>
      <w:marRight w:val="0"/>
      <w:marTop w:val="0"/>
      <w:marBottom w:val="0"/>
      <w:divBdr>
        <w:top w:val="none" w:sz="0" w:space="0" w:color="auto"/>
        <w:left w:val="none" w:sz="0" w:space="0" w:color="auto"/>
        <w:bottom w:val="none" w:sz="0" w:space="0" w:color="auto"/>
        <w:right w:val="none" w:sz="0" w:space="0" w:color="auto"/>
      </w:divBdr>
    </w:div>
    <w:div w:id="974216506">
      <w:bodyDiv w:val="1"/>
      <w:marLeft w:val="0"/>
      <w:marRight w:val="0"/>
      <w:marTop w:val="0"/>
      <w:marBottom w:val="0"/>
      <w:divBdr>
        <w:top w:val="none" w:sz="0" w:space="0" w:color="auto"/>
        <w:left w:val="none" w:sz="0" w:space="0" w:color="auto"/>
        <w:bottom w:val="none" w:sz="0" w:space="0" w:color="auto"/>
        <w:right w:val="none" w:sz="0" w:space="0" w:color="auto"/>
      </w:divBdr>
    </w:div>
    <w:div w:id="984554139">
      <w:bodyDiv w:val="1"/>
      <w:marLeft w:val="0"/>
      <w:marRight w:val="0"/>
      <w:marTop w:val="0"/>
      <w:marBottom w:val="0"/>
      <w:divBdr>
        <w:top w:val="none" w:sz="0" w:space="0" w:color="auto"/>
        <w:left w:val="none" w:sz="0" w:space="0" w:color="auto"/>
        <w:bottom w:val="none" w:sz="0" w:space="0" w:color="auto"/>
        <w:right w:val="none" w:sz="0" w:space="0" w:color="auto"/>
      </w:divBdr>
    </w:div>
    <w:div w:id="1137065369">
      <w:bodyDiv w:val="1"/>
      <w:marLeft w:val="0"/>
      <w:marRight w:val="0"/>
      <w:marTop w:val="0"/>
      <w:marBottom w:val="0"/>
      <w:divBdr>
        <w:top w:val="none" w:sz="0" w:space="0" w:color="auto"/>
        <w:left w:val="none" w:sz="0" w:space="0" w:color="auto"/>
        <w:bottom w:val="none" w:sz="0" w:space="0" w:color="auto"/>
        <w:right w:val="none" w:sz="0" w:space="0" w:color="auto"/>
      </w:divBdr>
      <w:divsChild>
        <w:div w:id="1343818975">
          <w:marLeft w:val="720"/>
          <w:marRight w:val="0"/>
          <w:marTop w:val="0"/>
          <w:marBottom w:val="0"/>
          <w:divBdr>
            <w:top w:val="none" w:sz="0" w:space="0" w:color="auto"/>
            <w:left w:val="none" w:sz="0" w:space="0" w:color="auto"/>
            <w:bottom w:val="none" w:sz="0" w:space="0" w:color="auto"/>
            <w:right w:val="none" w:sz="0" w:space="0" w:color="auto"/>
          </w:divBdr>
        </w:div>
      </w:divsChild>
    </w:div>
    <w:div w:id="1158961154">
      <w:bodyDiv w:val="1"/>
      <w:marLeft w:val="0"/>
      <w:marRight w:val="0"/>
      <w:marTop w:val="0"/>
      <w:marBottom w:val="0"/>
      <w:divBdr>
        <w:top w:val="none" w:sz="0" w:space="0" w:color="auto"/>
        <w:left w:val="none" w:sz="0" w:space="0" w:color="auto"/>
        <w:bottom w:val="none" w:sz="0" w:space="0" w:color="auto"/>
        <w:right w:val="none" w:sz="0" w:space="0" w:color="auto"/>
      </w:divBdr>
      <w:divsChild>
        <w:div w:id="1341157799">
          <w:marLeft w:val="274"/>
          <w:marRight w:val="0"/>
          <w:marTop w:val="86"/>
          <w:marBottom w:val="0"/>
          <w:divBdr>
            <w:top w:val="none" w:sz="0" w:space="0" w:color="auto"/>
            <w:left w:val="none" w:sz="0" w:space="0" w:color="auto"/>
            <w:bottom w:val="none" w:sz="0" w:space="0" w:color="auto"/>
            <w:right w:val="none" w:sz="0" w:space="0" w:color="auto"/>
          </w:divBdr>
        </w:div>
      </w:divsChild>
    </w:div>
    <w:div w:id="1326518332">
      <w:bodyDiv w:val="1"/>
      <w:marLeft w:val="0"/>
      <w:marRight w:val="0"/>
      <w:marTop w:val="0"/>
      <w:marBottom w:val="0"/>
      <w:divBdr>
        <w:top w:val="none" w:sz="0" w:space="0" w:color="auto"/>
        <w:left w:val="none" w:sz="0" w:space="0" w:color="auto"/>
        <w:bottom w:val="none" w:sz="0" w:space="0" w:color="auto"/>
        <w:right w:val="none" w:sz="0" w:space="0" w:color="auto"/>
      </w:divBdr>
    </w:div>
    <w:div w:id="1359814621">
      <w:bodyDiv w:val="1"/>
      <w:marLeft w:val="0"/>
      <w:marRight w:val="0"/>
      <w:marTop w:val="0"/>
      <w:marBottom w:val="0"/>
      <w:divBdr>
        <w:top w:val="none" w:sz="0" w:space="0" w:color="auto"/>
        <w:left w:val="none" w:sz="0" w:space="0" w:color="auto"/>
        <w:bottom w:val="none" w:sz="0" w:space="0" w:color="auto"/>
        <w:right w:val="none" w:sz="0" w:space="0" w:color="auto"/>
      </w:divBdr>
    </w:div>
    <w:div w:id="1484815327">
      <w:bodyDiv w:val="1"/>
      <w:marLeft w:val="0"/>
      <w:marRight w:val="0"/>
      <w:marTop w:val="0"/>
      <w:marBottom w:val="0"/>
      <w:divBdr>
        <w:top w:val="none" w:sz="0" w:space="0" w:color="auto"/>
        <w:left w:val="none" w:sz="0" w:space="0" w:color="auto"/>
        <w:bottom w:val="none" w:sz="0" w:space="0" w:color="auto"/>
        <w:right w:val="none" w:sz="0" w:space="0" w:color="auto"/>
      </w:divBdr>
    </w:div>
    <w:div w:id="1524124417">
      <w:bodyDiv w:val="1"/>
      <w:marLeft w:val="0"/>
      <w:marRight w:val="0"/>
      <w:marTop w:val="0"/>
      <w:marBottom w:val="0"/>
      <w:divBdr>
        <w:top w:val="none" w:sz="0" w:space="0" w:color="auto"/>
        <w:left w:val="none" w:sz="0" w:space="0" w:color="auto"/>
        <w:bottom w:val="none" w:sz="0" w:space="0" w:color="auto"/>
        <w:right w:val="none" w:sz="0" w:space="0" w:color="auto"/>
      </w:divBdr>
    </w:div>
    <w:div w:id="1567763764">
      <w:bodyDiv w:val="1"/>
      <w:marLeft w:val="0"/>
      <w:marRight w:val="0"/>
      <w:marTop w:val="0"/>
      <w:marBottom w:val="0"/>
      <w:divBdr>
        <w:top w:val="none" w:sz="0" w:space="0" w:color="auto"/>
        <w:left w:val="none" w:sz="0" w:space="0" w:color="auto"/>
        <w:bottom w:val="none" w:sz="0" w:space="0" w:color="auto"/>
        <w:right w:val="none" w:sz="0" w:space="0" w:color="auto"/>
      </w:divBdr>
    </w:div>
    <w:div w:id="1614510897">
      <w:bodyDiv w:val="1"/>
      <w:marLeft w:val="0"/>
      <w:marRight w:val="0"/>
      <w:marTop w:val="0"/>
      <w:marBottom w:val="0"/>
      <w:divBdr>
        <w:top w:val="none" w:sz="0" w:space="0" w:color="auto"/>
        <w:left w:val="none" w:sz="0" w:space="0" w:color="auto"/>
        <w:bottom w:val="none" w:sz="0" w:space="0" w:color="auto"/>
        <w:right w:val="none" w:sz="0" w:space="0" w:color="auto"/>
      </w:divBdr>
    </w:div>
    <w:div w:id="1679116614">
      <w:bodyDiv w:val="1"/>
      <w:marLeft w:val="0"/>
      <w:marRight w:val="0"/>
      <w:marTop w:val="0"/>
      <w:marBottom w:val="0"/>
      <w:divBdr>
        <w:top w:val="none" w:sz="0" w:space="0" w:color="auto"/>
        <w:left w:val="none" w:sz="0" w:space="0" w:color="auto"/>
        <w:bottom w:val="none" w:sz="0" w:space="0" w:color="auto"/>
        <w:right w:val="none" w:sz="0" w:space="0" w:color="auto"/>
      </w:divBdr>
    </w:div>
    <w:div w:id="1765879706">
      <w:bodyDiv w:val="1"/>
      <w:marLeft w:val="0"/>
      <w:marRight w:val="0"/>
      <w:marTop w:val="0"/>
      <w:marBottom w:val="0"/>
      <w:divBdr>
        <w:top w:val="none" w:sz="0" w:space="0" w:color="auto"/>
        <w:left w:val="none" w:sz="0" w:space="0" w:color="auto"/>
        <w:bottom w:val="none" w:sz="0" w:space="0" w:color="auto"/>
        <w:right w:val="none" w:sz="0" w:space="0" w:color="auto"/>
      </w:divBdr>
    </w:div>
    <w:div w:id="1809127620">
      <w:bodyDiv w:val="1"/>
      <w:marLeft w:val="0"/>
      <w:marRight w:val="0"/>
      <w:marTop w:val="0"/>
      <w:marBottom w:val="0"/>
      <w:divBdr>
        <w:top w:val="none" w:sz="0" w:space="0" w:color="auto"/>
        <w:left w:val="none" w:sz="0" w:space="0" w:color="auto"/>
        <w:bottom w:val="none" w:sz="0" w:space="0" w:color="auto"/>
        <w:right w:val="none" w:sz="0" w:space="0" w:color="auto"/>
      </w:divBdr>
    </w:div>
    <w:div w:id="1877087073">
      <w:bodyDiv w:val="1"/>
      <w:marLeft w:val="0"/>
      <w:marRight w:val="0"/>
      <w:marTop w:val="0"/>
      <w:marBottom w:val="0"/>
      <w:divBdr>
        <w:top w:val="none" w:sz="0" w:space="0" w:color="auto"/>
        <w:left w:val="none" w:sz="0" w:space="0" w:color="auto"/>
        <w:bottom w:val="none" w:sz="0" w:space="0" w:color="auto"/>
        <w:right w:val="none" w:sz="0" w:space="0" w:color="auto"/>
      </w:divBdr>
    </w:div>
    <w:div w:id="1878854776">
      <w:bodyDiv w:val="1"/>
      <w:marLeft w:val="0"/>
      <w:marRight w:val="0"/>
      <w:marTop w:val="0"/>
      <w:marBottom w:val="0"/>
      <w:divBdr>
        <w:top w:val="none" w:sz="0" w:space="0" w:color="auto"/>
        <w:left w:val="none" w:sz="0" w:space="0" w:color="auto"/>
        <w:bottom w:val="none" w:sz="0" w:space="0" w:color="auto"/>
        <w:right w:val="none" w:sz="0" w:space="0" w:color="auto"/>
      </w:divBdr>
    </w:div>
    <w:div w:id="1951814085">
      <w:bodyDiv w:val="1"/>
      <w:marLeft w:val="0"/>
      <w:marRight w:val="0"/>
      <w:marTop w:val="0"/>
      <w:marBottom w:val="0"/>
      <w:divBdr>
        <w:top w:val="none" w:sz="0" w:space="0" w:color="auto"/>
        <w:left w:val="none" w:sz="0" w:space="0" w:color="auto"/>
        <w:bottom w:val="none" w:sz="0" w:space="0" w:color="auto"/>
        <w:right w:val="none" w:sz="0" w:space="0" w:color="auto"/>
      </w:divBdr>
    </w:div>
    <w:div w:id="1963684267">
      <w:bodyDiv w:val="1"/>
      <w:marLeft w:val="0"/>
      <w:marRight w:val="0"/>
      <w:marTop w:val="0"/>
      <w:marBottom w:val="0"/>
      <w:divBdr>
        <w:top w:val="none" w:sz="0" w:space="0" w:color="auto"/>
        <w:left w:val="none" w:sz="0" w:space="0" w:color="auto"/>
        <w:bottom w:val="none" w:sz="0" w:space="0" w:color="auto"/>
        <w:right w:val="none" w:sz="0" w:space="0" w:color="auto"/>
      </w:divBdr>
    </w:div>
    <w:div w:id="2032803402">
      <w:bodyDiv w:val="1"/>
      <w:marLeft w:val="0"/>
      <w:marRight w:val="0"/>
      <w:marTop w:val="0"/>
      <w:marBottom w:val="0"/>
      <w:divBdr>
        <w:top w:val="none" w:sz="0" w:space="0" w:color="auto"/>
        <w:left w:val="none" w:sz="0" w:space="0" w:color="auto"/>
        <w:bottom w:val="none" w:sz="0" w:space="0" w:color="auto"/>
        <w:right w:val="none" w:sz="0" w:space="0" w:color="auto"/>
      </w:divBdr>
    </w:div>
    <w:div w:id="2065636538">
      <w:bodyDiv w:val="1"/>
      <w:marLeft w:val="0"/>
      <w:marRight w:val="0"/>
      <w:marTop w:val="0"/>
      <w:marBottom w:val="0"/>
      <w:divBdr>
        <w:top w:val="none" w:sz="0" w:space="0" w:color="auto"/>
        <w:left w:val="none" w:sz="0" w:space="0" w:color="auto"/>
        <w:bottom w:val="none" w:sz="0" w:space="0" w:color="auto"/>
        <w:right w:val="none" w:sz="0" w:space="0" w:color="auto"/>
      </w:divBdr>
    </w:div>
    <w:div w:id="21142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footer" Target="footer6.xml"/><Relationship Id="rId42" Type="http://schemas.openxmlformats.org/officeDocument/2006/relationships/image" Target="media/image23.emf"/><Relationship Id="rId63" Type="http://schemas.openxmlformats.org/officeDocument/2006/relationships/footer" Target="footer8.xml"/><Relationship Id="rId84" Type="http://schemas.openxmlformats.org/officeDocument/2006/relationships/image" Target="media/image47.emf"/><Relationship Id="rId138" Type="http://schemas.openxmlformats.org/officeDocument/2006/relationships/header" Target="header24.xml"/><Relationship Id="rId107" Type="http://schemas.openxmlformats.org/officeDocument/2006/relationships/image" Target="media/image58.emf"/><Relationship Id="rId11" Type="http://schemas.openxmlformats.org/officeDocument/2006/relationships/footer" Target="footer1.xml"/><Relationship Id="rId32" Type="http://schemas.openxmlformats.org/officeDocument/2006/relationships/image" Target="media/image13.emf"/><Relationship Id="rId53" Type="http://schemas.openxmlformats.org/officeDocument/2006/relationships/image" Target="media/image34.emf"/><Relationship Id="rId74" Type="http://schemas.openxmlformats.org/officeDocument/2006/relationships/image" Target="media/image43.emf"/><Relationship Id="rId128" Type="http://schemas.openxmlformats.org/officeDocument/2006/relationships/image" Target="media/image79.emf"/><Relationship Id="rId5" Type="http://schemas.openxmlformats.org/officeDocument/2006/relationships/webSettings" Target="webSettings.xml"/><Relationship Id="rId90" Type="http://schemas.openxmlformats.org/officeDocument/2006/relationships/footer" Target="footer18.xml"/><Relationship Id="rId95" Type="http://schemas.openxmlformats.org/officeDocument/2006/relationships/image" Target="media/image52.emf"/><Relationship Id="rId22" Type="http://schemas.openxmlformats.org/officeDocument/2006/relationships/image" Target="media/image3.emf"/><Relationship Id="rId27" Type="http://schemas.openxmlformats.org/officeDocument/2006/relationships/image" Target="media/image8.emf"/><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header" Target="header9.xml"/><Relationship Id="rId69" Type="http://schemas.openxmlformats.org/officeDocument/2006/relationships/footer" Target="footer10.xml"/><Relationship Id="rId113" Type="http://schemas.openxmlformats.org/officeDocument/2006/relationships/image" Target="media/image64.emf"/><Relationship Id="rId118" Type="http://schemas.openxmlformats.org/officeDocument/2006/relationships/image" Target="media/image69.emf"/><Relationship Id="rId134" Type="http://schemas.openxmlformats.org/officeDocument/2006/relationships/header" Target="header22.xml"/><Relationship Id="rId139" Type="http://schemas.openxmlformats.org/officeDocument/2006/relationships/footer" Target="footer24.xml"/><Relationship Id="rId80" Type="http://schemas.openxmlformats.org/officeDocument/2006/relationships/footer" Target="footer14.xml"/><Relationship Id="rId85" Type="http://schemas.openxmlformats.org/officeDocument/2006/relationships/header" Target="header16.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4.emf"/><Relationship Id="rId38" Type="http://schemas.openxmlformats.org/officeDocument/2006/relationships/image" Target="media/image19.emf"/><Relationship Id="rId59" Type="http://schemas.openxmlformats.org/officeDocument/2006/relationships/image" Target="media/image40.emf"/><Relationship Id="rId103" Type="http://schemas.openxmlformats.org/officeDocument/2006/relationships/image" Target="media/image54.emf"/><Relationship Id="rId108" Type="http://schemas.openxmlformats.org/officeDocument/2006/relationships/image" Target="media/image59.emf"/><Relationship Id="rId124" Type="http://schemas.openxmlformats.org/officeDocument/2006/relationships/image" Target="media/image75.emf"/><Relationship Id="rId129" Type="http://schemas.openxmlformats.org/officeDocument/2006/relationships/image" Target="media/image80.emf"/><Relationship Id="rId54" Type="http://schemas.openxmlformats.org/officeDocument/2006/relationships/image" Target="media/image35.png"/><Relationship Id="rId70" Type="http://schemas.openxmlformats.org/officeDocument/2006/relationships/footer" Target="footer11.xml"/><Relationship Id="rId75" Type="http://schemas.openxmlformats.org/officeDocument/2006/relationships/image" Target="media/image44.emf"/><Relationship Id="rId91" Type="http://schemas.openxmlformats.org/officeDocument/2006/relationships/image" Target="media/image48.emf"/><Relationship Id="rId96" Type="http://schemas.openxmlformats.org/officeDocument/2006/relationships/image" Target="media/image53.emf"/><Relationship Id="rId140" Type="http://schemas.openxmlformats.org/officeDocument/2006/relationships/header" Target="header25.xml"/><Relationship Id="rId145"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image" Target="media/image9.emf"/><Relationship Id="rId49" Type="http://schemas.openxmlformats.org/officeDocument/2006/relationships/image" Target="media/image30.emf"/><Relationship Id="rId114" Type="http://schemas.openxmlformats.org/officeDocument/2006/relationships/image" Target="media/image65.emf"/><Relationship Id="rId119" Type="http://schemas.openxmlformats.org/officeDocument/2006/relationships/image" Target="media/image70.emf"/><Relationship Id="rId44" Type="http://schemas.openxmlformats.org/officeDocument/2006/relationships/image" Target="media/image25.emf"/><Relationship Id="rId60" Type="http://schemas.openxmlformats.org/officeDocument/2006/relationships/header" Target="header7.xml"/><Relationship Id="rId65" Type="http://schemas.openxmlformats.org/officeDocument/2006/relationships/footer" Target="footer9.xml"/><Relationship Id="rId81" Type="http://schemas.openxmlformats.org/officeDocument/2006/relationships/header" Target="header15.xml"/><Relationship Id="rId86" Type="http://schemas.openxmlformats.org/officeDocument/2006/relationships/header" Target="header17.xml"/><Relationship Id="rId130" Type="http://schemas.openxmlformats.org/officeDocument/2006/relationships/image" Target="media/image81.emf"/><Relationship Id="rId135" Type="http://schemas.openxmlformats.org/officeDocument/2006/relationships/header" Target="header23.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20.emf"/><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45.emf"/><Relationship Id="rId97" Type="http://schemas.openxmlformats.org/officeDocument/2006/relationships/header" Target="header19.xml"/><Relationship Id="rId104" Type="http://schemas.openxmlformats.org/officeDocument/2006/relationships/image" Target="media/image55.emf"/><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header" Target="header26.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1.emf"/><Relationship Id="rId87" Type="http://schemas.openxmlformats.org/officeDocument/2006/relationships/footer" Target="footer16.xml"/><Relationship Id="rId110" Type="http://schemas.openxmlformats.org/officeDocument/2006/relationships/image" Target="media/image61.emf"/><Relationship Id="rId115" Type="http://schemas.openxmlformats.org/officeDocument/2006/relationships/image" Target="media/image66.emf"/><Relationship Id="rId131" Type="http://schemas.openxmlformats.org/officeDocument/2006/relationships/image" Target="media/image82.emf"/><Relationship Id="rId136" Type="http://schemas.openxmlformats.org/officeDocument/2006/relationships/footer" Target="footer22.xml"/><Relationship Id="rId61" Type="http://schemas.openxmlformats.org/officeDocument/2006/relationships/header" Target="header8.xml"/><Relationship Id="rId82" Type="http://schemas.openxmlformats.org/officeDocument/2006/relationships/footer" Target="foot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emf"/><Relationship Id="rId56" Type="http://schemas.openxmlformats.org/officeDocument/2006/relationships/image" Target="media/image37.emf"/><Relationship Id="rId77" Type="http://schemas.openxmlformats.org/officeDocument/2006/relationships/header" Target="header13.xml"/><Relationship Id="rId100" Type="http://schemas.openxmlformats.org/officeDocument/2006/relationships/footer" Target="footer20.xml"/><Relationship Id="rId105" Type="http://schemas.openxmlformats.org/officeDocument/2006/relationships/image" Target="media/image56.emf"/><Relationship Id="rId126" Type="http://schemas.openxmlformats.org/officeDocument/2006/relationships/image" Target="media/image77.emf"/><Relationship Id="rId14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footer" Target="footer12.xml"/><Relationship Id="rId93" Type="http://schemas.openxmlformats.org/officeDocument/2006/relationships/image" Target="media/image50.emf"/><Relationship Id="rId98" Type="http://schemas.openxmlformats.org/officeDocument/2006/relationships/header" Target="header20.xml"/><Relationship Id="rId121" Type="http://schemas.openxmlformats.org/officeDocument/2006/relationships/image" Target="media/image72.emf"/><Relationship Id="rId142" Type="http://schemas.openxmlformats.org/officeDocument/2006/relationships/footer" Target="footer25.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image" Target="media/image27.emf"/><Relationship Id="rId67" Type="http://schemas.openxmlformats.org/officeDocument/2006/relationships/header" Target="header10.xml"/><Relationship Id="rId116" Type="http://schemas.openxmlformats.org/officeDocument/2006/relationships/image" Target="media/image67.emf"/><Relationship Id="rId137" Type="http://schemas.openxmlformats.org/officeDocument/2006/relationships/footer" Target="footer23.xml"/><Relationship Id="rId20" Type="http://schemas.openxmlformats.org/officeDocument/2006/relationships/header" Target="header6.xml"/><Relationship Id="rId41" Type="http://schemas.openxmlformats.org/officeDocument/2006/relationships/image" Target="media/image22.emf"/><Relationship Id="rId62" Type="http://schemas.openxmlformats.org/officeDocument/2006/relationships/footer" Target="footer7.xml"/><Relationship Id="rId83" Type="http://schemas.openxmlformats.org/officeDocument/2006/relationships/image" Target="media/image46.png"/><Relationship Id="rId88" Type="http://schemas.openxmlformats.org/officeDocument/2006/relationships/footer" Target="footer17.xml"/><Relationship Id="rId111" Type="http://schemas.openxmlformats.org/officeDocument/2006/relationships/image" Target="media/image62.emf"/><Relationship Id="rId132" Type="http://schemas.openxmlformats.org/officeDocument/2006/relationships/image" Target="media/image83.emf"/><Relationship Id="rId15" Type="http://schemas.openxmlformats.org/officeDocument/2006/relationships/image" Target="media/image2.emf"/><Relationship Id="rId36" Type="http://schemas.openxmlformats.org/officeDocument/2006/relationships/image" Target="media/image17.emf"/><Relationship Id="rId57" Type="http://schemas.openxmlformats.org/officeDocument/2006/relationships/image" Target="media/image38.emf"/><Relationship Id="rId106" Type="http://schemas.openxmlformats.org/officeDocument/2006/relationships/image" Target="media/image57.emf"/><Relationship Id="rId127" Type="http://schemas.openxmlformats.org/officeDocument/2006/relationships/image" Target="media/image78.emf"/><Relationship Id="rId10" Type="http://schemas.openxmlformats.org/officeDocument/2006/relationships/header" Target="header2.xml"/><Relationship Id="rId31" Type="http://schemas.openxmlformats.org/officeDocument/2006/relationships/image" Target="media/image12.emf"/><Relationship Id="rId52" Type="http://schemas.openxmlformats.org/officeDocument/2006/relationships/image" Target="media/image33.emf"/><Relationship Id="rId73" Type="http://schemas.openxmlformats.org/officeDocument/2006/relationships/image" Target="media/image42.emf"/><Relationship Id="rId78" Type="http://schemas.openxmlformats.org/officeDocument/2006/relationships/header" Target="header14.xml"/><Relationship Id="rId94" Type="http://schemas.openxmlformats.org/officeDocument/2006/relationships/image" Target="media/image51.emf"/><Relationship Id="rId99" Type="http://schemas.openxmlformats.org/officeDocument/2006/relationships/footer" Target="footer19.xml"/><Relationship Id="rId101" Type="http://schemas.openxmlformats.org/officeDocument/2006/relationships/header" Target="header21.xml"/><Relationship Id="rId122" Type="http://schemas.openxmlformats.org/officeDocument/2006/relationships/image" Target="media/image73.emf"/><Relationship Id="rId143"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 Id="rId47" Type="http://schemas.openxmlformats.org/officeDocument/2006/relationships/image" Target="media/image28.emf"/><Relationship Id="rId68" Type="http://schemas.openxmlformats.org/officeDocument/2006/relationships/header" Target="header11.xml"/><Relationship Id="rId89" Type="http://schemas.openxmlformats.org/officeDocument/2006/relationships/header" Target="header18.xml"/><Relationship Id="rId112" Type="http://schemas.openxmlformats.org/officeDocument/2006/relationships/image" Target="media/image63.emf"/><Relationship Id="rId133" Type="http://schemas.openxmlformats.org/officeDocument/2006/relationships/image" Target="media/image84.emf"/><Relationship Id="rId16" Type="http://schemas.openxmlformats.org/officeDocument/2006/relationships/header" Target="header4.xml"/><Relationship Id="rId37" Type="http://schemas.openxmlformats.org/officeDocument/2006/relationships/image" Target="media/image18.emf"/><Relationship Id="rId58" Type="http://schemas.openxmlformats.org/officeDocument/2006/relationships/image" Target="media/image39.emf"/><Relationship Id="rId79" Type="http://schemas.openxmlformats.org/officeDocument/2006/relationships/footer" Target="footer13.xml"/><Relationship Id="rId102" Type="http://schemas.openxmlformats.org/officeDocument/2006/relationships/footer" Target="footer21.xml"/><Relationship Id="rId123" Type="http://schemas.openxmlformats.org/officeDocument/2006/relationships/image" Target="media/image74.emf"/><Relationship Id="rId144" Type="http://schemas.openxmlformats.org/officeDocument/2006/relationships/header" Target="header27.xml"/></Relationships>
</file>

<file path=word/_rels/footnotes.xml.rels><?xml version="1.0" encoding="UTF-8" standalone="yes"?>
<Relationships xmlns="http://schemas.openxmlformats.org/package/2006/relationships"><Relationship Id="rId8" Type="http://schemas.openxmlformats.org/officeDocument/2006/relationships/hyperlink" Target="http://ec.europa.eu/consumers/enforcement/sweeps/travel_services/index_en.htm" TargetMode="External"/><Relationship Id="rId3" Type="http://schemas.openxmlformats.org/officeDocument/2006/relationships/hyperlink" Target="http://digital-agenda-data.eu/datasets/desi/visualizations" TargetMode="External"/><Relationship Id="rId7" Type="http://schemas.openxmlformats.org/officeDocument/2006/relationships/hyperlink" Target="http://ec.europa.eu/consumers/ecc/index_en.htm" TargetMode="External"/><Relationship Id="rId12" Type="http://schemas.openxmlformats.org/officeDocument/2006/relationships/hyperlink" Target="http://publications.jrc.ec.europa.eu/repository/handle/JRC89939" TargetMode="External"/><Relationship Id="rId2" Type="http://schemas.openxmlformats.org/officeDocument/2006/relationships/hyperlink" Target="http://ec.europa.eu/consumers/enforcement/sweeps/index_en.htm" TargetMode="External"/><Relationship Id="rId1" Type="http://schemas.openxmlformats.org/officeDocument/2006/relationships/hyperlink" Target="http://ec.europa.eu/consumers/consumer_evidence/market_studies/e_commerce/index_en.htm" TargetMode="External"/><Relationship Id="rId6" Type="http://schemas.openxmlformats.org/officeDocument/2006/relationships/hyperlink" Target="http://ec.europa.eu/consumers/ecc/docs/ecc-services_directive_en.pdf" TargetMode="External"/><Relationship Id="rId11" Type="http://schemas.openxmlformats.org/officeDocument/2006/relationships/hyperlink" Target="http://publications.jrc.ec.europa.eu/repository/handle/JRC89939" TargetMode="External"/><Relationship Id="rId5" Type="http://schemas.openxmlformats.org/officeDocument/2006/relationships/hyperlink" Target="http://ec.europa.eu/consumers/consumer_evidence/market_studies/comparison_tools/index_en.htm" TargetMode="External"/><Relationship Id="rId10" Type="http://schemas.openxmlformats.org/officeDocument/2006/relationships/hyperlink" Target="http://eige.europa.eu/content/document/gender-equality-index-2015-measuring-gender-equality-in-the-european-union-2005-2012" TargetMode="External"/><Relationship Id="rId4" Type="http://schemas.openxmlformats.org/officeDocument/2006/relationships/hyperlink" Target="http://www.ifpi.org/downloads/Europe-Music-Industry-2014.pdf" TargetMode="External"/><Relationship Id="rId9" Type="http://schemas.openxmlformats.org/officeDocument/2006/relationships/hyperlink" Target="http://ec.europa.eu/consumers/enforcement/sweeps/guarantees/index_e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0A8FF-F024-4A20-829B-FE533A1B6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13882</Words>
  <Characters>79131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92828</CharactersWithSpaces>
  <SharedDoc>false</SharedDoc>
  <HLinks>
    <vt:vector size="228" baseType="variant">
      <vt:variant>
        <vt:i4>1048635</vt:i4>
      </vt:variant>
      <vt:variant>
        <vt:i4>152</vt:i4>
      </vt:variant>
      <vt:variant>
        <vt:i4>0</vt:i4>
      </vt:variant>
      <vt:variant>
        <vt:i4>5</vt:i4>
      </vt:variant>
      <vt:variant>
        <vt:lpwstr/>
      </vt:variant>
      <vt:variant>
        <vt:lpwstr>_Toc428978045</vt:lpwstr>
      </vt:variant>
      <vt:variant>
        <vt:i4>1048635</vt:i4>
      </vt:variant>
      <vt:variant>
        <vt:i4>146</vt:i4>
      </vt:variant>
      <vt:variant>
        <vt:i4>0</vt:i4>
      </vt:variant>
      <vt:variant>
        <vt:i4>5</vt:i4>
      </vt:variant>
      <vt:variant>
        <vt:lpwstr/>
      </vt:variant>
      <vt:variant>
        <vt:lpwstr>_Toc428978044</vt:lpwstr>
      </vt:variant>
      <vt:variant>
        <vt:i4>1048635</vt:i4>
      </vt:variant>
      <vt:variant>
        <vt:i4>140</vt:i4>
      </vt:variant>
      <vt:variant>
        <vt:i4>0</vt:i4>
      </vt:variant>
      <vt:variant>
        <vt:i4>5</vt:i4>
      </vt:variant>
      <vt:variant>
        <vt:lpwstr/>
      </vt:variant>
      <vt:variant>
        <vt:lpwstr>_Toc428978043</vt:lpwstr>
      </vt:variant>
      <vt:variant>
        <vt:i4>1048635</vt:i4>
      </vt:variant>
      <vt:variant>
        <vt:i4>134</vt:i4>
      </vt:variant>
      <vt:variant>
        <vt:i4>0</vt:i4>
      </vt:variant>
      <vt:variant>
        <vt:i4>5</vt:i4>
      </vt:variant>
      <vt:variant>
        <vt:lpwstr/>
      </vt:variant>
      <vt:variant>
        <vt:lpwstr>_Toc428978042</vt:lpwstr>
      </vt:variant>
      <vt:variant>
        <vt:i4>1048635</vt:i4>
      </vt:variant>
      <vt:variant>
        <vt:i4>128</vt:i4>
      </vt:variant>
      <vt:variant>
        <vt:i4>0</vt:i4>
      </vt:variant>
      <vt:variant>
        <vt:i4>5</vt:i4>
      </vt:variant>
      <vt:variant>
        <vt:lpwstr/>
      </vt:variant>
      <vt:variant>
        <vt:lpwstr>_Toc428978041</vt:lpwstr>
      </vt:variant>
      <vt:variant>
        <vt:i4>1048635</vt:i4>
      </vt:variant>
      <vt:variant>
        <vt:i4>122</vt:i4>
      </vt:variant>
      <vt:variant>
        <vt:i4>0</vt:i4>
      </vt:variant>
      <vt:variant>
        <vt:i4>5</vt:i4>
      </vt:variant>
      <vt:variant>
        <vt:lpwstr/>
      </vt:variant>
      <vt:variant>
        <vt:lpwstr>_Toc428978040</vt:lpwstr>
      </vt:variant>
      <vt:variant>
        <vt:i4>1507387</vt:i4>
      </vt:variant>
      <vt:variant>
        <vt:i4>116</vt:i4>
      </vt:variant>
      <vt:variant>
        <vt:i4>0</vt:i4>
      </vt:variant>
      <vt:variant>
        <vt:i4>5</vt:i4>
      </vt:variant>
      <vt:variant>
        <vt:lpwstr/>
      </vt:variant>
      <vt:variant>
        <vt:lpwstr>_Toc428978039</vt:lpwstr>
      </vt:variant>
      <vt:variant>
        <vt:i4>1507387</vt:i4>
      </vt:variant>
      <vt:variant>
        <vt:i4>110</vt:i4>
      </vt:variant>
      <vt:variant>
        <vt:i4>0</vt:i4>
      </vt:variant>
      <vt:variant>
        <vt:i4>5</vt:i4>
      </vt:variant>
      <vt:variant>
        <vt:lpwstr/>
      </vt:variant>
      <vt:variant>
        <vt:lpwstr>_Toc428978038</vt:lpwstr>
      </vt:variant>
      <vt:variant>
        <vt:i4>1507387</vt:i4>
      </vt:variant>
      <vt:variant>
        <vt:i4>104</vt:i4>
      </vt:variant>
      <vt:variant>
        <vt:i4>0</vt:i4>
      </vt:variant>
      <vt:variant>
        <vt:i4>5</vt:i4>
      </vt:variant>
      <vt:variant>
        <vt:lpwstr/>
      </vt:variant>
      <vt:variant>
        <vt:lpwstr>_Toc428978037</vt:lpwstr>
      </vt:variant>
      <vt:variant>
        <vt:i4>1507387</vt:i4>
      </vt:variant>
      <vt:variant>
        <vt:i4>98</vt:i4>
      </vt:variant>
      <vt:variant>
        <vt:i4>0</vt:i4>
      </vt:variant>
      <vt:variant>
        <vt:i4>5</vt:i4>
      </vt:variant>
      <vt:variant>
        <vt:lpwstr/>
      </vt:variant>
      <vt:variant>
        <vt:lpwstr>_Toc428978036</vt:lpwstr>
      </vt:variant>
      <vt:variant>
        <vt:i4>1507387</vt:i4>
      </vt:variant>
      <vt:variant>
        <vt:i4>92</vt:i4>
      </vt:variant>
      <vt:variant>
        <vt:i4>0</vt:i4>
      </vt:variant>
      <vt:variant>
        <vt:i4>5</vt:i4>
      </vt:variant>
      <vt:variant>
        <vt:lpwstr/>
      </vt:variant>
      <vt:variant>
        <vt:lpwstr>_Toc428978035</vt:lpwstr>
      </vt:variant>
      <vt:variant>
        <vt:i4>1507387</vt:i4>
      </vt:variant>
      <vt:variant>
        <vt:i4>86</vt:i4>
      </vt:variant>
      <vt:variant>
        <vt:i4>0</vt:i4>
      </vt:variant>
      <vt:variant>
        <vt:i4>5</vt:i4>
      </vt:variant>
      <vt:variant>
        <vt:lpwstr/>
      </vt:variant>
      <vt:variant>
        <vt:lpwstr>_Toc428978034</vt:lpwstr>
      </vt:variant>
      <vt:variant>
        <vt:i4>1507387</vt:i4>
      </vt:variant>
      <vt:variant>
        <vt:i4>80</vt:i4>
      </vt:variant>
      <vt:variant>
        <vt:i4>0</vt:i4>
      </vt:variant>
      <vt:variant>
        <vt:i4>5</vt:i4>
      </vt:variant>
      <vt:variant>
        <vt:lpwstr/>
      </vt:variant>
      <vt:variant>
        <vt:lpwstr>_Toc428978033</vt:lpwstr>
      </vt:variant>
      <vt:variant>
        <vt:i4>1507387</vt:i4>
      </vt:variant>
      <vt:variant>
        <vt:i4>74</vt:i4>
      </vt:variant>
      <vt:variant>
        <vt:i4>0</vt:i4>
      </vt:variant>
      <vt:variant>
        <vt:i4>5</vt:i4>
      </vt:variant>
      <vt:variant>
        <vt:lpwstr/>
      </vt:variant>
      <vt:variant>
        <vt:lpwstr>_Toc428978032</vt:lpwstr>
      </vt:variant>
      <vt:variant>
        <vt:i4>1507387</vt:i4>
      </vt:variant>
      <vt:variant>
        <vt:i4>68</vt:i4>
      </vt:variant>
      <vt:variant>
        <vt:i4>0</vt:i4>
      </vt:variant>
      <vt:variant>
        <vt:i4>5</vt:i4>
      </vt:variant>
      <vt:variant>
        <vt:lpwstr/>
      </vt:variant>
      <vt:variant>
        <vt:lpwstr>_Toc428978031</vt:lpwstr>
      </vt:variant>
      <vt:variant>
        <vt:i4>1507387</vt:i4>
      </vt:variant>
      <vt:variant>
        <vt:i4>62</vt:i4>
      </vt:variant>
      <vt:variant>
        <vt:i4>0</vt:i4>
      </vt:variant>
      <vt:variant>
        <vt:i4>5</vt:i4>
      </vt:variant>
      <vt:variant>
        <vt:lpwstr/>
      </vt:variant>
      <vt:variant>
        <vt:lpwstr>_Toc428978030</vt:lpwstr>
      </vt:variant>
      <vt:variant>
        <vt:i4>1441851</vt:i4>
      </vt:variant>
      <vt:variant>
        <vt:i4>56</vt:i4>
      </vt:variant>
      <vt:variant>
        <vt:i4>0</vt:i4>
      </vt:variant>
      <vt:variant>
        <vt:i4>5</vt:i4>
      </vt:variant>
      <vt:variant>
        <vt:lpwstr/>
      </vt:variant>
      <vt:variant>
        <vt:lpwstr>_Toc428978029</vt:lpwstr>
      </vt:variant>
      <vt:variant>
        <vt:i4>1441851</vt:i4>
      </vt:variant>
      <vt:variant>
        <vt:i4>50</vt:i4>
      </vt:variant>
      <vt:variant>
        <vt:i4>0</vt:i4>
      </vt:variant>
      <vt:variant>
        <vt:i4>5</vt:i4>
      </vt:variant>
      <vt:variant>
        <vt:lpwstr/>
      </vt:variant>
      <vt:variant>
        <vt:lpwstr>_Toc428978028</vt:lpwstr>
      </vt:variant>
      <vt:variant>
        <vt:i4>1441851</vt:i4>
      </vt:variant>
      <vt:variant>
        <vt:i4>44</vt:i4>
      </vt:variant>
      <vt:variant>
        <vt:i4>0</vt:i4>
      </vt:variant>
      <vt:variant>
        <vt:i4>5</vt:i4>
      </vt:variant>
      <vt:variant>
        <vt:lpwstr/>
      </vt:variant>
      <vt:variant>
        <vt:lpwstr>_Toc428978027</vt:lpwstr>
      </vt:variant>
      <vt:variant>
        <vt:i4>1441851</vt:i4>
      </vt:variant>
      <vt:variant>
        <vt:i4>38</vt:i4>
      </vt:variant>
      <vt:variant>
        <vt:i4>0</vt:i4>
      </vt:variant>
      <vt:variant>
        <vt:i4>5</vt:i4>
      </vt:variant>
      <vt:variant>
        <vt:lpwstr/>
      </vt:variant>
      <vt:variant>
        <vt:lpwstr>_Toc428978026</vt:lpwstr>
      </vt:variant>
      <vt:variant>
        <vt:i4>1441851</vt:i4>
      </vt:variant>
      <vt:variant>
        <vt:i4>32</vt:i4>
      </vt:variant>
      <vt:variant>
        <vt:i4>0</vt:i4>
      </vt:variant>
      <vt:variant>
        <vt:i4>5</vt:i4>
      </vt:variant>
      <vt:variant>
        <vt:lpwstr/>
      </vt:variant>
      <vt:variant>
        <vt:lpwstr>_Toc428978025</vt:lpwstr>
      </vt:variant>
      <vt:variant>
        <vt:i4>1441851</vt:i4>
      </vt:variant>
      <vt:variant>
        <vt:i4>26</vt:i4>
      </vt:variant>
      <vt:variant>
        <vt:i4>0</vt:i4>
      </vt:variant>
      <vt:variant>
        <vt:i4>5</vt:i4>
      </vt:variant>
      <vt:variant>
        <vt:lpwstr/>
      </vt:variant>
      <vt:variant>
        <vt:lpwstr>_Toc428978024</vt:lpwstr>
      </vt:variant>
      <vt:variant>
        <vt:i4>1441851</vt:i4>
      </vt:variant>
      <vt:variant>
        <vt:i4>20</vt:i4>
      </vt:variant>
      <vt:variant>
        <vt:i4>0</vt:i4>
      </vt:variant>
      <vt:variant>
        <vt:i4>5</vt:i4>
      </vt:variant>
      <vt:variant>
        <vt:lpwstr/>
      </vt:variant>
      <vt:variant>
        <vt:lpwstr>_Toc428978023</vt:lpwstr>
      </vt:variant>
      <vt:variant>
        <vt:i4>1441851</vt:i4>
      </vt:variant>
      <vt:variant>
        <vt:i4>14</vt:i4>
      </vt:variant>
      <vt:variant>
        <vt:i4>0</vt:i4>
      </vt:variant>
      <vt:variant>
        <vt:i4>5</vt:i4>
      </vt:variant>
      <vt:variant>
        <vt:lpwstr/>
      </vt:variant>
      <vt:variant>
        <vt:lpwstr>_Toc428978022</vt:lpwstr>
      </vt:variant>
      <vt:variant>
        <vt:i4>1441851</vt:i4>
      </vt:variant>
      <vt:variant>
        <vt:i4>8</vt:i4>
      </vt:variant>
      <vt:variant>
        <vt:i4>0</vt:i4>
      </vt:variant>
      <vt:variant>
        <vt:i4>5</vt:i4>
      </vt:variant>
      <vt:variant>
        <vt:lpwstr/>
      </vt:variant>
      <vt:variant>
        <vt:lpwstr>_Toc428978021</vt:lpwstr>
      </vt:variant>
      <vt:variant>
        <vt:i4>1441851</vt:i4>
      </vt:variant>
      <vt:variant>
        <vt:i4>2</vt:i4>
      </vt:variant>
      <vt:variant>
        <vt:i4>0</vt:i4>
      </vt:variant>
      <vt:variant>
        <vt:i4>5</vt:i4>
      </vt:variant>
      <vt:variant>
        <vt:lpwstr/>
      </vt:variant>
      <vt:variant>
        <vt:lpwstr>_Toc428978020</vt:lpwstr>
      </vt:variant>
      <vt:variant>
        <vt:i4>2097195</vt:i4>
      </vt:variant>
      <vt:variant>
        <vt:i4>33</vt:i4>
      </vt:variant>
      <vt:variant>
        <vt:i4>0</vt:i4>
      </vt:variant>
      <vt:variant>
        <vt:i4>5</vt:i4>
      </vt:variant>
      <vt:variant>
        <vt:lpwstr>http://publications.jrc.ec.europa.eu/repository/handle/JRC89939</vt:lpwstr>
      </vt:variant>
      <vt:variant>
        <vt:lpwstr/>
      </vt:variant>
      <vt:variant>
        <vt:i4>2097195</vt:i4>
      </vt:variant>
      <vt:variant>
        <vt:i4>30</vt:i4>
      </vt:variant>
      <vt:variant>
        <vt:i4>0</vt:i4>
      </vt:variant>
      <vt:variant>
        <vt:i4>5</vt:i4>
      </vt:variant>
      <vt:variant>
        <vt:lpwstr>http://publications.jrc.ec.europa.eu/repository/handle/JRC89939</vt:lpwstr>
      </vt:variant>
      <vt:variant>
        <vt:lpwstr/>
      </vt:variant>
      <vt:variant>
        <vt:i4>7471152</vt:i4>
      </vt:variant>
      <vt:variant>
        <vt:i4>27</vt:i4>
      </vt:variant>
      <vt:variant>
        <vt:i4>0</vt:i4>
      </vt:variant>
      <vt:variant>
        <vt:i4>5</vt:i4>
      </vt:variant>
      <vt:variant>
        <vt:lpwstr>http://eige.europa.eu/content/document/gender-equality-index-2015-measuring-gender-equality-in-the-european-union-2005-2012</vt:lpwstr>
      </vt:variant>
      <vt:variant>
        <vt:lpwstr/>
      </vt:variant>
      <vt:variant>
        <vt:i4>3407937</vt:i4>
      </vt:variant>
      <vt:variant>
        <vt:i4>24</vt:i4>
      </vt:variant>
      <vt:variant>
        <vt:i4>0</vt:i4>
      </vt:variant>
      <vt:variant>
        <vt:i4>5</vt:i4>
      </vt:variant>
      <vt:variant>
        <vt:lpwstr>http://ec.europa.eu/consumers/enforcement/sweeps/guarantees/index_en.htm</vt:lpwstr>
      </vt:variant>
      <vt:variant>
        <vt:lpwstr/>
      </vt:variant>
      <vt:variant>
        <vt:i4>3407980</vt:i4>
      </vt:variant>
      <vt:variant>
        <vt:i4>21</vt:i4>
      </vt:variant>
      <vt:variant>
        <vt:i4>0</vt:i4>
      </vt:variant>
      <vt:variant>
        <vt:i4>5</vt:i4>
      </vt:variant>
      <vt:variant>
        <vt:lpwstr>http://ec.europa.eu/consumers/enforcement/sweeps/travel_services/index_en.htm</vt:lpwstr>
      </vt:variant>
      <vt:variant>
        <vt:lpwstr/>
      </vt:variant>
      <vt:variant>
        <vt:i4>917620</vt:i4>
      </vt:variant>
      <vt:variant>
        <vt:i4>18</vt:i4>
      </vt:variant>
      <vt:variant>
        <vt:i4>0</vt:i4>
      </vt:variant>
      <vt:variant>
        <vt:i4>5</vt:i4>
      </vt:variant>
      <vt:variant>
        <vt:lpwstr>http://ec.europa.eu/consumers/ecc/index_en.htm</vt:lpwstr>
      </vt:variant>
      <vt:variant>
        <vt:lpwstr/>
      </vt:variant>
      <vt:variant>
        <vt:i4>5242893</vt:i4>
      </vt:variant>
      <vt:variant>
        <vt:i4>15</vt:i4>
      </vt:variant>
      <vt:variant>
        <vt:i4>0</vt:i4>
      </vt:variant>
      <vt:variant>
        <vt:i4>5</vt:i4>
      </vt:variant>
      <vt:variant>
        <vt:lpwstr>http://ec.europa.eu/consumers/ecc/docs/ecc-services_directive_en.pdf</vt:lpwstr>
      </vt:variant>
      <vt:variant>
        <vt:lpwstr/>
      </vt:variant>
      <vt:variant>
        <vt:i4>1835086</vt:i4>
      </vt:variant>
      <vt:variant>
        <vt:i4>12</vt:i4>
      </vt:variant>
      <vt:variant>
        <vt:i4>0</vt:i4>
      </vt:variant>
      <vt:variant>
        <vt:i4>5</vt:i4>
      </vt:variant>
      <vt:variant>
        <vt:lpwstr>http://ec.europa.eu/consumers/consumer_evidence/market_studies/comparison_tools/index_en.htm</vt:lpwstr>
      </vt:variant>
      <vt:variant>
        <vt:lpwstr/>
      </vt:variant>
      <vt:variant>
        <vt:i4>5570590</vt:i4>
      </vt:variant>
      <vt:variant>
        <vt:i4>9</vt:i4>
      </vt:variant>
      <vt:variant>
        <vt:i4>0</vt:i4>
      </vt:variant>
      <vt:variant>
        <vt:i4>5</vt:i4>
      </vt:variant>
      <vt:variant>
        <vt:lpwstr>http://www.ifpi.org/downloads/Europe-Music-Industry-2014.pdf</vt:lpwstr>
      </vt:variant>
      <vt:variant>
        <vt:lpwstr/>
      </vt:variant>
      <vt:variant>
        <vt:i4>8060985</vt:i4>
      </vt:variant>
      <vt:variant>
        <vt:i4>6</vt:i4>
      </vt:variant>
      <vt:variant>
        <vt:i4>0</vt:i4>
      </vt:variant>
      <vt:variant>
        <vt:i4>5</vt:i4>
      </vt:variant>
      <vt:variant>
        <vt:lpwstr>http://digital-agenda-data.eu/datasets/desi/visualizations</vt:lpwstr>
      </vt:variant>
      <vt:variant>
        <vt:lpwstr/>
      </vt:variant>
      <vt:variant>
        <vt:i4>1572902</vt:i4>
      </vt:variant>
      <vt:variant>
        <vt:i4>3</vt:i4>
      </vt:variant>
      <vt:variant>
        <vt:i4>0</vt:i4>
      </vt:variant>
      <vt:variant>
        <vt:i4>5</vt:i4>
      </vt:variant>
      <vt:variant>
        <vt:lpwstr>http://ec.europa.eu/consumers/enforcement/sweeps/index_en.htm</vt:lpwstr>
      </vt:variant>
      <vt:variant>
        <vt:lpwstr/>
      </vt:variant>
      <vt:variant>
        <vt:i4>4456476</vt:i4>
      </vt:variant>
      <vt:variant>
        <vt:i4>0</vt:i4>
      </vt:variant>
      <vt:variant>
        <vt:i4>0</vt:i4>
      </vt:variant>
      <vt:variant>
        <vt:i4>5</vt:i4>
      </vt:variant>
      <vt:variant>
        <vt:lpwstr>http://ec.europa.eu/consumers/consumer_evidence/market_studies/e_commerce/index_en.htm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BUCAR Gordana</dc:creator>
  <cp:keywords/>
  <cp:lastModifiedBy>Ellen Lawrence</cp:lastModifiedBy>
  <cp:revision>3</cp:revision>
  <cp:lastPrinted>2015-10-15T12:08:00Z</cp:lastPrinted>
  <dcterms:created xsi:type="dcterms:W3CDTF">2015-10-15T12:09:00Z</dcterms:created>
  <dcterms:modified xsi:type="dcterms:W3CDTF">2015-10-15T12:09:00Z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rt">
    <vt:lpwstr>2</vt:lpwstr>
  </property>
  <property fmtid="{D5CDD505-2E9C-101B-9397-08002B2CF9AE}" pid="3" name="Total parts">
    <vt:lpwstr>2</vt:lpwstr>
  </property>
  <property fmtid="{D5CDD505-2E9C-101B-9397-08002B2CF9AE}" pid="4" name="Classification">
    <vt:lpwstr> </vt:lpwstr>
  </property>
  <property fmtid="{D5CDD505-2E9C-101B-9397-08002B2CF9AE}" pid="5" name="DocStatus">
    <vt:lpwstr>Green</vt:lpwstr>
  </property>
  <property fmtid="{D5CDD505-2E9C-101B-9397-08002B2CF9AE}" pid="6" name="Created using">
    <vt:lpwstr>DocuWrite 3.6.7, Build 20150916</vt:lpwstr>
  </property>
  <property fmtid="{D5CDD505-2E9C-101B-9397-08002B2CF9AE}" pid="7" name="Last edited using">
    <vt:lpwstr>DocuWrite 3.6.7, Build 20150916</vt:lpwstr>
  </property>
</Properties>
</file>