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B4A49" w14:textId="65F93455" w:rsidR="00B858B0" w:rsidRDefault="00B858B0" w:rsidP="00415C64">
      <w:pPr>
        <w:widowControl w:val="0"/>
        <w:autoSpaceDE w:val="0"/>
        <w:autoSpaceDN w:val="0"/>
        <w:adjustRightInd w:val="0"/>
        <w:rPr>
          <w:rFonts w:ascii="Calibri" w:hAnsi="Calibri" w:cs="Helvetica"/>
          <w:b/>
          <w:sz w:val="40"/>
          <w:szCs w:val="20"/>
        </w:rPr>
      </w:pPr>
      <w:bookmarkStart w:id="0" w:name="_GoBack"/>
      <w:bookmarkEnd w:id="0"/>
      <w:r w:rsidRPr="004E4D8F">
        <w:rPr>
          <w:rFonts w:ascii="Calibri" w:hAnsi="Calibri" w:cs="Helvetica"/>
          <w:b/>
          <w:sz w:val="40"/>
          <w:szCs w:val="20"/>
        </w:rPr>
        <w:t>Business Rates Retention</w:t>
      </w:r>
      <w:r w:rsidR="006C538B">
        <w:rPr>
          <w:rFonts w:ascii="Calibri" w:hAnsi="Calibri" w:cs="Helvetica"/>
          <w:b/>
          <w:sz w:val="40"/>
          <w:szCs w:val="20"/>
        </w:rPr>
        <w:t xml:space="preserve"> (NNDR)</w:t>
      </w:r>
    </w:p>
    <w:p w14:paraId="7D0DA34A" w14:textId="77777777" w:rsidR="00B858B0" w:rsidRPr="00B858B0" w:rsidRDefault="005F517D" w:rsidP="00415C64">
      <w:pPr>
        <w:widowControl w:val="0"/>
        <w:autoSpaceDE w:val="0"/>
        <w:autoSpaceDN w:val="0"/>
        <w:adjustRightInd w:val="0"/>
        <w:rPr>
          <w:rFonts w:ascii="Calibri" w:hAnsi="Calibri" w:cs="Helvetica"/>
        </w:rPr>
      </w:pPr>
      <w:hyperlink r:id="rId9" w:history="1">
        <w:r w:rsidR="00B858B0" w:rsidRPr="00B858B0">
          <w:rPr>
            <w:rStyle w:val="Hyperlink"/>
            <w:rFonts w:ascii="Calibri" w:hAnsi="Calibri" w:cs="Helvetica"/>
          </w:rPr>
          <w:t>http://bit.ly/PASNNDR</w:t>
        </w:r>
      </w:hyperlink>
    </w:p>
    <w:p w14:paraId="4D6D97F3" w14:textId="77777777" w:rsidR="00B858B0" w:rsidRPr="00B858B0" w:rsidRDefault="00B858B0" w:rsidP="00415C64">
      <w:pPr>
        <w:widowControl w:val="0"/>
        <w:autoSpaceDE w:val="0"/>
        <w:autoSpaceDN w:val="0"/>
        <w:adjustRightInd w:val="0"/>
        <w:rPr>
          <w:rFonts w:ascii="Calibri" w:hAnsi="Calibri" w:cs="Helvetica"/>
          <w:b/>
        </w:rPr>
      </w:pPr>
    </w:p>
    <w:p w14:paraId="632CC069" w14:textId="77777777" w:rsidR="00B858B0" w:rsidRPr="00B858B0" w:rsidRDefault="00B858B0" w:rsidP="00415C64">
      <w:pPr>
        <w:widowControl w:val="0"/>
        <w:autoSpaceDE w:val="0"/>
        <w:autoSpaceDN w:val="0"/>
        <w:adjustRightInd w:val="0"/>
        <w:rPr>
          <w:rFonts w:ascii="Calibri" w:hAnsi="Calibri" w:cs="Helvetica"/>
        </w:rPr>
      </w:pPr>
      <w:r w:rsidRPr="00B858B0">
        <w:rPr>
          <w:rFonts w:ascii="Calibri" w:hAnsi="Calibri" w:cs="Helvetica"/>
        </w:rPr>
        <w:t xml:space="preserve">Information for Local Authorities: </w:t>
      </w:r>
      <w:hyperlink r:id="rId10" w:history="1">
        <w:r w:rsidRPr="00B858B0">
          <w:rPr>
            <w:rStyle w:val="Hyperlink"/>
            <w:rFonts w:ascii="Calibri" w:hAnsi="Calibri" w:cs="Helvetica"/>
          </w:rPr>
          <w:t>http://www.voa.gov.uk/corporate/info4LAs.html</w:t>
        </w:r>
      </w:hyperlink>
    </w:p>
    <w:p w14:paraId="46DE70BC" w14:textId="77777777" w:rsidR="00B858B0" w:rsidRPr="00B858B0" w:rsidRDefault="00B858B0" w:rsidP="00415C64">
      <w:pPr>
        <w:widowControl w:val="0"/>
        <w:autoSpaceDE w:val="0"/>
        <w:autoSpaceDN w:val="0"/>
        <w:adjustRightInd w:val="0"/>
        <w:rPr>
          <w:rFonts w:ascii="Calibri" w:hAnsi="Calibri" w:cs="Helvetica"/>
          <w:b/>
        </w:rPr>
      </w:pPr>
    </w:p>
    <w:p w14:paraId="5E97A80C" w14:textId="77777777" w:rsidR="00B858B0" w:rsidRPr="00B858B0" w:rsidRDefault="00B858B0" w:rsidP="00415C64">
      <w:pPr>
        <w:widowControl w:val="0"/>
        <w:autoSpaceDE w:val="0"/>
        <w:autoSpaceDN w:val="0"/>
        <w:adjustRightInd w:val="0"/>
        <w:rPr>
          <w:rFonts w:ascii="Calibri" w:hAnsi="Calibri" w:cs="Helvetica"/>
          <w:b/>
        </w:rPr>
      </w:pPr>
      <w:r w:rsidRPr="00B858B0">
        <w:rPr>
          <w:rFonts w:ascii="Calibri" w:hAnsi="Calibri" w:cs="Helvetica"/>
          <w:b/>
        </w:rPr>
        <w:t>Business Rates Collected</w:t>
      </w:r>
    </w:p>
    <w:p w14:paraId="7B16C6B2" w14:textId="77777777" w:rsidR="00B858B0" w:rsidRPr="00B858B0" w:rsidRDefault="00B858B0" w:rsidP="00415C64">
      <w:pPr>
        <w:widowControl w:val="0"/>
        <w:autoSpaceDE w:val="0"/>
        <w:autoSpaceDN w:val="0"/>
        <w:adjustRightInd w:val="0"/>
        <w:rPr>
          <w:rFonts w:ascii="Calibri" w:hAnsi="Calibri" w:cs="Helvetica"/>
        </w:rPr>
      </w:pPr>
    </w:p>
    <w:p w14:paraId="0C3D3C3E" w14:textId="17D15B73" w:rsidR="00B858B0" w:rsidRPr="00B858B0" w:rsidRDefault="00B858B0" w:rsidP="00415C64">
      <w:pPr>
        <w:widowControl w:val="0"/>
        <w:autoSpaceDE w:val="0"/>
        <w:autoSpaceDN w:val="0"/>
        <w:adjustRightInd w:val="0"/>
        <w:rPr>
          <w:rFonts w:ascii="Calibri" w:hAnsi="Calibri" w:cs="Helvetica"/>
        </w:rPr>
      </w:pPr>
      <w:r w:rsidRPr="00B858B0">
        <w:rPr>
          <w:rFonts w:ascii="Calibri" w:hAnsi="Calibri" w:cs="Helvetica"/>
        </w:rPr>
        <w:t>The amount of Business Rates payable by shops, offices, warehouses, etc is currently calculated as follows:</w:t>
      </w:r>
    </w:p>
    <w:p w14:paraId="243CCCC6" w14:textId="77777777" w:rsidR="00B858B0" w:rsidRPr="00B858B0" w:rsidRDefault="00B858B0" w:rsidP="00415C64">
      <w:pPr>
        <w:widowControl w:val="0"/>
        <w:autoSpaceDE w:val="0"/>
        <w:autoSpaceDN w:val="0"/>
        <w:adjustRightInd w:val="0"/>
        <w:jc w:val="center"/>
        <w:rPr>
          <w:rFonts w:ascii="Calibri" w:hAnsi="Calibri" w:cs="Helvetica"/>
          <w:i/>
        </w:rPr>
      </w:pPr>
      <w:r w:rsidRPr="00B858B0">
        <w:rPr>
          <w:rFonts w:ascii="Calibri" w:hAnsi="Calibri" w:cs="Helvetica"/>
          <w:i/>
        </w:rPr>
        <w:t>(Rateable Value of the property) x NNDR Multiplier</w:t>
      </w:r>
    </w:p>
    <w:p w14:paraId="4B888EE3" w14:textId="77777777" w:rsidR="00B858B0" w:rsidRPr="00B858B0" w:rsidRDefault="00B858B0" w:rsidP="00415C64">
      <w:pPr>
        <w:widowControl w:val="0"/>
        <w:autoSpaceDE w:val="0"/>
        <w:autoSpaceDN w:val="0"/>
        <w:adjustRightInd w:val="0"/>
        <w:rPr>
          <w:rFonts w:ascii="Calibri" w:hAnsi="Calibri" w:cs="Helvetica"/>
        </w:rPr>
      </w:pPr>
    </w:p>
    <w:p w14:paraId="50DE74D4" w14:textId="77777777" w:rsidR="00B858B0" w:rsidRPr="00B858B0" w:rsidRDefault="00B858B0" w:rsidP="00415C64">
      <w:pPr>
        <w:widowControl w:val="0"/>
        <w:autoSpaceDE w:val="0"/>
        <w:autoSpaceDN w:val="0"/>
        <w:adjustRightInd w:val="0"/>
        <w:rPr>
          <w:rFonts w:ascii="Calibri" w:hAnsi="Calibri" w:cs="Helvetica"/>
        </w:rPr>
      </w:pPr>
      <w:r w:rsidRPr="00B858B0">
        <w:rPr>
          <w:rFonts w:ascii="Calibri" w:hAnsi="Calibri" w:cs="Helvetica"/>
        </w:rPr>
        <w:t xml:space="preserve">where, </w:t>
      </w:r>
    </w:p>
    <w:p w14:paraId="0134C51B" w14:textId="77777777" w:rsidR="00B858B0" w:rsidRPr="00B858B0" w:rsidRDefault="00B858B0" w:rsidP="00415C64">
      <w:pPr>
        <w:pStyle w:val="ListParagraph"/>
        <w:widowControl w:val="0"/>
        <w:numPr>
          <w:ilvl w:val="0"/>
          <w:numId w:val="15"/>
        </w:numPr>
        <w:autoSpaceDE w:val="0"/>
        <w:autoSpaceDN w:val="0"/>
        <w:adjustRightInd w:val="0"/>
        <w:contextualSpacing/>
        <w:rPr>
          <w:rFonts w:ascii="Calibri" w:hAnsi="Calibri" w:cs="Helvetica"/>
        </w:rPr>
      </w:pPr>
      <w:r w:rsidRPr="00B858B0">
        <w:rPr>
          <w:rFonts w:ascii="Calibri" w:hAnsi="Calibri" w:cs="Helvetica"/>
        </w:rPr>
        <w:t>RV is set by the Valuation Office based on the individual characteristics of the property. The current rateable values were set in 2010, with the next valuation in 2017 and every 5 years thereafter, and;</w:t>
      </w:r>
    </w:p>
    <w:p w14:paraId="607A5959" w14:textId="77777777" w:rsidR="00B858B0" w:rsidRPr="00B858B0" w:rsidRDefault="00B858B0" w:rsidP="00415C64">
      <w:pPr>
        <w:pStyle w:val="ListParagraph"/>
        <w:widowControl w:val="0"/>
        <w:numPr>
          <w:ilvl w:val="0"/>
          <w:numId w:val="15"/>
        </w:numPr>
        <w:autoSpaceDE w:val="0"/>
        <w:autoSpaceDN w:val="0"/>
        <w:adjustRightInd w:val="0"/>
        <w:contextualSpacing/>
        <w:rPr>
          <w:rFonts w:ascii="Calibri" w:hAnsi="Calibri" w:cs="Helvetica"/>
        </w:rPr>
      </w:pPr>
      <w:r w:rsidRPr="00B858B0">
        <w:rPr>
          <w:rFonts w:ascii="Calibri" w:hAnsi="Calibri" w:cs="Helvetica"/>
        </w:rPr>
        <w:t>The NNDR multiplier for 2013/14 is 0.471 (0.462 for small businesses)</w:t>
      </w:r>
    </w:p>
    <w:p w14:paraId="703E89C5" w14:textId="77777777" w:rsidR="00B858B0" w:rsidRPr="00B858B0" w:rsidRDefault="00B858B0" w:rsidP="00415C64">
      <w:pPr>
        <w:widowControl w:val="0"/>
        <w:autoSpaceDE w:val="0"/>
        <w:autoSpaceDN w:val="0"/>
        <w:adjustRightInd w:val="0"/>
        <w:rPr>
          <w:rFonts w:ascii="Calibri" w:hAnsi="Calibri" w:cs="Helvetica"/>
        </w:rPr>
      </w:pPr>
    </w:p>
    <w:p w14:paraId="2A384E38" w14:textId="77777777" w:rsidR="00B858B0" w:rsidRPr="00B858B0" w:rsidRDefault="00B858B0" w:rsidP="00415C64">
      <w:pPr>
        <w:widowControl w:val="0"/>
        <w:autoSpaceDE w:val="0"/>
        <w:autoSpaceDN w:val="0"/>
        <w:adjustRightInd w:val="0"/>
        <w:rPr>
          <w:rFonts w:ascii="Calibri" w:hAnsi="Calibri" w:cs="Helvetica"/>
          <w:b/>
        </w:rPr>
      </w:pPr>
      <w:r w:rsidRPr="00B858B0">
        <w:rPr>
          <w:rFonts w:ascii="Calibri" w:hAnsi="Calibri" w:cs="Helvetica"/>
          <w:b/>
        </w:rPr>
        <w:t>The Business Rates Baseline</w:t>
      </w:r>
    </w:p>
    <w:p w14:paraId="4D1D735D" w14:textId="77777777" w:rsidR="00B858B0" w:rsidRPr="00B858B0" w:rsidRDefault="00B858B0" w:rsidP="00415C64">
      <w:pPr>
        <w:widowControl w:val="0"/>
        <w:autoSpaceDE w:val="0"/>
        <w:autoSpaceDN w:val="0"/>
        <w:adjustRightInd w:val="0"/>
        <w:rPr>
          <w:rFonts w:ascii="Calibri" w:hAnsi="Calibri" w:cs="Helvetica"/>
          <w:i/>
        </w:rPr>
      </w:pPr>
    </w:p>
    <w:p w14:paraId="7DDF9963" w14:textId="77777777" w:rsidR="00B858B0" w:rsidRPr="00B858B0" w:rsidRDefault="00B858B0" w:rsidP="00415C64">
      <w:pPr>
        <w:widowControl w:val="0"/>
        <w:autoSpaceDE w:val="0"/>
        <w:autoSpaceDN w:val="0"/>
        <w:adjustRightInd w:val="0"/>
        <w:rPr>
          <w:rFonts w:ascii="Calibri" w:hAnsi="Calibri" w:cs="Helvetica"/>
          <w:i/>
        </w:rPr>
      </w:pPr>
      <w:r w:rsidRPr="00B858B0">
        <w:rPr>
          <w:rFonts w:ascii="Calibri" w:hAnsi="Calibri" w:cs="Helvetica"/>
          <w:i/>
        </w:rPr>
        <w:t>Business Rates Aggregate for England</w:t>
      </w:r>
    </w:p>
    <w:p w14:paraId="060C6CAB" w14:textId="77777777" w:rsidR="00B858B0" w:rsidRPr="00B858B0" w:rsidRDefault="00B858B0" w:rsidP="00415C64">
      <w:pPr>
        <w:widowControl w:val="0"/>
        <w:autoSpaceDE w:val="0"/>
        <w:autoSpaceDN w:val="0"/>
        <w:adjustRightInd w:val="0"/>
        <w:rPr>
          <w:rFonts w:ascii="Calibri" w:hAnsi="Calibri" w:cs="Helvetica"/>
        </w:rPr>
      </w:pPr>
      <w:r w:rsidRPr="00B858B0">
        <w:rPr>
          <w:rFonts w:ascii="Calibri" w:hAnsi="Calibri" w:cs="Arial"/>
        </w:rPr>
        <w:t>The Secretary of State has estimated that the total business rates to be collected by all billing authorities in England for the year 2013/2014 (“the Estimated Business Rates Aggregate”) is £21,797,108,887.</w:t>
      </w:r>
    </w:p>
    <w:p w14:paraId="25B19FC9" w14:textId="77777777" w:rsidR="00B858B0" w:rsidRPr="00B858B0" w:rsidRDefault="00B858B0" w:rsidP="00415C64">
      <w:pPr>
        <w:widowControl w:val="0"/>
        <w:autoSpaceDE w:val="0"/>
        <w:autoSpaceDN w:val="0"/>
        <w:adjustRightInd w:val="0"/>
        <w:rPr>
          <w:rFonts w:ascii="Calibri" w:hAnsi="Calibri" w:cs="Helvetica"/>
        </w:rPr>
      </w:pPr>
      <w:r w:rsidRPr="00B858B0">
        <w:rPr>
          <w:rFonts w:ascii="Calibri" w:hAnsi="Calibri" w:cs="Arial"/>
        </w:rPr>
        <w:t>For each billing authority in England:</w:t>
      </w:r>
    </w:p>
    <w:p w14:paraId="2A4B9652" w14:textId="77777777" w:rsidR="00B858B0" w:rsidRPr="00B858B0" w:rsidRDefault="00B858B0" w:rsidP="00415C64">
      <w:pPr>
        <w:pStyle w:val="ListParagraph"/>
        <w:widowControl w:val="0"/>
        <w:numPr>
          <w:ilvl w:val="0"/>
          <w:numId w:val="14"/>
        </w:numPr>
        <w:tabs>
          <w:tab w:val="left" w:pos="220"/>
          <w:tab w:val="left" w:pos="720"/>
        </w:tabs>
        <w:autoSpaceDE w:val="0"/>
        <w:autoSpaceDN w:val="0"/>
        <w:adjustRightInd w:val="0"/>
        <w:contextualSpacing/>
        <w:rPr>
          <w:rFonts w:ascii="Calibri" w:hAnsi="Calibri" w:cs="Helvetica"/>
        </w:rPr>
      </w:pPr>
      <w:r w:rsidRPr="00B858B0">
        <w:rPr>
          <w:rFonts w:ascii="Calibri" w:hAnsi="Calibri" w:cs="Arial"/>
        </w:rPr>
        <w:t>their central share for 2013/2014 will be 50%;</w:t>
      </w:r>
    </w:p>
    <w:p w14:paraId="30D29963" w14:textId="77777777" w:rsidR="00B858B0" w:rsidRPr="00B858B0" w:rsidRDefault="00B858B0" w:rsidP="00415C64">
      <w:pPr>
        <w:pStyle w:val="ListParagraph"/>
        <w:widowControl w:val="0"/>
        <w:numPr>
          <w:ilvl w:val="0"/>
          <w:numId w:val="14"/>
        </w:numPr>
        <w:tabs>
          <w:tab w:val="left" w:pos="220"/>
          <w:tab w:val="left" w:pos="720"/>
        </w:tabs>
        <w:autoSpaceDE w:val="0"/>
        <w:autoSpaceDN w:val="0"/>
        <w:adjustRightInd w:val="0"/>
        <w:contextualSpacing/>
        <w:rPr>
          <w:rFonts w:ascii="Calibri" w:hAnsi="Calibri" w:cs="Arial"/>
        </w:rPr>
      </w:pPr>
      <w:r w:rsidRPr="00B858B0">
        <w:rPr>
          <w:rFonts w:ascii="Calibri" w:hAnsi="Calibri" w:cs="Arial"/>
        </w:rPr>
        <w:t>their local share for 2013/2014 will be 50%; thus The local share amount for 2012/13 is: £10,898,554,444 </w:t>
      </w:r>
    </w:p>
    <w:p w14:paraId="1A533D63" w14:textId="77777777" w:rsidR="00B858B0" w:rsidRPr="00B858B0" w:rsidRDefault="00B858B0" w:rsidP="00415C64">
      <w:pPr>
        <w:pStyle w:val="ListParagraph"/>
        <w:widowControl w:val="0"/>
        <w:tabs>
          <w:tab w:val="left" w:pos="220"/>
          <w:tab w:val="left" w:pos="720"/>
        </w:tabs>
        <w:autoSpaceDE w:val="0"/>
        <w:autoSpaceDN w:val="0"/>
        <w:adjustRightInd w:val="0"/>
        <w:rPr>
          <w:rFonts w:ascii="Calibri" w:hAnsi="Calibri" w:cs="Arial"/>
        </w:rPr>
      </w:pPr>
    </w:p>
    <w:p w14:paraId="0666D151" w14:textId="238534D2" w:rsidR="00B858B0" w:rsidRPr="00B858B0" w:rsidRDefault="00B858B0" w:rsidP="00415C64">
      <w:pPr>
        <w:widowControl w:val="0"/>
        <w:autoSpaceDE w:val="0"/>
        <w:autoSpaceDN w:val="0"/>
        <w:adjustRightInd w:val="0"/>
        <w:rPr>
          <w:rFonts w:ascii="Calibri" w:hAnsi="Calibri" w:cs="Helvetica"/>
        </w:rPr>
      </w:pPr>
      <w:r w:rsidRPr="00B858B0">
        <w:rPr>
          <w:rFonts w:ascii="Calibri" w:hAnsi="Calibri" w:cs="Arial"/>
        </w:rPr>
        <w:t>In order to determine tariff and top up amounts for every relevant authority it is necessary to establish individual authority business rate</w:t>
      </w:r>
      <w:r w:rsidR="00415C64">
        <w:rPr>
          <w:rFonts w:ascii="Calibri" w:hAnsi="Calibri" w:cs="Arial"/>
        </w:rPr>
        <w:t xml:space="preserve">s baselines for each authority. </w:t>
      </w:r>
      <w:r w:rsidRPr="00B858B0">
        <w:rPr>
          <w:rFonts w:ascii="Calibri" w:hAnsi="Calibri" w:cs="Arial"/>
        </w:rPr>
        <w:t>The Business Rates Baseline is calculated by the following formula:</w:t>
      </w:r>
    </w:p>
    <w:p w14:paraId="3178B571" w14:textId="77777777" w:rsidR="00B858B0" w:rsidRPr="00B858B0" w:rsidRDefault="00B858B0" w:rsidP="00415C64">
      <w:pPr>
        <w:widowControl w:val="0"/>
        <w:autoSpaceDE w:val="0"/>
        <w:autoSpaceDN w:val="0"/>
        <w:adjustRightInd w:val="0"/>
        <w:jc w:val="center"/>
        <w:rPr>
          <w:rFonts w:ascii="Calibri" w:hAnsi="Calibri" w:cs="Helvetica"/>
          <w:i/>
        </w:rPr>
      </w:pPr>
      <w:r w:rsidRPr="00B858B0">
        <w:rPr>
          <w:rFonts w:ascii="Calibri" w:hAnsi="Calibri" w:cs="Helvetica"/>
          <w:i/>
        </w:rPr>
        <w:t>( Individual Proportional Share ) x (Local share of the Estimated Business Rates Aggregate ), minus (share to be paid to upper tier authority),</w:t>
      </w:r>
    </w:p>
    <w:p w14:paraId="7ED57F8C" w14:textId="77777777" w:rsidR="00B858B0" w:rsidRPr="00B858B0" w:rsidRDefault="00B858B0" w:rsidP="00415C64">
      <w:pPr>
        <w:widowControl w:val="0"/>
        <w:autoSpaceDE w:val="0"/>
        <w:autoSpaceDN w:val="0"/>
        <w:adjustRightInd w:val="0"/>
        <w:rPr>
          <w:rFonts w:ascii="Calibri" w:hAnsi="Calibri" w:cs="Helvetica"/>
        </w:rPr>
      </w:pPr>
    </w:p>
    <w:p w14:paraId="5F8B1358" w14:textId="77777777" w:rsidR="00B858B0" w:rsidRPr="00B858B0" w:rsidRDefault="00B858B0" w:rsidP="00415C64">
      <w:pPr>
        <w:widowControl w:val="0"/>
        <w:autoSpaceDE w:val="0"/>
        <w:autoSpaceDN w:val="0"/>
        <w:adjustRightInd w:val="0"/>
        <w:rPr>
          <w:rFonts w:ascii="Calibri" w:hAnsi="Calibri" w:cs="Helvetica"/>
        </w:rPr>
      </w:pPr>
      <w:r w:rsidRPr="00B858B0">
        <w:rPr>
          <w:rFonts w:ascii="Calibri" w:hAnsi="Calibri" w:cs="Helvetica"/>
        </w:rPr>
        <w:t xml:space="preserve">where, </w:t>
      </w:r>
    </w:p>
    <w:p w14:paraId="75720FFA" w14:textId="77777777" w:rsidR="00B858B0" w:rsidRPr="00B858B0" w:rsidRDefault="00B858B0" w:rsidP="00415C64">
      <w:pPr>
        <w:pStyle w:val="ListParagraph"/>
        <w:widowControl w:val="0"/>
        <w:numPr>
          <w:ilvl w:val="0"/>
          <w:numId w:val="16"/>
        </w:numPr>
        <w:autoSpaceDE w:val="0"/>
        <w:autoSpaceDN w:val="0"/>
        <w:adjustRightInd w:val="0"/>
        <w:contextualSpacing/>
        <w:rPr>
          <w:rFonts w:ascii="Calibri" w:hAnsi="Calibri" w:cs="Helvetica"/>
        </w:rPr>
      </w:pPr>
      <w:r w:rsidRPr="00B858B0">
        <w:rPr>
          <w:rFonts w:ascii="Calibri" w:hAnsi="Calibri" w:cs="Helvetica"/>
        </w:rPr>
        <w:t>the Individual Proportional Share is calculated based on each authority's contribution to the pool, increases/reductions in rate yield due to transitional arrangements, relief schemes, and schedules of payments.</w:t>
      </w:r>
    </w:p>
    <w:p w14:paraId="33DBD113" w14:textId="77777777" w:rsidR="00B858B0" w:rsidRPr="00B858B0" w:rsidRDefault="00B858B0" w:rsidP="00415C64">
      <w:pPr>
        <w:pStyle w:val="ListParagraph"/>
        <w:widowControl w:val="0"/>
        <w:numPr>
          <w:ilvl w:val="0"/>
          <w:numId w:val="16"/>
        </w:numPr>
        <w:autoSpaceDE w:val="0"/>
        <w:autoSpaceDN w:val="0"/>
        <w:adjustRightInd w:val="0"/>
        <w:contextualSpacing/>
        <w:rPr>
          <w:rFonts w:ascii="Calibri" w:hAnsi="Calibri" w:cs="Helvetica"/>
        </w:rPr>
      </w:pPr>
      <w:r w:rsidRPr="00B858B0">
        <w:rPr>
          <w:rFonts w:ascii="Calibri" w:hAnsi="Calibri" w:cs="Helvetica"/>
        </w:rPr>
        <w:t>40% of charging authority’s local share must go to the Upper Tier authority.</w:t>
      </w:r>
    </w:p>
    <w:p w14:paraId="12F08512" w14:textId="77777777" w:rsidR="00B858B0" w:rsidRPr="00B858B0" w:rsidRDefault="00B858B0" w:rsidP="00415C64">
      <w:pPr>
        <w:widowControl w:val="0"/>
        <w:autoSpaceDE w:val="0"/>
        <w:autoSpaceDN w:val="0"/>
        <w:adjustRightInd w:val="0"/>
        <w:rPr>
          <w:rFonts w:ascii="Calibri" w:hAnsi="Calibri" w:cs="Arial"/>
        </w:rPr>
      </w:pPr>
      <w:r w:rsidRPr="00B858B0">
        <w:rPr>
          <w:rFonts w:ascii="Calibri" w:hAnsi="Calibri" w:cs="Arial"/>
        </w:rPr>
        <w:t xml:space="preserve">A relevant authority will receive a payment (a “top up”) from the Secretary of State if its Individual Authority Business Rates Baseline is less than or equal to its Baseline Funding Level. </w:t>
      </w:r>
    </w:p>
    <w:p w14:paraId="302DBBBD" w14:textId="77777777" w:rsidR="00B858B0" w:rsidRPr="00B858B0" w:rsidRDefault="00B858B0" w:rsidP="00415C64">
      <w:pPr>
        <w:widowControl w:val="0"/>
        <w:autoSpaceDE w:val="0"/>
        <w:autoSpaceDN w:val="0"/>
        <w:adjustRightInd w:val="0"/>
        <w:rPr>
          <w:rFonts w:ascii="Calibri" w:hAnsi="Calibri" w:cs="Arial"/>
        </w:rPr>
      </w:pPr>
      <w:r w:rsidRPr="00B858B0">
        <w:rPr>
          <w:rFonts w:ascii="Calibri" w:hAnsi="Calibri" w:cs="Arial"/>
        </w:rPr>
        <w:t>The top up or tariff amount is calculated by the following formula:</w:t>
      </w:r>
    </w:p>
    <w:p w14:paraId="44C8527E" w14:textId="54119738" w:rsidR="00415C64" w:rsidRPr="00415C64" w:rsidRDefault="00B858B0" w:rsidP="00415C64">
      <w:pPr>
        <w:widowControl w:val="0"/>
        <w:autoSpaceDE w:val="0"/>
        <w:autoSpaceDN w:val="0"/>
        <w:adjustRightInd w:val="0"/>
        <w:jc w:val="center"/>
        <w:rPr>
          <w:rFonts w:ascii="Calibri" w:hAnsi="Calibri" w:cs="Helvetica"/>
          <w:i/>
        </w:rPr>
      </w:pPr>
      <w:r w:rsidRPr="00B858B0">
        <w:rPr>
          <w:rFonts w:ascii="Calibri" w:hAnsi="Calibri" w:cs="Helvetica"/>
          <w:i/>
        </w:rPr>
        <w:t>(Baseline funding level) – (Individual Authority’s Business Rates Baseline)</w:t>
      </w:r>
    </w:p>
    <w:p w14:paraId="41E32B51" w14:textId="77777777" w:rsidR="00415C64" w:rsidRDefault="00415C64" w:rsidP="00415C64">
      <w:pPr>
        <w:widowControl w:val="0"/>
        <w:autoSpaceDE w:val="0"/>
        <w:autoSpaceDN w:val="0"/>
        <w:adjustRightInd w:val="0"/>
        <w:rPr>
          <w:rFonts w:ascii="Calibri" w:hAnsi="Calibri" w:cs="Arial"/>
          <w:b/>
          <w:bCs/>
          <w:color w:val="76923C" w:themeColor="accent3" w:themeShade="BF"/>
          <w:sz w:val="28"/>
        </w:rPr>
      </w:pPr>
    </w:p>
    <w:p w14:paraId="20B608E1" w14:textId="77777777" w:rsidR="00415C64" w:rsidRDefault="00415C64" w:rsidP="00415C64">
      <w:pPr>
        <w:widowControl w:val="0"/>
        <w:autoSpaceDE w:val="0"/>
        <w:autoSpaceDN w:val="0"/>
        <w:adjustRightInd w:val="0"/>
        <w:rPr>
          <w:rFonts w:ascii="Calibri" w:hAnsi="Calibri" w:cs="Arial"/>
          <w:b/>
          <w:bCs/>
          <w:color w:val="76923C" w:themeColor="accent3" w:themeShade="BF"/>
          <w:sz w:val="28"/>
        </w:rPr>
      </w:pPr>
    </w:p>
    <w:p w14:paraId="119217AC" w14:textId="24FA776F" w:rsidR="00415C64" w:rsidRPr="00415C64" w:rsidRDefault="00415C64" w:rsidP="00415C64">
      <w:pPr>
        <w:widowControl w:val="0"/>
        <w:autoSpaceDE w:val="0"/>
        <w:autoSpaceDN w:val="0"/>
        <w:adjustRightInd w:val="0"/>
        <w:rPr>
          <w:rFonts w:ascii="Calibri" w:hAnsi="Calibri" w:cs="Arial"/>
          <w:color w:val="76923C" w:themeColor="accent3" w:themeShade="BF"/>
          <w:sz w:val="28"/>
        </w:rPr>
      </w:pPr>
      <w:r w:rsidRPr="00415C64">
        <w:rPr>
          <w:rFonts w:ascii="Calibri" w:hAnsi="Calibri" w:cs="Arial"/>
          <w:b/>
          <w:bCs/>
          <w:color w:val="76923C" w:themeColor="accent3" w:themeShade="BF"/>
          <w:sz w:val="28"/>
        </w:rPr>
        <w:lastRenderedPageBreak/>
        <w:t xml:space="preserve">How to model </w:t>
      </w:r>
      <w:r>
        <w:rPr>
          <w:rFonts w:ascii="Calibri" w:hAnsi="Calibri" w:cs="Arial"/>
          <w:b/>
          <w:bCs/>
          <w:color w:val="76923C" w:themeColor="accent3" w:themeShade="BF"/>
          <w:sz w:val="28"/>
        </w:rPr>
        <w:t>Business Rates</w:t>
      </w:r>
    </w:p>
    <w:p w14:paraId="027F5338" w14:textId="77777777" w:rsidR="00415C64" w:rsidRDefault="00415C64" w:rsidP="00415C64">
      <w:pPr>
        <w:widowControl w:val="0"/>
        <w:autoSpaceDE w:val="0"/>
        <w:autoSpaceDN w:val="0"/>
        <w:adjustRightInd w:val="0"/>
        <w:contextualSpacing/>
        <w:rPr>
          <w:rFonts w:ascii="Calibri" w:hAnsi="Calibri" w:cs="Helvetica"/>
          <w:b/>
          <w:bCs/>
          <w:lang w:val="en-US"/>
        </w:rPr>
      </w:pPr>
    </w:p>
    <w:p w14:paraId="3E53AA7E" w14:textId="77777777" w:rsidR="00415C64" w:rsidRPr="00415C64" w:rsidRDefault="00415C64" w:rsidP="00415C64">
      <w:pPr>
        <w:widowControl w:val="0"/>
        <w:autoSpaceDE w:val="0"/>
        <w:autoSpaceDN w:val="0"/>
        <w:adjustRightInd w:val="0"/>
        <w:contextualSpacing/>
        <w:rPr>
          <w:rFonts w:ascii="Calibri" w:hAnsi="Calibri" w:cs="Helvetica"/>
          <w:b/>
          <w:bCs/>
          <w:lang w:val="en-US"/>
        </w:rPr>
      </w:pPr>
      <w:r w:rsidRPr="00415C64">
        <w:rPr>
          <w:rFonts w:ascii="Calibri" w:hAnsi="Calibri" w:cs="Helvetica"/>
          <w:b/>
          <w:bCs/>
          <w:lang w:val="en-US"/>
        </w:rPr>
        <w:t>STEP 1</w:t>
      </w:r>
    </w:p>
    <w:p w14:paraId="2AC07586" w14:textId="77777777" w:rsidR="00415C64" w:rsidRPr="00415C64" w:rsidRDefault="00415C64" w:rsidP="00415C64">
      <w:pPr>
        <w:pStyle w:val="ListParagraph"/>
        <w:widowControl w:val="0"/>
        <w:numPr>
          <w:ilvl w:val="0"/>
          <w:numId w:val="16"/>
        </w:numPr>
        <w:autoSpaceDE w:val="0"/>
        <w:autoSpaceDN w:val="0"/>
        <w:adjustRightInd w:val="0"/>
        <w:contextualSpacing/>
        <w:rPr>
          <w:rFonts w:ascii="Calibri" w:hAnsi="Calibri" w:cs="Helvetica"/>
          <w:bCs/>
          <w:lang w:val="en-US"/>
        </w:rPr>
      </w:pPr>
      <w:r w:rsidRPr="00415C64">
        <w:rPr>
          <w:rFonts w:ascii="Calibri" w:hAnsi="Calibri" w:cs="Helvetica"/>
          <w:bCs/>
          <w:lang w:val="en-US"/>
        </w:rPr>
        <w:t>Calculate the number of square metres that will pay business rates. Remember to separate these by use!</w:t>
      </w:r>
    </w:p>
    <w:p w14:paraId="472269F4" w14:textId="568A0990" w:rsidR="00415C64" w:rsidRPr="00415C64" w:rsidRDefault="00415C64" w:rsidP="00415C64">
      <w:pPr>
        <w:widowControl w:val="0"/>
        <w:autoSpaceDE w:val="0"/>
        <w:autoSpaceDN w:val="0"/>
        <w:adjustRightInd w:val="0"/>
        <w:contextualSpacing/>
        <w:rPr>
          <w:rFonts w:ascii="Calibri" w:hAnsi="Calibri" w:cs="Helvetica"/>
          <w:b/>
          <w:bCs/>
          <w:lang w:val="en-US"/>
        </w:rPr>
      </w:pPr>
      <w:r w:rsidRPr="00415C64">
        <w:rPr>
          <w:rFonts w:ascii="Calibri" w:hAnsi="Calibri" w:cs="Helvetica"/>
          <w:b/>
          <w:bCs/>
          <w:lang w:val="en-US"/>
        </w:rPr>
        <w:t>Remember…</w:t>
      </w:r>
      <w:r>
        <w:rPr>
          <w:rFonts w:ascii="Calibri" w:hAnsi="Calibri" w:cs="Helvetica"/>
          <w:b/>
          <w:bCs/>
          <w:lang w:val="en-US"/>
        </w:rPr>
        <w:t xml:space="preserve"> </w:t>
      </w:r>
      <w:r w:rsidRPr="00415C64">
        <w:rPr>
          <w:rFonts w:ascii="Calibri" w:hAnsi="Calibri" w:cs="Helvetica"/>
          <w:bCs/>
          <w:lang w:val="en-US"/>
        </w:rPr>
        <w:t>Residential uses DO NOT pay business rates!</w:t>
      </w:r>
    </w:p>
    <w:p w14:paraId="2E74A36A" w14:textId="77777777" w:rsidR="00415C64" w:rsidRPr="00415C64" w:rsidRDefault="00415C64" w:rsidP="00415C64">
      <w:pPr>
        <w:widowControl w:val="0"/>
        <w:autoSpaceDE w:val="0"/>
        <w:autoSpaceDN w:val="0"/>
        <w:adjustRightInd w:val="0"/>
        <w:contextualSpacing/>
        <w:rPr>
          <w:rFonts w:ascii="Calibri" w:hAnsi="Calibri" w:cs="Helvetica"/>
          <w:b/>
          <w:bCs/>
          <w:lang w:val="en-US"/>
        </w:rPr>
      </w:pPr>
    </w:p>
    <w:p w14:paraId="2E81C90D" w14:textId="77777777" w:rsidR="00415C64" w:rsidRPr="00415C64" w:rsidRDefault="00415C64" w:rsidP="00415C64">
      <w:pPr>
        <w:widowControl w:val="0"/>
        <w:autoSpaceDE w:val="0"/>
        <w:autoSpaceDN w:val="0"/>
        <w:adjustRightInd w:val="0"/>
        <w:contextualSpacing/>
        <w:rPr>
          <w:rFonts w:ascii="Calibri" w:hAnsi="Calibri" w:cs="Helvetica"/>
        </w:rPr>
      </w:pPr>
      <w:r w:rsidRPr="00415C64">
        <w:rPr>
          <w:rFonts w:ascii="Calibri" w:hAnsi="Calibri" w:cs="Helvetica"/>
          <w:b/>
          <w:bCs/>
          <w:lang w:val="en-US"/>
        </w:rPr>
        <w:t>STEP 2</w:t>
      </w:r>
    </w:p>
    <w:p w14:paraId="440ACFB0" w14:textId="77777777" w:rsidR="00415C64" w:rsidRPr="00415C64" w:rsidRDefault="00415C64" w:rsidP="00415C64">
      <w:pPr>
        <w:pStyle w:val="ListParagraph"/>
        <w:widowControl w:val="0"/>
        <w:numPr>
          <w:ilvl w:val="0"/>
          <w:numId w:val="16"/>
        </w:numPr>
        <w:autoSpaceDE w:val="0"/>
        <w:autoSpaceDN w:val="0"/>
        <w:adjustRightInd w:val="0"/>
        <w:contextualSpacing/>
        <w:rPr>
          <w:rFonts w:ascii="Calibri" w:hAnsi="Calibri" w:cs="Helvetica"/>
        </w:rPr>
      </w:pPr>
      <w:r w:rsidRPr="00415C64">
        <w:rPr>
          <w:rFonts w:ascii="Calibri" w:hAnsi="Calibri" w:cs="Helvetica"/>
          <w:lang w:val="en-US"/>
        </w:rPr>
        <w:t>Make appropriate assumptions of the approximate rateable value (RV) per square metre that new development is likely to get. You can do this by taking a sampling of the surrounding area. You need to do this for every use that the new development will deliver.</w:t>
      </w:r>
    </w:p>
    <w:p w14:paraId="249A0FAC" w14:textId="24143AAC" w:rsidR="00415C64" w:rsidRPr="00415C64" w:rsidRDefault="00415C64" w:rsidP="00415C64">
      <w:pPr>
        <w:widowControl w:val="0"/>
        <w:autoSpaceDE w:val="0"/>
        <w:autoSpaceDN w:val="0"/>
        <w:adjustRightInd w:val="0"/>
        <w:contextualSpacing/>
        <w:rPr>
          <w:rFonts w:ascii="Calibri" w:hAnsi="Calibri" w:cs="Helvetica"/>
        </w:rPr>
      </w:pPr>
      <w:r w:rsidRPr="00415C64">
        <w:rPr>
          <w:rFonts w:ascii="Calibri" w:hAnsi="Calibri" w:cs="Helvetica"/>
          <w:b/>
          <w:bCs/>
          <w:lang w:val="en-US"/>
        </w:rPr>
        <w:t>Remember…</w:t>
      </w:r>
      <w:r>
        <w:rPr>
          <w:rFonts w:ascii="Calibri" w:hAnsi="Calibri" w:cs="Helvetica"/>
        </w:rPr>
        <w:t xml:space="preserve"> </w:t>
      </w:r>
      <w:r w:rsidRPr="00415C64">
        <w:rPr>
          <w:rFonts w:ascii="Calibri" w:hAnsi="Calibri" w:cs="Helvetica"/>
          <w:lang w:val="en-US"/>
        </w:rPr>
        <w:t>Different uses get different RV rates. RVs are set by the VOA, and are reviewed every 5 years.</w:t>
      </w:r>
    </w:p>
    <w:p w14:paraId="47A068F2" w14:textId="77777777" w:rsidR="00415C64" w:rsidRDefault="00415C64" w:rsidP="00415C64">
      <w:pPr>
        <w:widowControl w:val="0"/>
        <w:autoSpaceDE w:val="0"/>
        <w:autoSpaceDN w:val="0"/>
        <w:adjustRightInd w:val="0"/>
        <w:contextualSpacing/>
        <w:rPr>
          <w:rFonts w:ascii="Calibri" w:hAnsi="Calibri" w:cs="Helvetica"/>
        </w:rPr>
      </w:pPr>
    </w:p>
    <w:p w14:paraId="25B6DEA2" w14:textId="77777777" w:rsidR="00415C64" w:rsidRPr="00415C64" w:rsidRDefault="00415C64" w:rsidP="00415C64">
      <w:pPr>
        <w:widowControl w:val="0"/>
        <w:autoSpaceDE w:val="0"/>
        <w:autoSpaceDN w:val="0"/>
        <w:adjustRightInd w:val="0"/>
        <w:contextualSpacing/>
        <w:rPr>
          <w:rFonts w:ascii="Calibri" w:hAnsi="Calibri" w:cs="Helvetica"/>
        </w:rPr>
      </w:pPr>
      <w:r w:rsidRPr="00415C64">
        <w:rPr>
          <w:rFonts w:ascii="Calibri" w:hAnsi="Calibri" w:cs="Helvetica"/>
          <w:b/>
          <w:bCs/>
          <w:lang w:val="en-US"/>
        </w:rPr>
        <w:t>STEP 3</w:t>
      </w:r>
    </w:p>
    <w:p w14:paraId="7387B24F" w14:textId="77777777" w:rsidR="00415C64" w:rsidRPr="00415C64" w:rsidRDefault="00415C64" w:rsidP="00415C64">
      <w:pPr>
        <w:pStyle w:val="ListParagraph"/>
        <w:widowControl w:val="0"/>
        <w:numPr>
          <w:ilvl w:val="0"/>
          <w:numId w:val="16"/>
        </w:numPr>
        <w:autoSpaceDE w:val="0"/>
        <w:autoSpaceDN w:val="0"/>
        <w:adjustRightInd w:val="0"/>
        <w:contextualSpacing/>
        <w:rPr>
          <w:rFonts w:ascii="Calibri" w:hAnsi="Calibri" w:cs="Helvetica"/>
        </w:rPr>
      </w:pPr>
      <w:r w:rsidRPr="00415C64">
        <w:rPr>
          <w:rFonts w:ascii="Calibri" w:hAnsi="Calibri" w:cs="Helvetica"/>
          <w:lang w:val="en-US"/>
        </w:rPr>
        <w:t>Multiply the square metres of each use by the appropriate Rateable Values per square metre to get the potential rateable value of the property.</w:t>
      </w:r>
    </w:p>
    <w:p w14:paraId="0FED9FBD" w14:textId="50914E66" w:rsidR="00415C64" w:rsidRPr="00415C64" w:rsidRDefault="00415C64" w:rsidP="00415C64">
      <w:pPr>
        <w:pStyle w:val="ListParagraph"/>
        <w:widowControl w:val="0"/>
        <w:numPr>
          <w:ilvl w:val="0"/>
          <w:numId w:val="16"/>
        </w:numPr>
        <w:autoSpaceDE w:val="0"/>
        <w:autoSpaceDN w:val="0"/>
        <w:adjustRightInd w:val="0"/>
        <w:contextualSpacing/>
        <w:rPr>
          <w:rFonts w:ascii="Calibri" w:hAnsi="Calibri" w:cs="Helvetica"/>
        </w:rPr>
      </w:pPr>
      <w:r w:rsidRPr="00415C64">
        <w:rPr>
          <w:rFonts w:ascii="Calibri" w:hAnsi="Calibri" w:cs="Helvetica"/>
          <w:lang w:val="en-US"/>
        </w:rPr>
        <w:t>For example: In a certain area, the average RV for retail uses is £50 per sqm. A new development of 100 sqm of retail is being delivered in the area. Therefore, the rateable value of the whole development will be £5000.</w:t>
      </w:r>
    </w:p>
    <w:p w14:paraId="732E3F39" w14:textId="77777777" w:rsidR="00415C64" w:rsidRDefault="00415C64" w:rsidP="00415C64">
      <w:pPr>
        <w:widowControl w:val="0"/>
        <w:autoSpaceDE w:val="0"/>
        <w:autoSpaceDN w:val="0"/>
        <w:adjustRightInd w:val="0"/>
        <w:contextualSpacing/>
        <w:rPr>
          <w:rFonts w:ascii="Calibri" w:hAnsi="Calibri" w:cs="Helvetica"/>
          <w:b/>
          <w:bCs/>
          <w:lang w:val="en-US"/>
        </w:rPr>
      </w:pPr>
    </w:p>
    <w:p w14:paraId="040734CA" w14:textId="77777777" w:rsidR="00415C64" w:rsidRPr="00415C64" w:rsidRDefault="00415C64" w:rsidP="00415C64">
      <w:pPr>
        <w:widowControl w:val="0"/>
        <w:autoSpaceDE w:val="0"/>
        <w:autoSpaceDN w:val="0"/>
        <w:adjustRightInd w:val="0"/>
        <w:contextualSpacing/>
        <w:rPr>
          <w:rFonts w:ascii="Calibri" w:hAnsi="Calibri" w:cs="Helvetica"/>
        </w:rPr>
      </w:pPr>
      <w:r w:rsidRPr="00415C64">
        <w:rPr>
          <w:rFonts w:ascii="Calibri" w:hAnsi="Calibri" w:cs="Helvetica"/>
          <w:b/>
          <w:bCs/>
          <w:lang w:val="en-US"/>
        </w:rPr>
        <w:t>STEP 4</w:t>
      </w:r>
    </w:p>
    <w:p w14:paraId="2380D7C4" w14:textId="77777777" w:rsidR="00415C64" w:rsidRPr="00415C64" w:rsidRDefault="00415C64" w:rsidP="00415C64">
      <w:pPr>
        <w:pStyle w:val="ListParagraph"/>
        <w:widowControl w:val="0"/>
        <w:numPr>
          <w:ilvl w:val="0"/>
          <w:numId w:val="17"/>
        </w:numPr>
        <w:autoSpaceDE w:val="0"/>
        <w:autoSpaceDN w:val="0"/>
        <w:adjustRightInd w:val="0"/>
        <w:contextualSpacing/>
        <w:rPr>
          <w:rFonts w:ascii="Calibri" w:hAnsi="Calibri" w:cs="Helvetica"/>
        </w:rPr>
      </w:pPr>
      <w:r w:rsidRPr="00415C64">
        <w:rPr>
          <w:rFonts w:ascii="Calibri" w:hAnsi="Calibri" w:cs="Helvetica"/>
          <w:lang w:val="en-US"/>
        </w:rPr>
        <w:t>Multiply the Rateable Value of the property by the NNDR multiplier. This will give you the total annual Business Rates payable.</w:t>
      </w:r>
    </w:p>
    <w:p w14:paraId="20E23E64" w14:textId="77777777" w:rsidR="00415C64" w:rsidRPr="00415C64" w:rsidRDefault="00415C64" w:rsidP="00415C64">
      <w:pPr>
        <w:pStyle w:val="ListParagraph"/>
        <w:widowControl w:val="0"/>
        <w:numPr>
          <w:ilvl w:val="0"/>
          <w:numId w:val="17"/>
        </w:numPr>
        <w:autoSpaceDE w:val="0"/>
        <w:autoSpaceDN w:val="0"/>
        <w:adjustRightInd w:val="0"/>
        <w:contextualSpacing/>
        <w:rPr>
          <w:rFonts w:ascii="Calibri" w:hAnsi="Calibri" w:cs="Helvetica"/>
        </w:rPr>
      </w:pPr>
      <w:r w:rsidRPr="00415C64">
        <w:rPr>
          <w:rFonts w:ascii="Calibri" w:hAnsi="Calibri" w:cs="Helvetica"/>
          <w:lang w:val="en-US"/>
        </w:rPr>
        <w:t xml:space="preserve">For example: </w:t>
      </w:r>
    </w:p>
    <w:p w14:paraId="3C08E3A8" w14:textId="4983E247" w:rsidR="00415C64" w:rsidRDefault="00415C64" w:rsidP="00415C64">
      <w:pPr>
        <w:widowControl w:val="0"/>
        <w:autoSpaceDE w:val="0"/>
        <w:autoSpaceDN w:val="0"/>
        <w:adjustRightInd w:val="0"/>
        <w:contextualSpacing/>
        <w:jc w:val="center"/>
        <w:rPr>
          <w:rFonts w:ascii="Calibri" w:hAnsi="Calibri" w:cs="Helvetica"/>
        </w:rPr>
      </w:pPr>
      <w:r w:rsidRPr="00415C64">
        <w:rPr>
          <w:rFonts w:ascii="Calibri" w:hAnsi="Calibri" w:cs="Helvetica"/>
          <w:b/>
          <w:bCs/>
          <w:lang w:val="en-US"/>
        </w:rPr>
        <w:t>£5000 x 0.471</w:t>
      </w:r>
      <w:r>
        <w:rPr>
          <w:rFonts w:ascii="Calibri" w:hAnsi="Calibri" w:cs="Helvetica"/>
          <w:b/>
          <w:bCs/>
          <w:lang w:val="en-US"/>
        </w:rPr>
        <w:t xml:space="preserve"> </w:t>
      </w:r>
      <w:r w:rsidRPr="00415C64">
        <w:rPr>
          <w:rFonts w:ascii="Calibri" w:hAnsi="Calibri" w:cs="Helvetica"/>
          <w:b/>
          <w:bCs/>
          <w:lang w:val="en-US"/>
        </w:rPr>
        <w:t>= £2355 payable in Business Rates</w:t>
      </w:r>
    </w:p>
    <w:p w14:paraId="0F8A70C2" w14:textId="37B563F4" w:rsidR="00415C64" w:rsidRPr="00415C64" w:rsidRDefault="00415C64" w:rsidP="00415C64">
      <w:pPr>
        <w:widowControl w:val="0"/>
        <w:autoSpaceDE w:val="0"/>
        <w:autoSpaceDN w:val="0"/>
        <w:adjustRightInd w:val="0"/>
        <w:contextualSpacing/>
        <w:rPr>
          <w:rFonts w:ascii="Calibri" w:hAnsi="Calibri" w:cs="Helvetica"/>
          <w:b/>
        </w:rPr>
      </w:pPr>
      <w:r w:rsidRPr="00415C64">
        <w:rPr>
          <w:rFonts w:ascii="Calibri" w:hAnsi="Calibri" w:cs="Helvetica"/>
          <w:b/>
        </w:rPr>
        <w:t>Remember…</w:t>
      </w:r>
      <w:r>
        <w:rPr>
          <w:rFonts w:ascii="Calibri" w:hAnsi="Calibri" w:cs="Helvetica"/>
          <w:b/>
        </w:rPr>
        <w:t xml:space="preserve"> </w:t>
      </w:r>
      <w:r w:rsidRPr="00415C64">
        <w:rPr>
          <w:rFonts w:ascii="Calibri" w:hAnsi="Calibri" w:cs="Helvetica"/>
          <w:lang w:val="en-US"/>
        </w:rPr>
        <w:t>If you’re modelling business rates over time, remember that this is an annual charge, therefore, once a development is built it will continue to pay business rates over time!</w:t>
      </w:r>
    </w:p>
    <w:p w14:paraId="6A4BCA1E" w14:textId="77777777" w:rsidR="00415C64" w:rsidRPr="00415C64" w:rsidRDefault="00415C64" w:rsidP="00415C64">
      <w:pPr>
        <w:widowControl w:val="0"/>
        <w:autoSpaceDE w:val="0"/>
        <w:autoSpaceDN w:val="0"/>
        <w:adjustRightInd w:val="0"/>
        <w:contextualSpacing/>
        <w:rPr>
          <w:rFonts w:ascii="Calibri" w:hAnsi="Calibri" w:cs="Helvetica"/>
        </w:rPr>
      </w:pPr>
    </w:p>
    <w:p w14:paraId="43F7CAD0" w14:textId="371CC689" w:rsidR="00B858B0" w:rsidRPr="004E4D8F" w:rsidRDefault="006C538B" w:rsidP="00415C64">
      <w:pPr>
        <w:widowControl w:val="0"/>
        <w:autoSpaceDE w:val="0"/>
        <w:autoSpaceDN w:val="0"/>
        <w:adjustRightInd w:val="0"/>
        <w:rPr>
          <w:rFonts w:ascii="Calibri" w:hAnsi="Calibri" w:cs="Helvetica"/>
          <w:sz w:val="22"/>
          <w:szCs w:val="20"/>
        </w:rPr>
      </w:pPr>
      <w:r>
        <w:rPr>
          <w:rFonts w:ascii="Calibri" w:hAnsi="Calibri" w:cs="Helvetica"/>
          <w:noProof/>
          <w:sz w:val="22"/>
          <w:szCs w:val="20"/>
          <w:lang w:eastAsia="en-GB"/>
        </w:rPr>
        <w:drawing>
          <wp:inline distT="0" distB="0" distL="0" distR="0" wp14:anchorId="64E5FEE8" wp14:editId="32AD8390">
            <wp:extent cx="4106333" cy="1465663"/>
            <wp:effectExtent l="0" t="0" r="8890" b="7620"/>
            <wp:docPr id="7" name="Picture 7" descr="Macintosh HD:Users:spperez:Desktop:Screen Shot 2013-10-11 at 14.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pperez:Desktop:Screen Shot 2013-10-11 at 14.07.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6333" cy="1465663"/>
                    </a:xfrm>
                    <a:prstGeom prst="rect">
                      <a:avLst/>
                    </a:prstGeom>
                    <a:noFill/>
                    <a:ln>
                      <a:noFill/>
                    </a:ln>
                  </pic:spPr>
                </pic:pic>
              </a:graphicData>
            </a:graphic>
          </wp:inline>
        </w:drawing>
      </w:r>
    </w:p>
    <w:p w14:paraId="69A836A6" w14:textId="77777777" w:rsidR="00415C64" w:rsidRDefault="00415C64" w:rsidP="00415C64">
      <w:pPr>
        <w:widowControl w:val="0"/>
        <w:autoSpaceDE w:val="0"/>
        <w:autoSpaceDN w:val="0"/>
        <w:adjustRightInd w:val="0"/>
        <w:rPr>
          <w:rFonts w:ascii="Calibri" w:hAnsi="Calibri" w:cs="Helvetica"/>
          <w:b/>
          <w:sz w:val="40"/>
          <w:szCs w:val="20"/>
        </w:rPr>
      </w:pPr>
    </w:p>
    <w:p w14:paraId="0805FAE5" w14:textId="77777777" w:rsidR="00B858B0" w:rsidRPr="00B858B0" w:rsidRDefault="00B858B0" w:rsidP="00415C64">
      <w:pPr>
        <w:widowControl w:val="0"/>
        <w:autoSpaceDE w:val="0"/>
        <w:autoSpaceDN w:val="0"/>
        <w:adjustRightInd w:val="0"/>
        <w:rPr>
          <w:rFonts w:ascii="Calibri" w:hAnsi="Calibri" w:cs="Helvetica"/>
          <w:b/>
          <w:sz w:val="40"/>
          <w:szCs w:val="20"/>
        </w:rPr>
      </w:pPr>
      <w:r w:rsidRPr="00B858B0">
        <w:rPr>
          <w:rFonts w:ascii="Calibri" w:hAnsi="Calibri" w:cs="Helvetica"/>
          <w:b/>
          <w:sz w:val="40"/>
          <w:szCs w:val="20"/>
        </w:rPr>
        <w:t>Community Infrastructure Levy (CIL)</w:t>
      </w:r>
    </w:p>
    <w:p w14:paraId="6876CB33" w14:textId="77777777" w:rsidR="00B858B0" w:rsidRPr="006C538B" w:rsidRDefault="005F517D" w:rsidP="00415C64">
      <w:pPr>
        <w:rPr>
          <w:rFonts w:ascii="Calibri" w:hAnsi="Calibri"/>
          <w:b/>
        </w:rPr>
      </w:pPr>
      <w:hyperlink r:id="rId12" w:history="1">
        <w:r w:rsidR="00B858B0" w:rsidRPr="006C538B">
          <w:rPr>
            <w:rStyle w:val="Hyperlink"/>
            <w:rFonts w:ascii="Calibri" w:hAnsi="Calibri"/>
            <w:b/>
          </w:rPr>
          <w:t>http://bit.ly/PAS-CIL</w:t>
        </w:r>
      </w:hyperlink>
    </w:p>
    <w:p w14:paraId="305E6395" w14:textId="77777777" w:rsidR="00B858B0" w:rsidRPr="006C538B" w:rsidRDefault="00B858B0" w:rsidP="00415C64">
      <w:pPr>
        <w:rPr>
          <w:rFonts w:ascii="Calibri" w:hAnsi="Calibri" w:cstheme="minorBidi"/>
          <w:b/>
        </w:rPr>
      </w:pPr>
    </w:p>
    <w:p w14:paraId="301F0EDE" w14:textId="77777777" w:rsidR="00B858B0" w:rsidRPr="006C538B" w:rsidRDefault="00B858B0" w:rsidP="00415C64">
      <w:pPr>
        <w:widowControl w:val="0"/>
        <w:autoSpaceDE w:val="0"/>
        <w:autoSpaceDN w:val="0"/>
        <w:adjustRightInd w:val="0"/>
        <w:rPr>
          <w:rFonts w:ascii="Calibri" w:eastAsiaTheme="minorEastAsia" w:hAnsi="Calibri" w:cs="Arial"/>
        </w:rPr>
      </w:pPr>
      <w:r w:rsidRPr="006C538B">
        <w:rPr>
          <w:rFonts w:ascii="Calibri" w:eastAsiaTheme="minorEastAsia" w:hAnsi="Calibri" w:cs="Arial"/>
        </w:rPr>
        <w:t xml:space="preserve">The community infrastructure levy is a new levy that local authorities in England and Wales can choose to charge on new developments in their area. In areas where a </w:t>
      </w:r>
      <w:r w:rsidRPr="006C538B">
        <w:rPr>
          <w:rFonts w:ascii="Calibri" w:eastAsiaTheme="minorEastAsia" w:hAnsi="Calibri" w:cs="Arial"/>
        </w:rPr>
        <w:lastRenderedPageBreak/>
        <w:t>community infrastructure levy is in force, land owners and developers must pay the levy to the local council.</w:t>
      </w:r>
    </w:p>
    <w:p w14:paraId="328A15EB" w14:textId="77777777" w:rsidR="00B858B0" w:rsidRPr="006C538B" w:rsidRDefault="00B858B0" w:rsidP="00415C64">
      <w:pPr>
        <w:widowControl w:val="0"/>
        <w:autoSpaceDE w:val="0"/>
        <w:autoSpaceDN w:val="0"/>
        <w:adjustRightInd w:val="0"/>
        <w:rPr>
          <w:rFonts w:ascii="Calibri" w:eastAsiaTheme="minorEastAsia" w:hAnsi="Calibri" w:cs="Arial"/>
        </w:rPr>
      </w:pPr>
      <w:r w:rsidRPr="006C538B">
        <w:rPr>
          <w:rFonts w:ascii="Calibri" w:eastAsiaTheme="minorEastAsia" w:hAnsi="Calibri" w:cs="Arial"/>
        </w:rPr>
        <w:t>The charges are set by the local council, based on the size and type of the new development.</w:t>
      </w:r>
    </w:p>
    <w:p w14:paraId="7677A5D8" w14:textId="77777777" w:rsidR="00B858B0" w:rsidRPr="006C538B" w:rsidRDefault="00B858B0" w:rsidP="00415C64">
      <w:pPr>
        <w:widowControl w:val="0"/>
        <w:autoSpaceDE w:val="0"/>
        <w:autoSpaceDN w:val="0"/>
        <w:adjustRightInd w:val="0"/>
        <w:rPr>
          <w:rFonts w:ascii="Calibri" w:hAnsi="Calibri" w:cs="Arial"/>
        </w:rPr>
      </w:pPr>
      <w:r w:rsidRPr="006C538B">
        <w:rPr>
          <w:rFonts w:ascii="Calibri" w:eastAsiaTheme="minorEastAsia" w:hAnsi="Calibri" w:cs="Arial"/>
        </w:rPr>
        <w:t xml:space="preserve">The money raised from the community infrastructure levy must be used to support the development of the area by funding infrastructure that the council, local community and neighbourhoods want.  A proportion of the income must be spent in the area where the development is taking place (15% or 25% depending on whether a neighbourhood plan is in place).  </w:t>
      </w:r>
    </w:p>
    <w:p w14:paraId="75457E0F" w14:textId="77777777" w:rsidR="00415C64" w:rsidRDefault="00415C64" w:rsidP="00415C64">
      <w:pPr>
        <w:widowControl w:val="0"/>
        <w:autoSpaceDE w:val="0"/>
        <w:autoSpaceDN w:val="0"/>
        <w:adjustRightInd w:val="0"/>
        <w:rPr>
          <w:rFonts w:ascii="Calibri" w:hAnsi="Calibri" w:cs="Arial"/>
          <w:b/>
          <w:bCs/>
          <w:color w:val="76923C" w:themeColor="accent3" w:themeShade="BF"/>
          <w:sz w:val="28"/>
        </w:rPr>
      </w:pPr>
    </w:p>
    <w:p w14:paraId="672248A0" w14:textId="77777777" w:rsidR="00B858B0" w:rsidRPr="00415C64" w:rsidRDefault="00B858B0" w:rsidP="00415C64">
      <w:pPr>
        <w:widowControl w:val="0"/>
        <w:autoSpaceDE w:val="0"/>
        <w:autoSpaceDN w:val="0"/>
        <w:adjustRightInd w:val="0"/>
        <w:rPr>
          <w:rFonts w:ascii="Calibri" w:hAnsi="Calibri" w:cs="Arial"/>
          <w:color w:val="76923C" w:themeColor="accent3" w:themeShade="BF"/>
          <w:sz w:val="28"/>
        </w:rPr>
      </w:pPr>
      <w:r w:rsidRPr="00415C64">
        <w:rPr>
          <w:rFonts w:ascii="Calibri" w:hAnsi="Calibri" w:cs="Arial"/>
          <w:b/>
          <w:bCs/>
          <w:color w:val="76923C" w:themeColor="accent3" w:themeShade="BF"/>
          <w:sz w:val="28"/>
        </w:rPr>
        <w:t>How to model CIL income</w:t>
      </w:r>
    </w:p>
    <w:p w14:paraId="29491764" w14:textId="77777777" w:rsidR="00B858B0" w:rsidRPr="006C538B" w:rsidRDefault="00B858B0" w:rsidP="00415C64">
      <w:pPr>
        <w:widowControl w:val="0"/>
        <w:autoSpaceDE w:val="0"/>
        <w:autoSpaceDN w:val="0"/>
        <w:adjustRightInd w:val="0"/>
        <w:rPr>
          <w:rFonts w:ascii="Calibri" w:hAnsi="Calibri" w:cs="Arial"/>
        </w:rPr>
      </w:pPr>
      <w:r w:rsidRPr="006C538B">
        <w:rPr>
          <w:rFonts w:ascii="Calibri" w:hAnsi="Calibri" w:cs="Arial"/>
          <w:b/>
          <w:bCs/>
        </w:rPr>
        <w:t>STEP 1</w:t>
      </w:r>
    </w:p>
    <w:p w14:paraId="74131511" w14:textId="77777777" w:rsidR="00B858B0" w:rsidRPr="006C538B" w:rsidRDefault="00B858B0" w:rsidP="00415C64">
      <w:pPr>
        <w:pStyle w:val="ListParagraph"/>
        <w:widowControl w:val="0"/>
        <w:numPr>
          <w:ilvl w:val="0"/>
          <w:numId w:val="16"/>
        </w:numPr>
        <w:autoSpaceDE w:val="0"/>
        <w:autoSpaceDN w:val="0"/>
        <w:adjustRightInd w:val="0"/>
        <w:contextualSpacing/>
        <w:rPr>
          <w:rFonts w:ascii="Calibri" w:hAnsi="Calibri" w:cs="Arial"/>
        </w:rPr>
      </w:pPr>
      <w:r w:rsidRPr="006C538B">
        <w:rPr>
          <w:rFonts w:ascii="Calibri" w:hAnsi="Calibri" w:cs="Arial"/>
        </w:rPr>
        <w:t xml:space="preserve">Filter your development trajectory by removing the types of development that are not liable to pay CIL in your area. </w:t>
      </w:r>
    </w:p>
    <w:p w14:paraId="1B1C20CB" w14:textId="77777777" w:rsidR="00B858B0" w:rsidRPr="006C538B" w:rsidRDefault="00B858B0" w:rsidP="00415C64">
      <w:pPr>
        <w:pStyle w:val="ListParagraph"/>
        <w:widowControl w:val="0"/>
        <w:numPr>
          <w:ilvl w:val="0"/>
          <w:numId w:val="16"/>
        </w:numPr>
        <w:autoSpaceDE w:val="0"/>
        <w:autoSpaceDN w:val="0"/>
        <w:adjustRightInd w:val="0"/>
        <w:contextualSpacing/>
        <w:rPr>
          <w:rFonts w:ascii="Calibri" w:hAnsi="Calibri" w:cs="Arial"/>
        </w:rPr>
      </w:pPr>
      <w:r w:rsidRPr="006C538B">
        <w:rPr>
          <w:rFonts w:ascii="Calibri" w:hAnsi="Calibri" w:cs="Arial"/>
        </w:rPr>
        <w:t xml:space="preserve">Your charging schedule will tell you this. </w:t>
      </w:r>
    </w:p>
    <w:p w14:paraId="4EA12D46" w14:textId="20B6E616" w:rsidR="00B858B0" w:rsidRPr="006C538B" w:rsidRDefault="00B858B0" w:rsidP="00415C64">
      <w:pPr>
        <w:widowControl w:val="0"/>
        <w:autoSpaceDE w:val="0"/>
        <w:autoSpaceDN w:val="0"/>
        <w:adjustRightInd w:val="0"/>
        <w:rPr>
          <w:rFonts w:ascii="Calibri" w:hAnsi="Calibri" w:cs="Arial"/>
        </w:rPr>
      </w:pPr>
      <w:r w:rsidRPr="006C538B">
        <w:rPr>
          <w:rFonts w:ascii="Calibri" w:hAnsi="Calibri" w:cs="Arial"/>
          <w:b/>
          <w:bCs/>
        </w:rPr>
        <w:t>Remember…</w:t>
      </w:r>
      <w:r w:rsidR="00415C64">
        <w:rPr>
          <w:rFonts w:ascii="Calibri" w:hAnsi="Calibri" w:cs="Arial"/>
        </w:rPr>
        <w:t xml:space="preserve"> </w:t>
      </w:r>
      <w:r w:rsidRPr="006C538B">
        <w:rPr>
          <w:rFonts w:ascii="Calibri" w:hAnsi="Calibri" w:cs="Arial"/>
        </w:rPr>
        <w:t>Developments that were already permitted when your charging schedule went live and affordable housing DO NOT pay CIL!</w:t>
      </w:r>
    </w:p>
    <w:p w14:paraId="0601EAAE" w14:textId="77777777" w:rsidR="00415C64" w:rsidRDefault="00415C64" w:rsidP="00415C64">
      <w:pPr>
        <w:widowControl w:val="0"/>
        <w:autoSpaceDE w:val="0"/>
        <w:autoSpaceDN w:val="0"/>
        <w:adjustRightInd w:val="0"/>
        <w:rPr>
          <w:rFonts w:ascii="Calibri" w:hAnsi="Calibri" w:cs="Arial"/>
          <w:b/>
          <w:bCs/>
        </w:rPr>
      </w:pPr>
    </w:p>
    <w:p w14:paraId="1852AE53" w14:textId="77777777" w:rsidR="00B858B0" w:rsidRPr="006C538B" w:rsidRDefault="00B858B0" w:rsidP="00415C64">
      <w:pPr>
        <w:widowControl w:val="0"/>
        <w:autoSpaceDE w:val="0"/>
        <w:autoSpaceDN w:val="0"/>
        <w:adjustRightInd w:val="0"/>
        <w:rPr>
          <w:rFonts w:ascii="Calibri" w:hAnsi="Calibri" w:cs="Arial"/>
        </w:rPr>
      </w:pPr>
      <w:r w:rsidRPr="006C538B">
        <w:rPr>
          <w:rFonts w:ascii="Calibri" w:hAnsi="Calibri" w:cs="Arial"/>
          <w:b/>
          <w:bCs/>
        </w:rPr>
        <w:t>STEP 2</w:t>
      </w:r>
    </w:p>
    <w:p w14:paraId="36F65C1A" w14:textId="77777777" w:rsidR="00B858B0" w:rsidRPr="006C538B" w:rsidRDefault="00B858B0" w:rsidP="00415C64">
      <w:pPr>
        <w:pStyle w:val="ListParagraph"/>
        <w:widowControl w:val="0"/>
        <w:numPr>
          <w:ilvl w:val="0"/>
          <w:numId w:val="16"/>
        </w:numPr>
        <w:autoSpaceDE w:val="0"/>
        <w:autoSpaceDN w:val="0"/>
        <w:adjustRightInd w:val="0"/>
        <w:contextualSpacing/>
        <w:rPr>
          <w:rFonts w:ascii="Calibri" w:hAnsi="Calibri" w:cs="Arial"/>
          <w:lang w:val="en-US"/>
        </w:rPr>
      </w:pPr>
      <w:r w:rsidRPr="006C538B">
        <w:rPr>
          <w:rFonts w:ascii="Calibri" w:hAnsi="Calibri" w:cs="Arial"/>
        </w:rPr>
        <w:t>Calculate the total amount of additional floorspace, in square metres, that is being delivered by the development. You can use design standards to estimate the total area of housing, for example.</w:t>
      </w:r>
    </w:p>
    <w:p w14:paraId="189F6FAE" w14:textId="2552D6AD" w:rsidR="00B858B0" w:rsidRPr="006C538B" w:rsidRDefault="00B858B0" w:rsidP="00415C64">
      <w:pPr>
        <w:widowControl w:val="0"/>
        <w:autoSpaceDE w:val="0"/>
        <w:autoSpaceDN w:val="0"/>
        <w:adjustRightInd w:val="0"/>
        <w:rPr>
          <w:rFonts w:ascii="Calibri" w:hAnsi="Calibri" w:cs="Arial"/>
        </w:rPr>
      </w:pPr>
      <w:r w:rsidRPr="006C538B">
        <w:rPr>
          <w:rFonts w:ascii="Calibri" w:hAnsi="Calibri" w:cs="Arial"/>
          <w:b/>
          <w:bCs/>
        </w:rPr>
        <w:t>Remember…</w:t>
      </w:r>
      <w:r w:rsidR="00415C64">
        <w:rPr>
          <w:rFonts w:ascii="Calibri" w:hAnsi="Calibri" w:cs="Arial"/>
        </w:rPr>
        <w:t xml:space="preserve"> </w:t>
      </w:r>
      <w:r w:rsidRPr="006C538B">
        <w:rPr>
          <w:rFonts w:ascii="Calibri" w:hAnsi="Calibri" w:cs="Arial"/>
        </w:rPr>
        <w:t>CIL is payable only on Gross Internal Area! Also, replacement floorspace does not pay CIL!</w:t>
      </w:r>
    </w:p>
    <w:p w14:paraId="1294D7FA" w14:textId="77777777" w:rsidR="00415C64" w:rsidRDefault="00415C64" w:rsidP="00415C64">
      <w:pPr>
        <w:widowControl w:val="0"/>
        <w:autoSpaceDE w:val="0"/>
        <w:autoSpaceDN w:val="0"/>
        <w:adjustRightInd w:val="0"/>
        <w:rPr>
          <w:rFonts w:ascii="Calibri" w:hAnsi="Calibri" w:cs="Arial"/>
          <w:b/>
          <w:bCs/>
        </w:rPr>
      </w:pPr>
    </w:p>
    <w:p w14:paraId="378C1A70" w14:textId="77777777" w:rsidR="00B858B0" w:rsidRPr="006C538B" w:rsidRDefault="00B858B0" w:rsidP="00415C64">
      <w:pPr>
        <w:widowControl w:val="0"/>
        <w:autoSpaceDE w:val="0"/>
        <w:autoSpaceDN w:val="0"/>
        <w:adjustRightInd w:val="0"/>
        <w:rPr>
          <w:rFonts w:ascii="Calibri" w:hAnsi="Calibri" w:cs="Arial"/>
          <w:b/>
          <w:bCs/>
          <w:lang w:val="en-US"/>
        </w:rPr>
      </w:pPr>
      <w:r w:rsidRPr="006C538B">
        <w:rPr>
          <w:rFonts w:ascii="Calibri" w:hAnsi="Calibri" w:cs="Arial"/>
          <w:b/>
          <w:bCs/>
        </w:rPr>
        <w:t>STEP 3</w:t>
      </w:r>
    </w:p>
    <w:p w14:paraId="14DF0552" w14:textId="77777777" w:rsidR="00B858B0" w:rsidRPr="006C538B" w:rsidRDefault="00B858B0" w:rsidP="00415C64">
      <w:pPr>
        <w:pStyle w:val="ListParagraph"/>
        <w:widowControl w:val="0"/>
        <w:numPr>
          <w:ilvl w:val="0"/>
          <w:numId w:val="16"/>
        </w:numPr>
        <w:autoSpaceDE w:val="0"/>
        <w:autoSpaceDN w:val="0"/>
        <w:adjustRightInd w:val="0"/>
        <w:contextualSpacing/>
        <w:rPr>
          <w:rFonts w:ascii="Calibri" w:hAnsi="Calibri" w:cs="Arial"/>
          <w:lang w:val="en-US"/>
        </w:rPr>
      </w:pPr>
      <w:r w:rsidRPr="006C538B">
        <w:rPr>
          <w:rFonts w:ascii="Calibri" w:hAnsi="Calibri" w:cs="Arial"/>
        </w:rPr>
        <w:t>Multiply the number of square metres by the appropriate CIL rate for that specific use type.</w:t>
      </w:r>
    </w:p>
    <w:p w14:paraId="4ADBCAF8" w14:textId="77777777" w:rsidR="00B858B0" w:rsidRPr="006C538B" w:rsidRDefault="00B858B0" w:rsidP="00415C64">
      <w:pPr>
        <w:pStyle w:val="ListParagraph"/>
        <w:widowControl w:val="0"/>
        <w:numPr>
          <w:ilvl w:val="0"/>
          <w:numId w:val="16"/>
        </w:numPr>
        <w:autoSpaceDE w:val="0"/>
        <w:autoSpaceDN w:val="0"/>
        <w:adjustRightInd w:val="0"/>
        <w:contextualSpacing/>
        <w:rPr>
          <w:rFonts w:ascii="Calibri" w:hAnsi="Calibri" w:cs="Arial"/>
        </w:rPr>
      </w:pPr>
      <w:r w:rsidRPr="006C538B">
        <w:rPr>
          <w:rFonts w:ascii="Calibri" w:hAnsi="Calibri" w:cs="Arial"/>
        </w:rPr>
        <w:t>For example:</w:t>
      </w:r>
    </w:p>
    <w:p w14:paraId="28538114" w14:textId="0F929010" w:rsidR="00B858B0" w:rsidRPr="00415C64" w:rsidRDefault="00B858B0" w:rsidP="00415C64">
      <w:pPr>
        <w:pStyle w:val="ListParagraph"/>
        <w:widowControl w:val="0"/>
        <w:autoSpaceDE w:val="0"/>
        <w:autoSpaceDN w:val="0"/>
        <w:adjustRightInd w:val="0"/>
        <w:jc w:val="center"/>
        <w:rPr>
          <w:rFonts w:ascii="Calibri" w:hAnsi="Calibri" w:cs="Arial"/>
        </w:rPr>
      </w:pPr>
      <w:r w:rsidRPr="006C538B">
        <w:rPr>
          <w:rFonts w:ascii="Calibri" w:hAnsi="Calibri" w:cs="Arial"/>
        </w:rPr>
        <w:t>3,000 sqm of new retail floorspace X £100 per sqm (your CIL rate for retail) = £300,000 CIL!</w:t>
      </w:r>
    </w:p>
    <w:p w14:paraId="268B9A15" w14:textId="77777777" w:rsidR="00B858B0" w:rsidRPr="004E4D8F" w:rsidRDefault="00B858B0" w:rsidP="00415C64">
      <w:pPr>
        <w:pStyle w:val="ListParagraph"/>
        <w:widowControl w:val="0"/>
        <w:autoSpaceDE w:val="0"/>
        <w:autoSpaceDN w:val="0"/>
        <w:adjustRightInd w:val="0"/>
        <w:jc w:val="center"/>
        <w:rPr>
          <w:rFonts w:ascii="Calibri" w:hAnsi="Calibri" w:cs="Arial"/>
          <w:sz w:val="22"/>
          <w:szCs w:val="20"/>
          <w:lang w:val="en-US"/>
        </w:rPr>
      </w:pPr>
      <w:r>
        <w:rPr>
          <w:rFonts w:ascii="Calibri" w:hAnsi="Calibri" w:cs="Arial"/>
          <w:noProof/>
          <w:sz w:val="22"/>
          <w:szCs w:val="20"/>
          <w:lang w:eastAsia="en-GB"/>
        </w:rPr>
        <w:drawing>
          <wp:inline distT="0" distB="0" distL="0" distR="0" wp14:anchorId="5E6657FE" wp14:editId="11BB849C">
            <wp:extent cx="4150370" cy="1490133"/>
            <wp:effectExtent l="0" t="0" r="0" b="8890"/>
            <wp:docPr id="1" name="Picture 1" descr="Macintosh HD:Users:spperez:Desktop:Screen Shot 2013-10-11 at 14.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pperez:Desktop:Screen Shot 2013-10-11 at 14.02.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0370" cy="1490133"/>
                    </a:xfrm>
                    <a:prstGeom prst="rect">
                      <a:avLst/>
                    </a:prstGeom>
                    <a:noFill/>
                    <a:ln>
                      <a:noFill/>
                    </a:ln>
                  </pic:spPr>
                </pic:pic>
              </a:graphicData>
            </a:graphic>
          </wp:inline>
        </w:drawing>
      </w:r>
    </w:p>
    <w:p w14:paraId="503C70C2" w14:textId="77777777" w:rsidR="00415C64" w:rsidRDefault="00415C64" w:rsidP="00415C64">
      <w:pPr>
        <w:widowControl w:val="0"/>
        <w:autoSpaceDE w:val="0"/>
        <w:autoSpaceDN w:val="0"/>
        <w:adjustRightInd w:val="0"/>
        <w:rPr>
          <w:rFonts w:ascii="Calibri" w:hAnsi="Calibri" w:cs="Helvetica"/>
          <w:b/>
          <w:sz w:val="40"/>
          <w:szCs w:val="20"/>
        </w:rPr>
      </w:pPr>
    </w:p>
    <w:p w14:paraId="47F0B64B" w14:textId="77777777" w:rsidR="00B858B0" w:rsidRPr="006C538B" w:rsidRDefault="00B858B0" w:rsidP="00415C64">
      <w:pPr>
        <w:widowControl w:val="0"/>
        <w:autoSpaceDE w:val="0"/>
        <w:autoSpaceDN w:val="0"/>
        <w:adjustRightInd w:val="0"/>
        <w:rPr>
          <w:rFonts w:ascii="Calibri" w:hAnsi="Calibri" w:cs="Helvetica"/>
          <w:b/>
          <w:sz w:val="40"/>
          <w:szCs w:val="20"/>
        </w:rPr>
      </w:pPr>
      <w:r w:rsidRPr="006C538B">
        <w:rPr>
          <w:rFonts w:ascii="Calibri" w:hAnsi="Calibri" w:cs="Helvetica"/>
          <w:b/>
          <w:sz w:val="40"/>
          <w:szCs w:val="20"/>
        </w:rPr>
        <w:t>New Homes Bonus (NHB)</w:t>
      </w:r>
    </w:p>
    <w:p w14:paraId="788E33BC" w14:textId="77777777" w:rsidR="00B858B0" w:rsidRPr="006C538B" w:rsidRDefault="005F517D" w:rsidP="00415C64">
      <w:pPr>
        <w:rPr>
          <w:rFonts w:ascii="Calibri" w:hAnsi="Calibri"/>
          <w:b/>
        </w:rPr>
      </w:pPr>
      <w:hyperlink r:id="rId14" w:history="1">
        <w:r w:rsidR="00B858B0" w:rsidRPr="006C538B">
          <w:rPr>
            <w:rStyle w:val="Hyperlink"/>
            <w:rFonts w:ascii="Calibri" w:hAnsi="Calibri"/>
            <w:b/>
          </w:rPr>
          <w:t>http://bit.ly/PASNHB</w:t>
        </w:r>
      </w:hyperlink>
    </w:p>
    <w:p w14:paraId="0263A0FF" w14:textId="77777777" w:rsidR="00B858B0" w:rsidRPr="006C538B" w:rsidRDefault="00B858B0" w:rsidP="00415C64">
      <w:pPr>
        <w:rPr>
          <w:rFonts w:ascii="Calibri" w:eastAsiaTheme="minorEastAsia" w:hAnsi="Calibri" w:cstheme="minorBidi"/>
          <w:b/>
        </w:rPr>
      </w:pPr>
    </w:p>
    <w:p w14:paraId="4324071E" w14:textId="77777777" w:rsidR="00B858B0" w:rsidRPr="006C538B" w:rsidRDefault="00B858B0" w:rsidP="00415C64">
      <w:pPr>
        <w:widowControl w:val="0"/>
        <w:autoSpaceDE w:val="0"/>
        <w:autoSpaceDN w:val="0"/>
        <w:adjustRightInd w:val="0"/>
        <w:rPr>
          <w:rFonts w:ascii="Calibri" w:eastAsiaTheme="minorEastAsia" w:hAnsi="Calibri" w:cs="Arial"/>
        </w:rPr>
      </w:pPr>
      <w:r w:rsidRPr="006C538B">
        <w:rPr>
          <w:rFonts w:ascii="Calibri" w:eastAsiaTheme="minorEastAsia" w:hAnsi="Calibri" w:cs="Arial"/>
        </w:rPr>
        <w:t>The New Homes Bonus is a grant paid by central government to local councils for increasing the number of homes and their use.</w:t>
      </w:r>
    </w:p>
    <w:p w14:paraId="5831D162" w14:textId="77777777" w:rsidR="00B858B0" w:rsidRPr="006C538B" w:rsidRDefault="00B858B0" w:rsidP="00415C64">
      <w:pPr>
        <w:widowControl w:val="0"/>
        <w:autoSpaceDE w:val="0"/>
        <w:autoSpaceDN w:val="0"/>
        <w:adjustRightInd w:val="0"/>
        <w:rPr>
          <w:rFonts w:ascii="Calibri" w:eastAsiaTheme="minorEastAsia" w:hAnsi="Calibri" w:cs="Arial"/>
        </w:rPr>
      </w:pPr>
      <w:r w:rsidRPr="006C538B">
        <w:rPr>
          <w:rFonts w:ascii="Calibri" w:eastAsiaTheme="minorEastAsia" w:hAnsi="Calibri" w:cs="Arial"/>
        </w:rPr>
        <w:t>The New Homes Bonus is paid each year for 6 years. It is based on the amount of extra Council Tax revenue raised for new-build homes, conversions and long-term empty homes brought back into use. There is also an extra payment for providing affordable homes. There are no restrictions on how the money can be spent.</w:t>
      </w:r>
    </w:p>
    <w:p w14:paraId="0A3A7206" w14:textId="77777777" w:rsidR="00B858B0" w:rsidRPr="006C538B" w:rsidRDefault="00B858B0" w:rsidP="00415C64">
      <w:pPr>
        <w:widowControl w:val="0"/>
        <w:autoSpaceDE w:val="0"/>
        <w:autoSpaceDN w:val="0"/>
        <w:adjustRightInd w:val="0"/>
        <w:rPr>
          <w:rFonts w:ascii="Calibri" w:eastAsiaTheme="minorEastAsia" w:hAnsi="Calibri" w:cs="Arial"/>
        </w:rPr>
      </w:pPr>
      <w:r w:rsidRPr="006C538B">
        <w:rPr>
          <w:rFonts w:ascii="Calibri" w:eastAsiaTheme="minorEastAsia" w:hAnsi="Calibri" w:cs="Arial"/>
        </w:rPr>
        <w:t>The baseline for each local authority is set every year and is based on the previous year's collection of Council Tax.  The grant is calculated by multiplying the annual net change in housing stock (adjusted for Band D equivalency) by the average Band D Council tax in England for the previous year. For 2013/14, this is £1,444.13, with a £350 supplement for affordable homes.  To estimate future income for NHB the 2013/14 calculation is applied to the council’s housing trajectory and project specific housing growth data.</w:t>
      </w:r>
    </w:p>
    <w:p w14:paraId="7F350659" w14:textId="6DA37D58" w:rsidR="00B858B0" w:rsidRPr="006C538B" w:rsidRDefault="00B858B0" w:rsidP="00415C64">
      <w:pPr>
        <w:widowControl w:val="0"/>
        <w:autoSpaceDE w:val="0"/>
        <w:autoSpaceDN w:val="0"/>
        <w:adjustRightInd w:val="0"/>
        <w:rPr>
          <w:rFonts w:ascii="Calibri" w:eastAsiaTheme="minorEastAsia" w:hAnsi="Calibri" w:cs="Arial"/>
        </w:rPr>
      </w:pPr>
      <w:r w:rsidRPr="006C538B">
        <w:rPr>
          <w:rFonts w:ascii="Calibri" w:eastAsiaTheme="minorEastAsia" w:hAnsi="Calibri" w:cs="Arial"/>
        </w:rPr>
        <w:t xml:space="preserve">There is currently a proposed top slice to LEP of </w:t>
      </w:r>
      <w:r w:rsidR="006C538B">
        <w:rPr>
          <w:rFonts w:ascii="Calibri" w:eastAsiaTheme="minorEastAsia" w:hAnsi="Calibri" w:cs="Arial"/>
        </w:rPr>
        <w:t xml:space="preserve"> approximately 35</w:t>
      </w:r>
      <w:r w:rsidRPr="006C538B">
        <w:rPr>
          <w:rFonts w:ascii="Calibri" w:eastAsiaTheme="minorEastAsia" w:hAnsi="Calibri" w:cs="Arial"/>
        </w:rPr>
        <w:t>%</w:t>
      </w:r>
      <w:r w:rsidR="006C538B">
        <w:rPr>
          <w:rFonts w:ascii="Calibri" w:eastAsiaTheme="minorEastAsia" w:hAnsi="Calibri" w:cs="Arial"/>
        </w:rPr>
        <w:t>.</w:t>
      </w:r>
    </w:p>
    <w:p w14:paraId="39BE907A" w14:textId="77777777" w:rsidR="00415C64" w:rsidRDefault="00415C64" w:rsidP="00415C64">
      <w:pPr>
        <w:widowControl w:val="0"/>
        <w:autoSpaceDE w:val="0"/>
        <w:autoSpaceDN w:val="0"/>
        <w:adjustRightInd w:val="0"/>
        <w:rPr>
          <w:rFonts w:ascii="Calibri" w:hAnsi="Calibri" w:cs="Arial"/>
          <w:b/>
          <w:bCs/>
          <w:color w:val="76923C" w:themeColor="accent3" w:themeShade="BF"/>
          <w:sz w:val="28"/>
        </w:rPr>
      </w:pPr>
    </w:p>
    <w:p w14:paraId="5B9B80D0" w14:textId="152E1C36" w:rsidR="00415C64" w:rsidRPr="00415C64" w:rsidRDefault="00415C64" w:rsidP="00415C64">
      <w:pPr>
        <w:widowControl w:val="0"/>
        <w:autoSpaceDE w:val="0"/>
        <w:autoSpaceDN w:val="0"/>
        <w:adjustRightInd w:val="0"/>
        <w:rPr>
          <w:rFonts w:ascii="Calibri" w:hAnsi="Calibri" w:cs="Arial"/>
          <w:color w:val="76923C" w:themeColor="accent3" w:themeShade="BF"/>
          <w:sz w:val="28"/>
        </w:rPr>
      </w:pPr>
      <w:r w:rsidRPr="00415C64">
        <w:rPr>
          <w:rFonts w:ascii="Calibri" w:hAnsi="Calibri" w:cs="Arial"/>
          <w:b/>
          <w:bCs/>
          <w:color w:val="76923C" w:themeColor="accent3" w:themeShade="BF"/>
          <w:sz w:val="28"/>
        </w:rPr>
        <w:t xml:space="preserve">How to model </w:t>
      </w:r>
      <w:r>
        <w:rPr>
          <w:rFonts w:ascii="Calibri" w:hAnsi="Calibri" w:cs="Arial"/>
          <w:b/>
          <w:bCs/>
          <w:color w:val="76923C" w:themeColor="accent3" w:themeShade="BF"/>
          <w:sz w:val="28"/>
        </w:rPr>
        <w:t>New Homes Bonus</w:t>
      </w:r>
    </w:p>
    <w:p w14:paraId="1A011005" w14:textId="77777777" w:rsidR="00415C64" w:rsidRPr="00415C64" w:rsidRDefault="00415C64" w:rsidP="00415C64">
      <w:pPr>
        <w:widowControl w:val="0"/>
        <w:autoSpaceDE w:val="0"/>
        <w:autoSpaceDN w:val="0"/>
        <w:adjustRightInd w:val="0"/>
        <w:rPr>
          <w:rFonts w:ascii="Calibri" w:hAnsi="Calibri" w:cs="Arial"/>
          <w:sz w:val="22"/>
          <w:szCs w:val="20"/>
        </w:rPr>
      </w:pPr>
      <w:r w:rsidRPr="00415C64">
        <w:rPr>
          <w:rFonts w:ascii="Calibri" w:hAnsi="Calibri" w:cs="Arial"/>
          <w:b/>
          <w:bCs/>
          <w:sz w:val="22"/>
          <w:szCs w:val="20"/>
          <w:lang w:val="en-US"/>
        </w:rPr>
        <w:t>STEP 1</w:t>
      </w:r>
    </w:p>
    <w:p w14:paraId="35D04CF5" w14:textId="77777777" w:rsidR="00415C64" w:rsidRPr="00415C64" w:rsidRDefault="00415C64" w:rsidP="00415C64">
      <w:pPr>
        <w:pStyle w:val="ListParagraph"/>
        <w:widowControl w:val="0"/>
        <w:numPr>
          <w:ilvl w:val="0"/>
          <w:numId w:val="18"/>
        </w:numPr>
        <w:autoSpaceDE w:val="0"/>
        <w:autoSpaceDN w:val="0"/>
        <w:adjustRightInd w:val="0"/>
        <w:rPr>
          <w:rFonts w:ascii="Calibri" w:hAnsi="Calibri" w:cs="Arial"/>
          <w:sz w:val="22"/>
          <w:szCs w:val="20"/>
        </w:rPr>
      </w:pPr>
      <w:r w:rsidRPr="00415C64">
        <w:rPr>
          <w:rFonts w:ascii="Calibri" w:hAnsi="Calibri" w:cs="Arial"/>
          <w:sz w:val="22"/>
          <w:szCs w:val="20"/>
          <w:lang w:val="en-US"/>
        </w:rPr>
        <w:t xml:space="preserve">Filter your development trajectory by separating the number of homes that are private housing and the number of homes that are affordable. </w:t>
      </w:r>
    </w:p>
    <w:p w14:paraId="24FD069B" w14:textId="77777777" w:rsidR="00415C64" w:rsidRDefault="00415C64" w:rsidP="00415C64">
      <w:pPr>
        <w:widowControl w:val="0"/>
        <w:autoSpaceDE w:val="0"/>
        <w:autoSpaceDN w:val="0"/>
        <w:adjustRightInd w:val="0"/>
        <w:rPr>
          <w:rFonts w:ascii="Calibri" w:hAnsi="Calibri" w:cs="Arial"/>
          <w:b/>
          <w:bCs/>
          <w:sz w:val="22"/>
          <w:szCs w:val="20"/>
          <w:lang w:val="en-US"/>
        </w:rPr>
      </w:pPr>
    </w:p>
    <w:p w14:paraId="1325353D" w14:textId="77777777" w:rsidR="00415C64" w:rsidRPr="00415C64" w:rsidRDefault="00415C64" w:rsidP="00415C64">
      <w:pPr>
        <w:widowControl w:val="0"/>
        <w:autoSpaceDE w:val="0"/>
        <w:autoSpaceDN w:val="0"/>
        <w:adjustRightInd w:val="0"/>
        <w:rPr>
          <w:rFonts w:ascii="Calibri" w:hAnsi="Calibri" w:cs="Arial"/>
          <w:sz w:val="22"/>
          <w:szCs w:val="20"/>
        </w:rPr>
      </w:pPr>
      <w:r w:rsidRPr="00415C64">
        <w:rPr>
          <w:rFonts w:ascii="Calibri" w:hAnsi="Calibri" w:cs="Arial"/>
          <w:b/>
          <w:bCs/>
          <w:sz w:val="22"/>
          <w:szCs w:val="20"/>
          <w:lang w:val="en-US"/>
        </w:rPr>
        <w:t>Remember…</w:t>
      </w:r>
    </w:p>
    <w:p w14:paraId="15781DA9" w14:textId="77777777" w:rsidR="00415C64" w:rsidRPr="00415C64" w:rsidRDefault="00415C64" w:rsidP="00415C64">
      <w:pPr>
        <w:widowControl w:val="0"/>
        <w:autoSpaceDE w:val="0"/>
        <w:autoSpaceDN w:val="0"/>
        <w:adjustRightInd w:val="0"/>
        <w:rPr>
          <w:rFonts w:ascii="Calibri" w:hAnsi="Calibri" w:cs="Arial"/>
          <w:sz w:val="22"/>
          <w:szCs w:val="20"/>
        </w:rPr>
      </w:pPr>
      <w:r w:rsidRPr="00415C64">
        <w:rPr>
          <w:rFonts w:ascii="Calibri" w:hAnsi="Calibri" w:cs="Arial"/>
          <w:sz w:val="22"/>
          <w:szCs w:val="20"/>
          <w:lang w:val="en-US"/>
        </w:rPr>
        <w:t>New Homes Bonus guidance, on the gov.uk website, will tell you what is considered “affordable”</w:t>
      </w:r>
    </w:p>
    <w:p w14:paraId="5EB97588" w14:textId="77777777" w:rsidR="00415C64" w:rsidRDefault="00415C64" w:rsidP="00415C64">
      <w:pPr>
        <w:widowControl w:val="0"/>
        <w:autoSpaceDE w:val="0"/>
        <w:autoSpaceDN w:val="0"/>
        <w:adjustRightInd w:val="0"/>
        <w:rPr>
          <w:rFonts w:ascii="Calibri" w:hAnsi="Calibri" w:cs="Arial"/>
          <w:b/>
          <w:bCs/>
          <w:sz w:val="22"/>
          <w:szCs w:val="20"/>
          <w:lang w:val="en-US"/>
        </w:rPr>
      </w:pPr>
    </w:p>
    <w:p w14:paraId="359940D7" w14:textId="77777777" w:rsidR="00415C64" w:rsidRPr="00415C64" w:rsidRDefault="00415C64" w:rsidP="00415C64">
      <w:pPr>
        <w:widowControl w:val="0"/>
        <w:autoSpaceDE w:val="0"/>
        <w:autoSpaceDN w:val="0"/>
        <w:adjustRightInd w:val="0"/>
        <w:rPr>
          <w:rFonts w:ascii="Calibri" w:hAnsi="Calibri" w:cs="Arial"/>
          <w:sz w:val="22"/>
          <w:szCs w:val="20"/>
        </w:rPr>
      </w:pPr>
      <w:r w:rsidRPr="00415C64">
        <w:rPr>
          <w:rFonts w:ascii="Calibri" w:hAnsi="Calibri" w:cs="Arial"/>
          <w:b/>
          <w:bCs/>
          <w:sz w:val="22"/>
          <w:szCs w:val="20"/>
          <w:lang w:val="en-US"/>
        </w:rPr>
        <w:t>STEP 2</w:t>
      </w:r>
    </w:p>
    <w:p w14:paraId="5359547E" w14:textId="77777777" w:rsidR="00415C64" w:rsidRPr="00415C64" w:rsidRDefault="00415C64" w:rsidP="00415C64">
      <w:pPr>
        <w:pStyle w:val="ListParagraph"/>
        <w:widowControl w:val="0"/>
        <w:numPr>
          <w:ilvl w:val="0"/>
          <w:numId w:val="18"/>
        </w:numPr>
        <w:autoSpaceDE w:val="0"/>
        <w:autoSpaceDN w:val="0"/>
        <w:adjustRightInd w:val="0"/>
        <w:rPr>
          <w:rFonts w:ascii="Calibri" w:hAnsi="Calibri" w:cs="Arial"/>
          <w:sz w:val="22"/>
          <w:szCs w:val="20"/>
        </w:rPr>
      </w:pPr>
      <w:r w:rsidRPr="00415C64">
        <w:rPr>
          <w:rFonts w:ascii="Calibri" w:hAnsi="Calibri" w:cs="Arial"/>
          <w:sz w:val="22"/>
          <w:szCs w:val="20"/>
          <w:lang w:val="en-US"/>
        </w:rPr>
        <w:t>Find out what the national average Band D Council tax rate is. The current rate is £1,444 per dwelling. This changes every year.</w:t>
      </w:r>
    </w:p>
    <w:p w14:paraId="250B3E31" w14:textId="77777777" w:rsidR="00415C64" w:rsidRPr="00415C64" w:rsidRDefault="00415C64" w:rsidP="00415C64">
      <w:pPr>
        <w:widowControl w:val="0"/>
        <w:autoSpaceDE w:val="0"/>
        <w:autoSpaceDN w:val="0"/>
        <w:adjustRightInd w:val="0"/>
        <w:rPr>
          <w:rFonts w:ascii="Calibri" w:hAnsi="Calibri" w:cs="Arial"/>
          <w:sz w:val="22"/>
          <w:szCs w:val="20"/>
        </w:rPr>
      </w:pPr>
      <w:r w:rsidRPr="00415C64">
        <w:rPr>
          <w:rFonts w:ascii="Calibri" w:hAnsi="Calibri" w:cs="Arial"/>
          <w:b/>
          <w:bCs/>
          <w:sz w:val="22"/>
          <w:szCs w:val="20"/>
          <w:lang w:val="en-US"/>
        </w:rPr>
        <w:t>Remember…</w:t>
      </w:r>
    </w:p>
    <w:p w14:paraId="3B5D9E2A" w14:textId="77777777" w:rsidR="00415C64" w:rsidRPr="00415C64" w:rsidRDefault="00415C64" w:rsidP="00415C64">
      <w:pPr>
        <w:widowControl w:val="0"/>
        <w:autoSpaceDE w:val="0"/>
        <w:autoSpaceDN w:val="0"/>
        <w:adjustRightInd w:val="0"/>
        <w:rPr>
          <w:rFonts w:ascii="Calibri" w:hAnsi="Calibri" w:cs="Arial"/>
          <w:sz w:val="22"/>
          <w:szCs w:val="20"/>
        </w:rPr>
      </w:pPr>
      <w:r w:rsidRPr="00415C64">
        <w:rPr>
          <w:rFonts w:ascii="Calibri" w:hAnsi="Calibri" w:cs="Arial"/>
          <w:sz w:val="22"/>
          <w:szCs w:val="20"/>
          <w:lang w:val="en-US"/>
        </w:rPr>
        <w:t>You can also find this in the New Homes Bonus section of the GOV.UK website</w:t>
      </w:r>
    </w:p>
    <w:p w14:paraId="0BDEBAC0" w14:textId="77777777" w:rsidR="00415C64" w:rsidRDefault="00415C64" w:rsidP="00415C64">
      <w:pPr>
        <w:widowControl w:val="0"/>
        <w:autoSpaceDE w:val="0"/>
        <w:autoSpaceDN w:val="0"/>
        <w:adjustRightInd w:val="0"/>
        <w:rPr>
          <w:rFonts w:ascii="Calibri" w:hAnsi="Calibri" w:cs="Arial"/>
          <w:b/>
          <w:bCs/>
          <w:sz w:val="22"/>
          <w:szCs w:val="20"/>
          <w:lang w:val="en-US"/>
        </w:rPr>
      </w:pPr>
    </w:p>
    <w:p w14:paraId="550A3864" w14:textId="77777777" w:rsidR="00415C64" w:rsidRPr="00415C64" w:rsidRDefault="00415C64" w:rsidP="00415C64">
      <w:pPr>
        <w:widowControl w:val="0"/>
        <w:autoSpaceDE w:val="0"/>
        <w:autoSpaceDN w:val="0"/>
        <w:adjustRightInd w:val="0"/>
        <w:rPr>
          <w:rFonts w:ascii="Calibri" w:hAnsi="Calibri" w:cs="Arial"/>
          <w:sz w:val="22"/>
          <w:szCs w:val="20"/>
        </w:rPr>
      </w:pPr>
      <w:r w:rsidRPr="00415C64">
        <w:rPr>
          <w:rFonts w:ascii="Calibri" w:hAnsi="Calibri" w:cs="Arial"/>
          <w:b/>
          <w:bCs/>
          <w:sz w:val="22"/>
          <w:szCs w:val="20"/>
          <w:lang w:val="en-US"/>
        </w:rPr>
        <w:t>STEP 3</w:t>
      </w:r>
    </w:p>
    <w:p w14:paraId="04223C1C" w14:textId="77777777" w:rsidR="00415C64" w:rsidRPr="00415C64" w:rsidRDefault="00415C64" w:rsidP="00415C64">
      <w:pPr>
        <w:pStyle w:val="ListParagraph"/>
        <w:widowControl w:val="0"/>
        <w:numPr>
          <w:ilvl w:val="0"/>
          <w:numId w:val="18"/>
        </w:numPr>
        <w:autoSpaceDE w:val="0"/>
        <w:autoSpaceDN w:val="0"/>
        <w:adjustRightInd w:val="0"/>
        <w:rPr>
          <w:rFonts w:ascii="Calibri" w:hAnsi="Calibri" w:cs="Arial"/>
          <w:sz w:val="22"/>
          <w:szCs w:val="20"/>
        </w:rPr>
      </w:pPr>
      <w:r w:rsidRPr="00415C64">
        <w:rPr>
          <w:rFonts w:ascii="Calibri" w:hAnsi="Calibri" w:cs="Arial"/>
          <w:sz w:val="22"/>
          <w:szCs w:val="20"/>
          <w:lang w:val="en-US"/>
        </w:rPr>
        <w:t xml:space="preserve">Multiply the number of </w:t>
      </w:r>
      <w:r w:rsidRPr="00415C64">
        <w:rPr>
          <w:rFonts w:ascii="Calibri" w:hAnsi="Calibri" w:cs="Arial"/>
          <w:b/>
          <w:bCs/>
          <w:sz w:val="22"/>
          <w:szCs w:val="20"/>
          <w:lang w:val="en-US"/>
        </w:rPr>
        <w:t>private</w:t>
      </w:r>
      <w:r w:rsidRPr="00415C64">
        <w:rPr>
          <w:rFonts w:ascii="Calibri" w:hAnsi="Calibri" w:cs="Arial"/>
          <w:sz w:val="22"/>
          <w:szCs w:val="20"/>
          <w:lang w:val="en-US"/>
        </w:rPr>
        <w:t xml:space="preserve"> homes by the national avg. Band D Council Tax rate. </w:t>
      </w:r>
    </w:p>
    <w:p w14:paraId="3068A13D" w14:textId="77777777" w:rsidR="00415C64" w:rsidRPr="00415C64" w:rsidRDefault="00415C64" w:rsidP="00415C64">
      <w:pPr>
        <w:pStyle w:val="ListParagraph"/>
        <w:widowControl w:val="0"/>
        <w:numPr>
          <w:ilvl w:val="0"/>
          <w:numId w:val="18"/>
        </w:numPr>
        <w:autoSpaceDE w:val="0"/>
        <w:autoSpaceDN w:val="0"/>
        <w:adjustRightInd w:val="0"/>
        <w:rPr>
          <w:rFonts w:ascii="Calibri" w:hAnsi="Calibri" w:cs="Arial"/>
          <w:sz w:val="22"/>
          <w:szCs w:val="20"/>
        </w:rPr>
      </w:pPr>
      <w:r w:rsidRPr="00415C64">
        <w:rPr>
          <w:rFonts w:ascii="Calibri" w:hAnsi="Calibri" w:cs="Arial"/>
          <w:sz w:val="22"/>
          <w:szCs w:val="20"/>
          <w:lang w:val="en-US"/>
        </w:rPr>
        <w:t xml:space="preserve">Multiply the number of </w:t>
      </w:r>
      <w:r w:rsidRPr="00415C64">
        <w:rPr>
          <w:rFonts w:ascii="Calibri" w:hAnsi="Calibri" w:cs="Arial"/>
          <w:b/>
          <w:bCs/>
          <w:sz w:val="22"/>
          <w:szCs w:val="20"/>
          <w:lang w:val="en-US"/>
        </w:rPr>
        <w:t>affordable</w:t>
      </w:r>
      <w:r w:rsidRPr="00415C64">
        <w:rPr>
          <w:rFonts w:ascii="Calibri" w:hAnsi="Calibri" w:cs="Arial"/>
          <w:sz w:val="22"/>
          <w:szCs w:val="20"/>
          <w:lang w:val="en-US"/>
        </w:rPr>
        <w:t xml:space="preserve"> homes by the Band D rate </w:t>
      </w:r>
      <w:r w:rsidRPr="00415C64">
        <w:rPr>
          <w:rFonts w:ascii="Calibri" w:hAnsi="Calibri" w:cs="Arial"/>
          <w:b/>
          <w:bCs/>
          <w:sz w:val="22"/>
          <w:szCs w:val="20"/>
          <w:lang w:val="en-US"/>
        </w:rPr>
        <w:t>PLUS</w:t>
      </w:r>
      <w:r w:rsidRPr="00415C64">
        <w:rPr>
          <w:rFonts w:ascii="Calibri" w:hAnsi="Calibri" w:cs="Arial"/>
          <w:sz w:val="22"/>
          <w:szCs w:val="20"/>
          <w:lang w:val="en-US"/>
        </w:rPr>
        <w:t xml:space="preserve"> £350. </w:t>
      </w:r>
    </w:p>
    <w:p w14:paraId="38FE7B4D" w14:textId="77777777" w:rsidR="00415C64" w:rsidRPr="00415C64" w:rsidRDefault="00415C64" w:rsidP="00415C64">
      <w:pPr>
        <w:pStyle w:val="ListParagraph"/>
        <w:widowControl w:val="0"/>
        <w:numPr>
          <w:ilvl w:val="0"/>
          <w:numId w:val="18"/>
        </w:numPr>
        <w:autoSpaceDE w:val="0"/>
        <w:autoSpaceDN w:val="0"/>
        <w:adjustRightInd w:val="0"/>
        <w:rPr>
          <w:rFonts w:ascii="Calibri" w:hAnsi="Calibri" w:cs="Arial"/>
          <w:sz w:val="22"/>
          <w:szCs w:val="20"/>
        </w:rPr>
      </w:pPr>
      <w:r w:rsidRPr="00415C64">
        <w:rPr>
          <w:rFonts w:ascii="Calibri" w:hAnsi="Calibri" w:cs="Arial"/>
          <w:sz w:val="22"/>
          <w:szCs w:val="20"/>
          <w:lang w:val="en-US"/>
        </w:rPr>
        <w:t xml:space="preserve">For example: </w:t>
      </w:r>
    </w:p>
    <w:p w14:paraId="709221DC" w14:textId="77777777" w:rsidR="00415C64" w:rsidRDefault="00415C64" w:rsidP="00415C64">
      <w:pPr>
        <w:widowControl w:val="0"/>
        <w:autoSpaceDE w:val="0"/>
        <w:autoSpaceDN w:val="0"/>
        <w:adjustRightInd w:val="0"/>
        <w:jc w:val="center"/>
        <w:rPr>
          <w:rFonts w:ascii="Calibri" w:hAnsi="Calibri" w:cs="Arial"/>
          <w:sz w:val="22"/>
          <w:szCs w:val="20"/>
        </w:rPr>
      </w:pPr>
      <w:r w:rsidRPr="00415C64">
        <w:rPr>
          <w:rFonts w:ascii="Calibri" w:hAnsi="Calibri" w:cs="Arial"/>
          <w:sz w:val="22"/>
          <w:szCs w:val="20"/>
          <w:lang w:val="en-US"/>
        </w:rPr>
        <w:t>1 private homes x £1444 = £1444</w:t>
      </w:r>
    </w:p>
    <w:p w14:paraId="748BC76F" w14:textId="3129DF9F" w:rsidR="00415C64" w:rsidRPr="00415C64" w:rsidRDefault="00415C64" w:rsidP="00415C64">
      <w:pPr>
        <w:widowControl w:val="0"/>
        <w:autoSpaceDE w:val="0"/>
        <w:autoSpaceDN w:val="0"/>
        <w:adjustRightInd w:val="0"/>
        <w:jc w:val="center"/>
        <w:rPr>
          <w:rFonts w:ascii="Calibri" w:hAnsi="Calibri" w:cs="Arial"/>
          <w:sz w:val="22"/>
          <w:szCs w:val="20"/>
        </w:rPr>
      </w:pPr>
      <w:r w:rsidRPr="00415C64">
        <w:rPr>
          <w:rFonts w:ascii="Calibri" w:hAnsi="Calibri" w:cs="Arial"/>
          <w:sz w:val="22"/>
          <w:szCs w:val="20"/>
          <w:lang w:val="en-US"/>
        </w:rPr>
        <w:t>1 affordable homes x (£1444 + £350) = £1794</w:t>
      </w:r>
    </w:p>
    <w:p w14:paraId="0533FCDE" w14:textId="77777777" w:rsidR="00415C64" w:rsidRPr="00415C64" w:rsidRDefault="00415C64" w:rsidP="00415C64">
      <w:pPr>
        <w:widowControl w:val="0"/>
        <w:autoSpaceDE w:val="0"/>
        <w:autoSpaceDN w:val="0"/>
        <w:adjustRightInd w:val="0"/>
        <w:rPr>
          <w:rFonts w:ascii="Calibri" w:hAnsi="Calibri" w:cs="Arial"/>
          <w:sz w:val="22"/>
          <w:szCs w:val="20"/>
        </w:rPr>
      </w:pPr>
      <w:r w:rsidRPr="00415C64">
        <w:rPr>
          <w:rFonts w:ascii="Calibri" w:hAnsi="Calibri" w:cs="Arial"/>
          <w:b/>
          <w:bCs/>
          <w:sz w:val="22"/>
          <w:szCs w:val="20"/>
          <w:lang w:val="en-US"/>
        </w:rPr>
        <w:t>Remember…</w:t>
      </w:r>
    </w:p>
    <w:p w14:paraId="367876F0" w14:textId="7367C718" w:rsidR="00415C64" w:rsidRPr="00415C64" w:rsidRDefault="00415C64" w:rsidP="00415C64">
      <w:pPr>
        <w:widowControl w:val="0"/>
        <w:autoSpaceDE w:val="0"/>
        <w:autoSpaceDN w:val="0"/>
        <w:adjustRightInd w:val="0"/>
        <w:rPr>
          <w:rFonts w:ascii="Calibri" w:hAnsi="Calibri" w:cs="Arial"/>
          <w:sz w:val="22"/>
          <w:szCs w:val="20"/>
        </w:rPr>
      </w:pPr>
      <w:r>
        <w:rPr>
          <w:rFonts w:ascii="Calibri" w:hAnsi="Calibri" w:cs="Arial"/>
          <w:sz w:val="22"/>
          <w:szCs w:val="20"/>
          <w:lang w:val="en-US"/>
        </w:rPr>
        <w:t>New homes bonus is received by local authorities for 6 years!</w:t>
      </w:r>
    </w:p>
    <w:p w14:paraId="3041910C" w14:textId="77777777" w:rsidR="00B858B0" w:rsidRPr="004E4D8F" w:rsidRDefault="00B858B0" w:rsidP="00415C64">
      <w:pPr>
        <w:widowControl w:val="0"/>
        <w:autoSpaceDE w:val="0"/>
        <w:autoSpaceDN w:val="0"/>
        <w:adjustRightInd w:val="0"/>
        <w:rPr>
          <w:rFonts w:ascii="Calibri" w:hAnsi="Calibri" w:cs="Arial"/>
          <w:sz w:val="22"/>
          <w:szCs w:val="20"/>
        </w:rPr>
      </w:pPr>
    </w:p>
    <w:p w14:paraId="43CC02D4" w14:textId="79680335" w:rsidR="00EF65CC" w:rsidRPr="004812C7" w:rsidRDefault="006C538B" w:rsidP="00415C64">
      <w:pPr>
        <w:rPr>
          <w:sz w:val="22"/>
          <w:szCs w:val="22"/>
        </w:rPr>
      </w:pPr>
      <w:r>
        <w:rPr>
          <w:noProof/>
          <w:sz w:val="22"/>
          <w:szCs w:val="22"/>
          <w:lang w:eastAsia="en-GB"/>
        </w:rPr>
        <w:drawing>
          <wp:inline distT="0" distB="0" distL="0" distR="0" wp14:anchorId="5F26E3B7" wp14:editId="1A2AFBA9">
            <wp:extent cx="4792133" cy="1741070"/>
            <wp:effectExtent l="0" t="0" r="8890" b="12065"/>
            <wp:docPr id="6" name="Picture 6" descr="Macintosh HD:Users:spperez:Desktop:Screen Shot 2013-10-11 at 14.0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pperez:Desktop:Screen Shot 2013-10-11 at 14.07.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2133" cy="1741070"/>
                    </a:xfrm>
                    <a:prstGeom prst="rect">
                      <a:avLst/>
                    </a:prstGeom>
                    <a:noFill/>
                    <a:ln>
                      <a:noFill/>
                    </a:ln>
                  </pic:spPr>
                </pic:pic>
              </a:graphicData>
            </a:graphic>
          </wp:inline>
        </w:drawing>
      </w:r>
    </w:p>
    <w:sectPr w:rsidR="00EF65CC" w:rsidRPr="004812C7" w:rsidSect="004812C7">
      <w:headerReference w:type="even" r:id="rId16"/>
      <w:headerReference w:type="default" r:id="rId17"/>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21C99" w14:textId="77777777" w:rsidR="005F517D" w:rsidRDefault="005F517D" w:rsidP="00446A0E">
      <w:r>
        <w:separator/>
      </w:r>
    </w:p>
  </w:endnote>
  <w:endnote w:type="continuationSeparator" w:id="0">
    <w:p w14:paraId="18507560" w14:textId="77777777" w:rsidR="005F517D" w:rsidRDefault="005F517D" w:rsidP="0044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21260" w14:textId="1866C9B7" w:rsidR="004812C7" w:rsidRDefault="004812C7">
    <w:pPr>
      <w:pStyle w:val="Footer"/>
    </w:pPr>
    <w:r>
      <w:rPr>
        <w:noProof/>
        <w:lang w:eastAsia="en-GB"/>
      </w:rPr>
      <mc:AlternateContent>
        <mc:Choice Requires="wps">
          <w:drawing>
            <wp:anchor distT="0" distB="0" distL="114300" distR="114300" simplePos="0" relativeHeight="251666432" behindDoc="0" locked="0" layoutInCell="1" allowOverlap="1" wp14:anchorId="3A552DE0" wp14:editId="321EC64B">
              <wp:simplePos x="0" y="0"/>
              <wp:positionH relativeFrom="column">
                <wp:posOffset>-1143000</wp:posOffset>
              </wp:positionH>
              <wp:positionV relativeFrom="paragraph">
                <wp:posOffset>-289560</wp:posOffset>
              </wp:positionV>
              <wp:extent cx="77724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7772400" cy="0"/>
                      </a:xfrm>
                      <a:prstGeom prst="line">
                        <a:avLst/>
                      </a:prstGeom>
                      <a:ln w="6350">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5pt,-22.75pt" to="522.05pt,-2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" strokecolor="#4bacc6 [3208]" strokeweight=".5pt"/>
          </w:pict>
        </mc:Fallback>
      </mc:AlternateContent>
    </w:r>
    <w:r w:rsidRPr="00446A0E">
      <w:rPr>
        <w:noProof/>
        <w:lang w:eastAsia="en-GB"/>
      </w:rPr>
      <w:drawing>
        <wp:anchor distT="0" distB="0" distL="114300" distR="114300" simplePos="0" relativeHeight="251658240" behindDoc="0" locked="0" layoutInCell="1" allowOverlap="1" wp14:anchorId="075DFEBD" wp14:editId="44ED539F">
          <wp:simplePos x="0" y="0"/>
          <wp:positionH relativeFrom="column">
            <wp:posOffset>2057400</wp:posOffset>
          </wp:positionH>
          <wp:positionV relativeFrom="paragraph">
            <wp:posOffset>-142875</wp:posOffset>
          </wp:positionV>
          <wp:extent cx="1143000" cy="255905"/>
          <wp:effectExtent l="0" t="0" r="0" b="0"/>
          <wp:wrapNone/>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143000" cy="2559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446A0E">
      <w:rPr>
        <w:noProof/>
        <w:lang w:eastAsia="en-GB"/>
      </w:rPr>
      <w:drawing>
        <wp:anchor distT="0" distB="0" distL="114300" distR="114300" simplePos="0" relativeHeight="251659264" behindDoc="0" locked="0" layoutInCell="1" allowOverlap="1" wp14:anchorId="0EC0D8CE" wp14:editId="5FADD93F">
          <wp:simplePos x="0" y="0"/>
          <wp:positionH relativeFrom="column">
            <wp:posOffset>0</wp:posOffset>
          </wp:positionH>
          <wp:positionV relativeFrom="paragraph">
            <wp:posOffset>-210820</wp:posOffset>
          </wp:positionV>
          <wp:extent cx="1866265" cy="378460"/>
          <wp:effectExtent l="0" t="0" r="0" b="2540"/>
          <wp:wrapNone/>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265" cy="3784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0B54005F" wp14:editId="2B74219A">
          <wp:simplePos x="0" y="0"/>
          <wp:positionH relativeFrom="column">
            <wp:posOffset>3429000</wp:posOffset>
          </wp:positionH>
          <wp:positionV relativeFrom="paragraph">
            <wp:posOffset>-114935</wp:posOffset>
          </wp:positionV>
          <wp:extent cx="1635125"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 INTERNATIONAL.png"/>
                  <pic:cNvPicPr/>
                </pic:nvPicPr>
                <pic:blipFill>
                  <a:blip r:embed="rId3">
                    <a:grayscl/>
                    <a:extLst>
                      <a:ext uri="{28A0092B-C50C-407E-A947-70E740481C1C}">
                        <a14:useLocalDpi xmlns:a14="http://schemas.microsoft.com/office/drawing/2010/main" val="0"/>
                      </a:ext>
                    </a:extLst>
                  </a:blip>
                  <a:stretch>
                    <a:fillRect/>
                  </a:stretch>
                </pic:blipFill>
                <pic:spPr>
                  <a:xfrm>
                    <a:off x="0" y="0"/>
                    <a:ext cx="1635125" cy="2286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3360" behindDoc="0" locked="0" layoutInCell="1" allowOverlap="1" wp14:anchorId="5EF7156D" wp14:editId="2139D103">
          <wp:simplePos x="0" y="0"/>
          <wp:positionH relativeFrom="column">
            <wp:posOffset>5339715</wp:posOffset>
          </wp:positionH>
          <wp:positionV relativeFrom="paragraph">
            <wp:posOffset>-289560</wp:posOffset>
          </wp:positionV>
          <wp:extent cx="831850" cy="631825"/>
          <wp:effectExtent l="0" t="0" r="635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nfirst.png"/>
                  <pic:cNvPicPr/>
                </pic:nvPicPr>
                <pic:blipFill>
                  <a:blip r:embed="rId4">
                    <a:grayscl/>
                    <a:extLst>
                      <a:ext uri="{28A0092B-C50C-407E-A947-70E740481C1C}">
                        <a14:useLocalDpi xmlns:a14="http://schemas.microsoft.com/office/drawing/2010/main" val="0"/>
                      </a:ext>
                    </a:extLst>
                  </a:blip>
                  <a:stretch>
                    <a:fillRect/>
                  </a:stretch>
                </pic:blipFill>
                <pic:spPr>
                  <a:xfrm>
                    <a:off x="0" y="0"/>
                    <a:ext cx="831850" cy="6318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793DB" w14:textId="77777777" w:rsidR="005F517D" w:rsidRDefault="005F517D" w:rsidP="00446A0E">
      <w:r>
        <w:separator/>
      </w:r>
    </w:p>
  </w:footnote>
  <w:footnote w:type="continuationSeparator" w:id="0">
    <w:p w14:paraId="02D57C96" w14:textId="77777777" w:rsidR="005F517D" w:rsidRDefault="005F517D" w:rsidP="00446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78D3" w14:textId="77777777" w:rsidR="004812C7" w:rsidRDefault="004812C7" w:rsidP="004812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FCFF4E" w14:textId="77777777" w:rsidR="004812C7" w:rsidRDefault="004812C7" w:rsidP="0055247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F1A3B" w14:textId="77777777" w:rsidR="004812C7" w:rsidRPr="00552473" w:rsidRDefault="004812C7" w:rsidP="004812C7">
    <w:pPr>
      <w:pStyle w:val="Header"/>
      <w:framePr w:wrap="around" w:vAnchor="text" w:hAnchor="margin" w:xAlign="right" w:y="1"/>
      <w:rPr>
        <w:rStyle w:val="PageNumber"/>
        <w:color w:val="76923C" w:themeColor="accent3" w:themeShade="BF"/>
      </w:rPr>
    </w:pPr>
    <w:r w:rsidRPr="00552473">
      <w:rPr>
        <w:rStyle w:val="PageNumber"/>
        <w:color w:val="76923C" w:themeColor="accent3" w:themeShade="BF"/>
      </w:rPr>
      <w:fldChar w:fldCharType="begin"/>
    </w:r>
    <w:r w:rsidRPr="00552473">
      <w:rPr>
        <w:rStyle w:val="PageNumber"/>
        <w:color w:val="76923C" w:themeColor="accent3" w:themeShade="BF"/>
      </w:rPr>
      <w:instrText xml:space="preserve">PAGE  </w:instrText>
    </w:r>
    <w:r w:rsidRPr="00552473">
      <w:rPr>
        <w:rStyle w:val="PageNumber"/>
        <w:color w:val="76923C" w:themeColor="accent3" w:themeShade="BF"/>
      </w:rPr>
      <w:fldChar w:fldCharType="separate"/>
    </w:r>
    <w:r w:rsidR="00D76658">
      <w:rPr>
        <w:rStyle w:val="PageNumber"/>
        <w:noProof/>
        <w:color w:val="76923C" w:themeColor="accent3" w:themeShade="BF"/>
      </w:rPr>
      <w:t>1</w:t>
    </w:r>
    <w:r w:rsidRPr="00552473">
      <w:rPr>
        <w:rStyle w:val="PageNumber"/>
        <w:color w:val="76923C" w:themeColor="accent3" w:themeShade="BF"/>
      </w:rPr>
      <w:fldChar w:fldCharType="end"/>
    </w:r>
  </w:p>
  <w:p w14:paraId="750F9AB0" w14:textId="627406DE" w:rsidR="004812C7" w:rsidRDefault="004812C7" w:rsidP="00552473">
    <w:pPr>
      <w:pStyle w:val="Header"/>
      <w:ind w:right="360"/>
    </w:pPr>
    <w:r>
      <w:rPr>
        <w:noProof/>
        <w:lang w:eastAsia="en-GB"/>
      </w:rPr>
      <mc:AlternateContent>
        <mc:Choice Requires="wps">
          <w:drawing>
            <wp:anchor distT="0" distB="0" distL="114300" distR="114300" simplePos="0" relativeHeight="251664384" behindDoc="0" locked="0" layoutInCell="1" allowOverlap="1" wp14:anchorId="18385C9A" wp14:editId="5C2BEF45">
              <wp:simplePos x="0" y="0"/>
              <wp:positionH relativeFrom="column">
                <wp:posOffset>-1143000</wp:posOffset>
              </wp:positionH>
              <wp:positionV relativeFrom="paragraph">
                <wp:posOffset>236220</wp:posOffset>
              </wp:positionV>
              <wp:extent cx="77724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7772400" cy="0"/>
                      </a:xfrm>
                      <a:prstGeom prst="line">
                        <a:avLst/>
                      </a:prstGeom>
                      <a:ln w="6350">
                        <a:solidFill>
                          <a:schemeClr val="accent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5pt,18.6pt" to="522.05pt,1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" strokecolor="#9bbb59 [3206]" strokeweight=".5pt"/>
          </w:pict>
        </mc:Fallback>
      </mc:AlternateContent>
    </w:r>
    <w:r w:rsidRPr="00446A0E">
      <w:rPr>
        <w:noProof/>
        <w:lang w:eastAsia="en-GB"/>
      </w:rPr>
      <w:drawing>
        <wp:anchor distT="0" distB="0" distL="114300" distR="114300" simplePos="0" relativeHeight="251661312" behindDoc="0" locked="0" layoutInCell="1" allowOverlap="1" wp14:anchorId="51BE6CEC" wp14:editId="12AE1798">
          <wp:simplePos x="0" y="0"/>
          <wp:positionH relativeFrom="column">
            <wp:posOffset>0</wp:posOffset>
          </wp:positionH>
          <wp:positionV relativeFrom="paragraph">
            <wp:posOffset>-220980</wp:posOffset>
          </wp:positionV>
          <wp:extent cx="914400" cy="558886"/>
          <wp:effectExtent l="0" t="0" r="0" b="0"/>
          <wp:wrapNone/>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5888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2CB"/>
    <w:multiLevelType w:val="hybridMultilevel"/>
    <w:tmpl w:val="4E54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E6E47"/>
    <w:multiLevelType w:val="hybridMultilevel"/>
    <w:tmpl w:val="D6CC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21251"/>
    <w:multiLevelType w:val="hybridMultilevel"/>
    <w:tmpl w:val="D43C7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0558F2"/>
    <w:multiLevelType w:val="hybridMultilevel"/>
    <w:tmpl w:val="E4540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C96591"/>
    <w:multiLevelType w:val="hybridMultilevel"/>
    <w:tmpl w:val="4C443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A5613CB"/>
    <w:multiLevelType w:val="hybridMultilevel"/>
    <w:tmpl w:val="F8C64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664B54"/>
    <w:multiLevelType w:val="hybridMultilevel"/>
    <w:tmpl w:val="2DE0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F145B"/>
    <w:multiLevelType w:val="hybridMultilevel"/>
    <w:tmpl w:val="2988A6B6"/>
    <w:lvl w:ilvl="0" w:tplc="2196CFC8">
      <w:start w:val="1"/>
      <w:numFmt w:val="decimal"/>
      <w:lvlText w:val="Section %1"/>
      <w:lvlJc w:val="left"/>
      <w:pPr>
        <w:ind w:left="720" w:hanging="360"/>
      </w:pPr>
      <w:rPr>
        <w:rFonts w:ascii="Calibri" w:hAnsi="Calibri" w:hint="default"/>
        <w:b/>
        <w:bCs/>
        <w:i w:val="0"/>
        <w:iCs w:val="0"/>
        <w:color w:val="FFFFFF" w:themeColor="background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9512D3"/>
    <w:multiLevelType w:val="hybridMultilevel"/>
    <w:tmpl w:val="AAA86E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2A1523FC"/>
    <w:multiLevelType w:val="hybridMultilevel"/>
    <w:tmpl w:val="C6F2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B55E4"/>
    <w:multiLevelType w:val="hybridMultilevel"/>
    <w:tmpl w:val="A3D6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F2A96"/>
    <w:multiLevelType w:val="hybridMultilevel"/>
    <w:tmpl w:val="148E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1F56BE"/>
    <w:multiLevelType w:val="hybridMultilevel"/>
    <w:tmpl w:val="FFE23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A36EAD"/>
    <w:multiLevelType w:val="hybridMultilevel"/>
    <w:tmpl w:val="F9804F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2B544F"/>
    <w:multiLevelType w:val="hybridMultilevel"/>
    <w:tmpl w:val="20166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A4E84"/>
    <w:multiLevelType w:val="hybridMultilevel"/>
    <w:tmpl w:val="CB9A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4B5D3E"/>
    <w:multiLevelType w:val="hybridMultilevel"/>
    <w:tmpl w:val="03BCA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884021"/>
    <w:multiLevelType w:val="hybridMultilevel"/>
    <w:tmpl w:val="8E4CA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2"/>
  </w:num>
  <w:num w:numId="4">
    <w:abstractNumId w:val="16"/>
  </w:num>
  <w:num w:numId="5">
    <w:abstractNumId w:val="17"/>
  </w:num>
  <w:num w:numId="6">
    <w:abstractNumId w:val="4"/>
  </w:num>
  <w:num w:numId="7">
    <w:abstractNumId w:val="10"/>
  </w:num>
  <w:num w:numId="8">
    <w:abstractNumId w:val="13"/>
  </w:num>
  <w:num w:numId="9">
    <w:abstractNumId w:val="15"/>
  </w:num>
  <w:num w:numId="10">
    <w:abstractNumId w:val="2"/>
  </w:num>
  <w:num w:numId="11">
    <w:abstractNumId w:val="11"/>
  </w:num>
  <w:num w:numId="12">
    <w:abstractNumId w:val="8"/>
  </w:num>
  <w:num w:numId="13">
    <w:abstractNumId w:val="7"/>
  </w:num>
  <w:num w:numId="14">
    <w:abstractNumId w:val="0"/>
  </w:num>
  <w:num w:numId="15">
    <w:abstractNumId w:val="6"/>
  </w:num>
  <w:num w:numId="16">
    <w:abstractNumId w:val="14"/>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07"/>
    <w:rsid w:val="000B78EF"/>
    <w:rsid w:val="00160697"/>
    <w:rsid w:val="00282FDF"/>
    <w:rsid w:val="00353AA3"/>
    <w:rsid w:val="00415C64"/>
    <w:rsid w:val="00446A0E"/>
    <w:rsid w:val="004812C7"/>
    <w:rsid w:val="00552473"/>
    <w:rsid w:val="005F517D"/>
    <w:rsid w:val="006C538B"/>
    <w:rsid w:val="00983D69"/>
    <w:rsid w:val="00AB7F20"/>
    <w:rsid w:val="00B858B0"/>
    <w:rsid w:val="00BA34D1"/>
    <w:rsid w:val="00D76658"/>
    <w:rsid w:val="00E00807"/>
    <w:rsid w:val="00EF65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6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07"/>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07"/>
    <w:pPr>
      <w:ind w:left="720"/>
    </w:pPr>
  </w:style>
  <w:style w:type="paragraph" w:styleId="NormalWeb">
    <w:name w:val="Normal (Web)"/>
    <w:basedOn w:val="Normal"/>
    <w:unhideWhenUsed/>
    <w:rsid w:val="00E00807"/>
    <w:pPr>
      <w:spacing w:before="100" w:beforeAutospacing="1" w:after="100" w:afterAutospacing="1"/>
    </w:pPr>
    <w:rPr>
      <w:rFonts w:eastAsia="SimSun"/>
      <w:lang w:eastAsia="zh-CN"/>
    </w:rPr>
  </w:style>
  <w:style w:type="paragraph" w:styleId="Header">
    <w:name w:val="header"/>
    <w:basedOn w:val="Normal"/>
    <w:link w:val="HeaderChar"/>
    <w:uiPriority w:val="99"/>
    <w:unhideWhenUsed/>
    <w:rsid w:val="00446A0E"/>
    <w:pPr>
      <w:tabs>
        <w:tab w:val="center" w:pos="4320"/>
        <w:tab w:val="right" w:pos="8640"/>
      </w:tabs>
    </w:pPr>
  </w:style>
  <w:style w:type="character" w:customStyle="1" w:styleId="HeaderChar">
    <w:name w:val="Header Char"/>
    <w:basedOn w:val="DefaultParagraphFont"/>
    <w:link w:val="Header"/>
    <w:uiPriority w:val="99"/>
    <w:rsid w:val="00446A0E"/>
    <w:rPr>
      <w:rFonts w:ascii="Times New Roman" w:eastAsia="Times New Roman" w:hAnsi="Times New Roman" w:cs="Times New Roman"/>
      <w:lang w:val="en-GB"/>
    </w:rPr>
  </w:style>
  <w:style w:type="paragraph" w:styleId="Footer">
    <w:name w:val="footer"/>
    <w:basedOn w:val="Normal"/>
    <w:link w:val="FooterChar"/>
    <w:uiPriority w:val="99"/>
    <w:unhideWhenUsed/>
    <w:rsid w:val="00446A0E"/>
    <w:pPr>
      <w:tabs>
        <w:tab w:val="center" w:pos="4320"/>
        <w:tab w:val="right" w:pos="8640"/>
      </w:tabs>
    </w:pPr>
  </w:style>
  <w:style w:type="character" w:customStyle="1" w:styleId="FooterChar">
    <w:name w:val="Footer Char"/>
    <w:basedOn w:val="DefaultParagraphFont"/>
    <w:link w:val="Footer"/>
    <w:uiPriority w:val="99"/>
    <w:rsid w:val="00446A0E"/>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446A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6A0E"/>
    <w:rPr>
      <w:rFonts w:ascii="Lucida Grande" w:eastAsia="Times New Roman" w:hAnsi="Lucida Grande" w:cs="Lucida Grande"/>
      <w:sz w:val="18"/>
      <w:szCs w:val="18"/>
      <w:lang w:val="en-GB"/>
    </w:rPr>
  </w:style>
  <w:style w:type="character" w:styleId="PageNumber">
    <w:name w:val="page number"/>
    <w:basedOn w:val="DefaultParagraphFont"/>
    <w:uiPriority w:val="99"/>
    <w:semiHidden/>
    <w:unhideWhenUsed/>
    <w:rsid w:val="00552473"/>
  </w:style>
  <w:style w:type="character" w:styleId="Hyperlink">
    <w:name w:val="Hyperlink"/>
    <w:basedOn w:val="DefaultParagraphFont"/>
    <w:uiPriority w:val="99"/>
    <w:unhideWhenUsed/>
    <w:rsid w:val="00B858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07"/>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07"/>
    <w:pPr>
      <w:ind w:left="720"/>
    </w:pPr>
  </w:style>
  <w:style w:type="paragraph" w:styleId="NormalWeb">
    <w:name w:val="Normal (Web)"/>
    <w:basedOn w:val="Normal"/>
    <w:unhideWhenUsed/>
    <w:rsid w:val="00E00807"/>
    <w:pPr>
      <w:spacing w:before="100" w:beforeAutospacing="1" w:after="100" w:afterAutospacing="1"/>
    </w:pPr>
    <w:rPr>
      <w:rFonts w:eastAsia="SimSun"/>
      <w:lang w:eastAsia="zh-CN"/>
    </w:rPr>
  </w:style>
  <w:style w:type="paragraph" w:styleId="Header">
    <w:name w:val="header"/>
    <w:basedOn w:val="Normal"/>
    <w:link w:val="HeaderChar"/>
    <w:uiPriority w:val="99"/>
    <w:unhideWhenUsed/>
    <w:rsid w:val="00446A0E"/>
    <w:pPr>
      <w:tabs>
        <w:tab w:val="center" w:pos="4320"/>
        <w:tab w:val="right" w:pos="8640"/>
      </w:tabs>
    </w:pPr>
  </w:style>
  <w:style w:type="character" w:customStyle="1" w:styleId="HeaderChar">
    <w:name w:val="Header Char"/>
    <w:basedOn w:val="DefaultParagraphFont"/>
    <w:link w:val="Header"/>
    <w:uiPriority w:val="99"/>
    <w:rsid w:val="00446A0E"/>
    <w:rPr>
      <w:rFonts w:ascii="Times New Roman" w:eastAsia="Times New Roman" w:hAnsi="Times New Roman" w:cs="Times New Roman"/>
      <w:lang w:val="en-GB"/>
    </w:rPr>
  </w:style>
  <w:style w:type="paragraph" w:styleId="Footer">
    <w:name w:val="footer"/>
    <w:basedOn w:val="Normal"/>
    <w:link w:val="FooterChar"/>
    <w:uiPriority w:val="99"/>
    <w:unhideWhenUsed/>
    <w:rsid w:val="00446A0E"/>
    <w:pPr>
      <w:tabs>
        <w:tab w:val="center" w:pos="4320"/>
        <w:tab w:val="right" w:pos="8640"/>
      </w:tabs>
    </w:pPr>
  </w:style>
  <w:style w:type="character" w:customStyle="1" w:styleId="FooterChar">
    <w:name w:val="Footer Char"/>
    <w:basedOn w:val="DefaultParagraphFont"/>
    <w:link w:val="Footer"/>
    <w:uiPriority w:val="99"/>
    <w:rsid w:val="00446A0E"/>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446A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6A0E"/>
    <w:rPr>
      <w:rFonts w:ascii="Lucida Grande" w:eastAsia="Times New Roman" w:hAnsi="Lucida Grande" w:cs="Lucida Grande"/>
      <w:sz w:val="18"/>
      <w:szCs w:val="18"/>
      <w:lang w:val="en-GB"/>
    </w:rPr>
  </w:style>
  <w:style w:type="character" w:styleId="PageNumber">
    <w:name w:val="page number"/>
    <w:basedOn w:val="DefaultParagraphFont"/>
    <w:uiPriority w:val="99"/>
    <w:semiHidden/>
    <w:unhideWhenUsed/>
    <w:rsid w:val="00552473"/>
  </w:style>
  <w:style w:type="character" w:styleId="Hyperlink">
    <w:name w:val="Hyperlink"/>
    <w:basedOn w:val="DefaultParagraphFont"/>
    <w:uiPriority w:val="99"/>
    <w:unhideWhenUsed/>
    <w:rsid w:val="00B858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2515">
      <w:bodyDiv w:val="1"/>
      <w:marLeft w:val="0"/>
      <w:marRight w:val="0"/>
      <w:marTop w:val="0"/>
      <w:marBottom w:val="0"/>
      <w:divBdr>
        <w:top w:val="none" w:sz="0" w:space="0" w:color="auto"/>
        <w:left w:val="none" w:sz="0" w:space="0" w:color="auto"/>
        <w:bottom w:val="none" w:sz="0" w:space="0" w:color="auto"/>
        <w:right w:val="none" w:sz="0" w:space="0" w:color="auto"/>
      </w:divBdr>
    </w:div>
    <w:div w:id="326859260">
      <w:bodyDiv w:val="1"/>
      <w:marLeft w:val="0"/>
      <w:marRight w:val="0"/>
      <w:marTop w:val="0"/>
      <w:marBottom w:val="0"/>
      <w:divBdr>
        <w:top w:val="none" w:sz="0" w:space="0" w:color="auto"/>
        <w:left w:val="none" w:sz="0" w:space="0" w:color="auto"/>
        <w:bottom w:val="none" w:sz="0" w:space="0" w:color="auto"/>
        <w:right w:val="none" w:sz="0" w:space="0" w:color="auto"/>
      </w:divBdr>
    </w:div>
    <w:div w:id="724570830">
      <w:bodyDiv w:val="1"/>
      <w:marLeft w:val="0"/>
      <w:marRight w:val="0"/>
      <w:marTop w:val="0"/>
      <w:marBottom w:val="0"/>
      <w:divBdr>
        <w:top w:val="none" w:sz="0" w:space="0" w:color="auto"/>
        <w:left w:val="none" w:sz="0" w:space="0" w:color="auto"/>
        <w:bottom w:val="none" w:sz="0" w:space="0" w:color="auto"/>
        <w:right w:val="none" w:sz="0" w:space="0" w:color="auto"/>
      </w:divBdr>
    </w:div>
    <w:div w:id="1040085335">
      <w:bodyDiv w:val="1"/>
      <w:marLeft w:val="0"/>
      <w:marRight w:val="0"/>
      <w:marTop w:val="0"/>
      <w:marBottom w:val="0"/>
      <w:divBdr>
        <w:top w:val="none" w:sz="0" w:space="0" w:color="auto"/>
        <w:left w:val="none" w:sz="0" w:space="0" w:color="auto"/>
        <w:bottom w:val="none" w:sz="0" w:space="0" w:color="auto"/>
        <w:right w:val="none" w:sz="0" w:space="0" w:color="auto"/>
      </w:divBdr>
    </w:div>
    <w:div w:id="1242134254">
      <w:bodyDiv w:val="1"/>
      <w:marLeft w:val="0"/>
      <w:marRight w:val="0"/>
      <w:marTop w:val="0"/>
      <w:marBottom w:val="0"/>
      <w:divBdr>
        <w:top w:val="none" w:sz="0" w:space="0" w:color="auto"/>
        <w:left w:val="none" w:sz="0" w:space="0" w:color="auto"/>
        <w:bottom w:val="none" w:sz="0" w:space="0" w:color="auto"/>
        <w:right w:val="none" w:sz="0" w:space="0" w:color="auto"/>
      </w:divBdr>
    </w:div>
    <w:div w:id="1615553043">
      <w:bodyDiv w:val="1"/>
      <w:marLeft w:val="0"/>
      <w:marRight w:val="0"/>
      <w:marTop w:val="0"/>
      <w:marBottom w:val="0"/>
      <w:divBdr>
        <w:top w:val="none" w:sz="0" w:space="0" w:color="auto"/>
        <w:left w:val="none" w:sz="0" w:space="0" w:color="auto"/>
        <w:bottom w:val="none" w:sz="0" w:space="0" w:color="auto"/>
        <w:right w:val="none" w:sz="0" w:space="0" w:color="auto"/>
      </w:divBdr>
    </w:div>
    <w:div w:id="1768764963">
      <w:bodyDiv w:val="1"/>
      <w:marLeft w:val="0"/>
      <w:marRight w:val="0"/>
      <w:marTop w:val="0"/>
      <w:marBottom w:val="0"/>
      <w:divBdr>
        <w:top w:val="none" w:sz="0" w:space="0" w:color="auto"/>
        <w:left w:val="none" w:sz="0" w:space="0" w:color="auto"/>
        <w:bottom w:val="none" w:sz="0" w:space="0" w:color="auto"/>
        <w:right w:val="none" w:sz="0" w:space="0" w:color="auto"/>
      </w:divBdr>
    </w:div>
    <w:div w:id="1815021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it.ly/PAS-CI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voa.gov.uk/corporate/info4LAs.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it.ly/PASNNDR" TargetMode="External"/><Relationship Id="rId14" Type="http://schemas.openxmlformats.org/officeDocument/2006/relationships/hyperlink" Target="http://bit.ly/PASNHB"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A0714-6739-4055-B583-83FB1DE48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1063</Words>
  <Characters>6060</Characters>
  <Application>Microsoft Office Word</Application>
  <DocSecurity>0</DocSecurity>
  <Lines>50</Lines>
  <Paragraphs>14</Paragraphs>
  <ScaleCrop>false</ScaleCrop>
  <Company>-</Company>
  <LinksUpToDate>false</LinksUpToDate>
  <CharactersWithSpaces>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Sfyra</dc:creator>
  <cp:lastModifiedBy>Stephen Barker</cp:lastModifiedBy>
  <cp:revision>2</cp:revision>
  <cp:lastPrinted>2013-10-11T13:17:00Z</cp:lastPrinted>
  <dcterms:created xsi:type="dcterms:W3CDTF">2013-10-16T11:36:00Z</dcterms:created>
  <dcterms:modified xsi:type="dcterms:W3CDTF">2013-10-16T11:36:00Z</dcterms:modified>
</cp:coreProperties>
</file>