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0AC" w:rsidRDefault="008A50AC" w:rsidP="0043478C">
      <w:pPr>
        <w:tabs>
          <w:tab w:val="left" w:pos="0"/>
        </w:tabs>
        <w:suppressAutoHyphens/>
        <w:spacing w:after="0" w:line="240" w:lineRule="auto"/>
        <w:jc w:val="right"/>
        <w:rPr>
          <w:rFonts w:ascii="Arial" w:hAnsi="Arial" w:cs="Arial"/>
          <w:b/>
          <w:bCs/>
          <w:spacing w:val="-3"/>
          <w:sz w:val="24"/>
          <w:szCs w:val="24"/>
          <w:lang w:eastAsia="en-GB"/>
        </w:rPr>
      </w:pPr>
      <w:bookmarkStart w:id="0" w:name="_GoBack"/>
      <w:bookmarkEnd w:id="0"/>
      <w:r>
        <w:rPr>
          <w:rFonts w:ascii="Arial" w:hAnsi="Arial" w:cs="Arial"/>
          <w:b/>
          <w:bCs/>
          <w:spacing w:val="-3"/>
          <w:sz w:val="24"/>
          <w:szCs w:val="24"/>
          <w:lang w:eastAsia="en-GB"/>
        </w:rPr>
        <w:t>COM (2013) 643 final – 13562/13</w:t>
      </w:r>
    </w:p>
    <w:p w:rsidR="008A50AC" w:rsidRDefault="008A50AC" w:rsidP="0043478C">
      <w:pPr>
        <w:tabs>
          <w:tab w:val="left" w:pos="0"/>
        </w:tabs>
        <w:suppressAutoHyphens/>
        <w:spacing w:after="0" w:line="240" w:lineRule="auto"/>
        <w:jc w:val="right"/>
        <w:rPr>
          <w:rFonts w:ascii="Arial" w:hAnsi="Arial" w:cs="Arial"/>
          <w:b/>
          <w:bCs/>
          <w:spacing w:val="-3"/>
          <w:sz w:val="24"/>
          <w:szCs w:val="24"/>
          <w:lang w:eastAsia="en-GB"/>
        </w:rPr>
      </w:pPr>
      <w:r>
        <w:rPr>
          <w:rFonts w:ascii="Arial" w:hAnsi="Arial" w:cs="Arial"/>
          <w:b/>
          <w:bCs/>
          <w:spacing w:val="-3"/>
          <w:sz w:val="24"/>
          <w:szCs w:val="24"/>
          <w:lang w:eastAsia="en-GB"/>
        </w:rPr>
        <w:t>COM (2013) 627 final – 13555/13</w:t>
      </w:r>
    </w:p>
    <w:p w:rsidR="008A50AC" w:rsidRDefault="008A50AC" w:rsidP="0043478C">
      <w:pPr>
        <w:tabs>
          <w:tab w:val="left" w:pos="0"/>
        </w:tabs>
        <w:suppressAutoHyphens/>
        <w:spacing w:after="0" w:line="240" w:lineRule="auto"/>
        <w:jc w:val="right"/>
        <w:rPr>
          <w:rFonts w:ascii="Arial" w:hAnsi="Arial" w:cs="Arial"/>
          <w:b/>
          <w:bCs/>
          <w:spacing w:val="-3"/>
          <w:sz w:val="24"/>
          <w:szCs w:val="24"/>
          <w:lang w:eastAsia="en-GB"/>
        </w:rPr>
      </w:pPr>
      <w:r>
        <w:rPr>
          <w:rFonts w:ascii="Arial" w:hAnsi="Arial" w:cs="Arial"/>
          <w:b/>
          <w:bCs/>
          <w:spacing w:val="-3"/>
          <w:sz w:val="24"/>
          <w:szCs w:val="24"/>
          <w:lang w:eastAsia="en-GB"/>
        </w:rPr>
        <w:t>SWD (2013) 331 final – 13555/13 ADD1</w:t>
      </w:r>
    </w:p>
    <w:p w:rsidR="008A50AC" w:rsidRDefault="008A50AC" w:rsidP="0043478C">
      <w:pPr>
        <w:tabs>
          <w:tab w:val="left" w:pos="0"/>
        </w:tabs>
        <w:suppressAutoHyphens/>
        <w:spacing w:after="0" w:line="240" w:lineRule="auto"/>
        <w:jc w:val="right"/>
        <w:rPr>
          <w:rFonts w:ascii="Arial" w:hAnsi="Arial" w:cs="Arial"/>
          <w:b/>
          <w:bCs/>
          <w:spacing w:val="-3"/>
          <w:sz w:val="24"/>
          <w:szCs w:val="24"/>
          <w:lang w:eastAsia="en-GB"/>
        </w:rPr>
      </w:pPr>
      <w:r>
        <w:rPr>
          <w:rFonts w:ascii="Arial" w:hAnsi="Arial" w:cs="Arial"/>
          <w:b/>
          <w:bCs/>
          <w:spacing w:val="-3"/>
          <w:sz w:val="24"/>
          <w:szCs w:val="24"/>
          <w:lang w:eastAsia="en-GB"/>
        </w:rPr>
        <w:t>SWD (2013) 332 final – 13555/13 ADD2</w:t>
      </w:r>
    </w:p>
    <w:p w:rsidR="008A50AC" w:rsidRDefault="008A50AC" w:rsidP="00877B52">
      <w:pPr>
        <w:tabs>
          <w:tab w:val="left" w:pos="0"/>
        </w:tabs>
        <w:suppressAutoHyphens/>
        <w:spacing w:after="0" w:line="240" w:lineRule="auto"/>
        <w:rPr>
          <w:rFonts w:ascii="Arial" w:hAnsi="Arial" w:cs="Arial"/>
          <w:b/>
          <w:bCs/>
          <w:spacing w:val="-3"/>
          <w:sz w:val="24"/>
          <w:szCs w:val="24"/>
          <w:lang w:eastAsia="en-GB"/>
        </w:rPr>
      </w:pPr>
    </w:p>
    <w:p w:rsidR="008A50AC" w:rsidRDefault="008A50AC" w:rsidP="00877B52">
      <w:pPr>
        <w:tabs>
          <w:tab w:val="left" w:pos="0"/>
        </w:tabs>
        <w:suppressAutoHyphens/>
        <w:spacing w:after="0" w:line="240" w:lineRule="auto"/>
        <w:rPr>
          <w:rFonts w:ascii="Arial" w:hAnsi="Arial" w:cs="Arial"/>
          <w:b/>
          <w:bCs/>
          <w:spacing w:val="-3"/>
          <w:sz w:val="24"/>
          <w:szCs w:val="24"/>
          <w:lang w:eastAsia="en-GB"/>
        </w:rPr>
      </w:pPr>
      <w:r>
        <w:rPr>
          <w:rFonts w:ascii="Arial" w:hAnsi="Arial" w:cs="Arial"/>
          <w:b/>
          <w:bCs/>
          <w:spacing w:val="-3"/>
          <w:sz w:val="24"/>
          <w:szCs w:val="24"/>
          <w:lang w:eastAsia="en-GB"/>
        </w:rPr>
        <w:t>Communication from the Commission to the European Parliament, the Council, the Economic and Social Committee and the Committee of the Regions on the Telecommunications Single Market</w:t>
      </w:r>
    </w:p>
    <w:p w:rsidR="008A50AC" w:rsidRDefault="008A50AC" w:rsidP="00877B52">
      <w:pPr>
        <w:tabs>
          <w:tab w:val="left" w:pos="0"/>
        </w:tabs>
        <w:suppressAutoHyphens/>
        <w:spacing w:after="0" w:line="240" w:lineRule="auto"/>
        <w:rPr>
          <w:rFonts w:ascii="Arial" w:hAnsi="Arial" w:cs="Arial"/>
          <w:b/>
          <w:bCs/>
          <w:spacing w:val="-3"/>
          <w:sz w:val="24"/>
          <w:szCs w:val="24"/>
          <w:lang w:eastAsia="en-GB"/>
        </w:rPr>
      </w:pPr>
    </w:p>
    <w:p w:rsidR="008A50AC" w:rsidRDefault="008A50AC" w:rsidP="00877B52">
      <w:pPr>
        <w:tabs>
          <w:tab w:val="left" w:pos="0"/>
        </w:tabs>
        <w:suppressAutoHyphens/>
        <w:spacing w:after="0" w:line="240" w:lineRule="auto"/>
        <w:rPr>
          <w:rFonts w:ascii="Arial" w:hAnsi="Arial" w:cs="Arial"/>
          <w:b/>
          <w:bCs/>
          <w:spacing w:val="-3"/>
          <w:sz w:val="24"/>
          <w:szCs w:val="24"/>
          <w:lang w:eastAsia="en-GB"/>
        </w:rPr>
      </w:pPr>
      <w:r>
        <w:rPr>
          <w:rFonts w:ascii="Arial" w:hAnsi="Arial" w:cs="Arial"/>
          <w:b/>
          <w:bCs/>
          <w:spacing w:val="-3"/>
          <w:sz w:val="24"/>
          <w:szCs w:val="24"/>
          <w:lang w:eastAsia="en-GB"/>
        </w:rPr>
        <w:t>Proposal for a Regulation of the European Parliament and of the Council laying down measures concerning the European single market for electronic communications and to achieve a Connected Continent, and amending Directives 2002/20/EC, 2002/21/EC and 2002/22/EC and Regulations (EC) no 1211/2009 and (EU) No 531/2012</w:t>
      </w:r>
    </w:p>
    <w:p w:rsidR="008A50AC" w:rsidRDefault="008A50AC" w:rsidP="00877B52">
      <w:pPr>
        <w:tabs>
          <w:tab w:val="left" w:pos="0"/>
        </w:tabs>
        <w:suppressAutoHyphens/>
        <w:spacing w:after="0" w:line="240" w:lineRule="auto"/>
        <w:rPr>
          <w:rFonts w:ascii="Arial" w:hAnsi="Arial" w:cs="Arial"/>
          <w:b/>
          <w:bCs/>
          <w:spacing w:val="-3"/>
          <w:sz w:val="24"/>
          <w:szCs w:val="24"/>
          <w:lang w:eastAsia="en-GB"/>
        </w:rPr>
      </w:pPr>
    </w:p>
    <w:p w:rsidR="008A50AC" w:rsidRDefault="008A50AC" w:rsidP="008E4BDA">
      <w:pPr>
        <w:tabs>
          <w:tab w:val="left" w:pos="0"/>
        </w:tabs>
        <w:suppressAutoHyphens/>
        <w:spacing w:after="0" w:line="240" w:lineRule="auto"/>
        <w:rPr>
          <w:rFonts w:ascii="Arial" w:hAnsi="Arial" w:cs="Arial"/>
          <w:b/>
          <w:bCs/>
          <w:spacing w:val="-3"/>
          <w:sz w:val="24"/>
          <w:szCs w:val="24"/>
          <w:lang w:eastAsia="en-GB"/>
        </w:rPr>
      </w:pPr>
      <w:r>
        <w:rPr>
          <w:rFonts w:ascii="Arial" w:hAnsi="Arial" w:cs="Arial"/>
          <w:b/>
          <w:bCs/>
          <w:spacing w:val="-3"/>
          <w:sz w:val="24"/>
          <w:szCs w:val="24"/>
          <w:lang w:eastAsia="en-GB"/>
        </w:rPr>
        <w:t xml:space="preserve">Commission Staff Working Document Impact Assessment Accompanying the </w:t>
      </w:r>
      <w:proofErr w:type="gramStart"/>
      <w:r>
        <w:rPr>
          <w:rFonts w:ascii="Arial" w:hAnsi="Arial" w:cs="Arial"/>
          <w:b/>
          <w:bCs/>
          <w:spacing w:val="-3"/>
          <w:sz w:val="24"/>
          <w:szCs w:val="24"/>
          <w:lang w:eastAsia="en-GB"/>
        </w:rPr>
        <w:t>document  Proposal</w:t>
      </w:r>
      <w:proofErr w:type="gramEnd"/>
      <w:r>
        <w:rPr>
          <w:rFonts w:ascii="Arial" w:hAnsi="Arial" w:cs="Arial"/>
          <w:b/>
          <w:bCs/>
          <w:spacing w:val="-3"/>
          <w:sz w:val="24"/>
          <w:szCs w:val="24"/>
          <w:lang w:eastAsia="en-GB"/>
        </w:rPr>
        <w:t xml:space="preserve"> for a Regulation of the European Parliament and of the Council laying down measures concerning the European single market for electronic communications and to achieve a Connected Continent, and amending Directives 2002/20/EC, 2002/21/EC and 2002/22/EC and Regulations (EC) no 1211/2009 and (EU) No 531/2012</w:t>
      </w:r>
    </w:p>
    <w:p w:rsidR="008A50AC" w:rsidRDefault="008A50AC" w:rsidP="00877B52">
      <w:pPr>
        <w:tabs>
          <w:tab w:val="left" w:pos="0"/>
        </w:tabs>
        <w:suppressAutoHyphens/>
        <w:spacing w:after="0" w:line="240" w:lineRule="auto"/>
        <w:rPr>
          <w:rFonts w:ascii="Arial" w:hAnsi="Arial" w:cs="Arial"/>
          <w:b/>
          <w:bCs/>
          <w:spacing w:val="-3"/>
          <w:sz w:val="24"/>
          <w:szCs w:val="24"/>
          <w:lang w:eastAsia="en-GB"/>
        </w:rPr>
      </w:pPr>
    </w:p>
    <w:p w:rsidR="008A50AC" w:rsidRDefault="008A50AC" w:rsidP="008E4BDA">
      <w:pPr>
        <w:tabs>
          <w:tab w:val="left" w:pos="0"/>
        </w:tabs>
        <w:suppressAutoHyphens/>
        <w:spacing w:after="0" w:line="240" w:lineRule="auto"/>
        <w:rPr>
          <w:rFonts w:ascii="Arial" w:hAnsi="Arial" w:cs="Arial"/>
          <w:b/>
          <w:bCs/>
          <w:spacing w:val="-3"/>
          <w:sz w:val="24"/>
          <w:szCs w:val="24"/>
          <w:lang w:eastAsia="en-GB"/>
        </w:rPr>
      </w:pPr>
      <w:r>
        <w:rPr>
          <w:rFonts w:ascii="Arial" w:hAnsi="Arial" w:cs="Arial"/>
          <w:b/>
          <w:bCs/>
          <w:spacing w:val="-3"/>
          <w:sz w:val="24"/>
          <w:szCs w:val="24"/>
          <w:lang w:eastAsia="en-GB"/>
        </w:rPr>
        <w:t xml:space="preserve">Commission Staff Working Document Executive Summary of the Impact Assessment Accompanying the document </w:t>
      </w:r>
      <w:r w:rsidR="00827BC1">
        <w:rPr>
          <w:rFonts w:ascii="Arial" w:hAnsi="Arial" w:cs="Arial"/>
          <w:b/>
          <w:bCs/>
          <w:spacing w:val="-3"/>
          <w:sz w:val="24"/>
          <w:szCs w:val="24"/>
          <w:lang w:eastAsia="en-GB"/>
        </w:rPr>
        <w:t xml:space="preserve">a </w:t>
      </w:r>
      <w:r>
        <w:rPr>
          <w:rFonts w:ascii="Arial" w:hAnsi="Arial" w:cs="Arial"/>
          <w:b/>
          <w:bCs/>
          <w:spacing w:val="-3"/>
          <w:sz w:val="24"/>
          <w:szCs w:val="24"/>
          <w:lang w:eastAsia="en-GB"/>
        </w:rPr>
        <w:t>Proposal for a Regulation of the European Parliament and of the Council laying down measures concerning the European single market for electronic communications and to achieve a Connected Continent, and amending Directives 2002/20/EC, 2002/21/EC and 2002/22/EC and Regulations (EC) no 1211/2009 and (EU) No 531/2012</w:t>
      </w:r>
    </w:p>
    <w:p w:rsidR="008A50AC" w:rsidRPr="00877B52" w:rsidRDefault="008A50AC" w:rsidP="00877B52">
      <w:pPr>
        <w:tabs>
          <w:tab w:val="left" w:pos="0"/>
        </w:tabs>
        <w:suppressAutoHyphens/>
        <w:spacing w:after="0" w:line="240" w:lineRule="auto"/>
        <w:rPr>
          <w:rFonts w:ascii="Arial" w:hAnsi="Arial" w:cs="Arial"/>
          <w:b/>
          <w:bCs/>
          <w:spacing w:val="-3"/>
          <w:sz w:val="24"/>
          <w:szCs w:val="24"/>
          <w:lang w:eastAsia="en-GB"/>
        </w:rPr>
      </w:pPr>
    </w:p>
    <w:p w:rsidR="008A50AC" w:rsidRPr="00877B52" w:rsidRDefault="008A50AC" w:rsidP="00877B52">
      <w:pPr>
        <w:tabs>
          <w:tab w:val="left" w:pos="0"/>
        </w:tabs>
        <w:suppressAutoHyphens/>
        <w:spacing w:after="0" w:line="240" w:lineRule="auto"/>
        <w:rPr>
          <w:rFonts w:ascii="Arial" w:hAnsi="Arial" w:cs="Arial"/>
          <w:spacing w:val="-3"/>
          <w:sz w:val="24"/>
          <w:szCs w:val="24"/>
          <w:lang w:eastAsia="en-GB"/>
        </w:rPr>
      </w:pPr>
    </w:p>
    <w:p w:rsidR="008A50AC" w:rsidRPr="00877B52" w:rsidRDefault="008A50AC" w:rsidP="00877B52">
      <w:pPr>
        <w:tabs>
          <w:tab w:val="left" w:pos="0"/>
        </w:tabs>
        <w:suppressAutoHyphens/>
        <w:spacing w:after="0" w:line="240" w:lineRule="auto"/>
        <w:rPr>
          <w:rFonts w:ascii="Arial" w:hAnsi="Arial" w:cs="Arial"/>
          <w:sz w:val="24"/>
          <w:szCs w:val="24"/>
          <w:lang w:eastAsia="en-GB"/>
        </w:rPr>
      </w:pPr>
      <w:r w:rsidRPr="00877B52">
        <w:rPr>
          <w:rFonts w:ascii="Arial" w:hAnsi="Arial" w:cs="Arial"/>
          <w:spacing w:val="-3"/>
          <w:sz w:val="24"/>
          <w:szCs w:val="24"/>
          <w:lang w:eastAsia="en-GB"/>
        </w:rPr>
        <w:t>Submitted b</w:t>
      </w:r>
      <w:r>
        <w:rPr>
          <w:rFonts w:ascii="Arial" w:hAnsi="Arial" w:cs="Arial"/>
          <w:spacing w:val="-3"/>
          <w:sz w:val="24"/>
          <w:szCs w:val="24"/>
          <w:lang w:eastAsia="en-GB"/>
        </w:rPr>
        <w:t xml:space="preserve">y Department for Culture, Media and Sport </w:t>
      </w:r>
      <w:r w:rsidRPr="00877B52">
        <w:rPr>
          <w:rFonts w:ascii="Arial" w:hAnsi="Arial" w:cs="Arial"/>
          <w:spacing w:val="-3"/>
          <w:sz w:val="24"/>
          <w:szCs w:val="24"/>
          <w:lang w:eastAsia="en-GB"/>
        </w:rPr>
        <w:t xml:space="preserve">on </w:t>
      </w:r>
      <w:r w:rsidR="002350FE">
        <w:rPr>
          <w:rFonts w:ascii="Arial" w:hAnsi="Arial" w:cs="Arial"/>
          <w:spacing w:val="-3"/>
          <w:sz w:val="24"/>
          <w:szCs w:val="24"/>
          <w:lang w:eastAsia="en-GB"/>
        </w:rPr>
        <w:t>[</w:t>
      </w:r>
      <w:r w:rsidR="006D4790">
        <w:rPr>
          <w:rFonts w:ascii="Arial" w:hAnsi="Arial" w:cs="Arial"/>
          <w:spacing w:val="-3"/>
          <w:sz w:val="24"/>
          <w:szCs w:val="24"/>
          <w:lang w:eastAsia="en-GB"/>
        </w:rPr>
        <w:t>9</w:t>
      </w:r>
      <w:r w:rsidRPr="002350FE">
        <w:rPr>
          <w:rFonts w:ascii="Arial" w:hAnsi="Arial" w:cs="Arial"/>
          <w:spacing w:val="-3"/>
          <w:sz w:val="24"/>
          <w:szCs w:val="24"/>
          <w:vertAlign w:val="superscript"/>
          <w:lang w:eastAsia="en-GB"/>
        </w:rPr>
        <w:t>th</w:t>
      </w:r>
      <w:r w:rsidRPr="002350FE">
        <w:rPr>
          <w:rFonts w:ascii="Arial" w:hAnsi="Arial" w:cs="Arial"/>
          <w:spacing w:val="-3"/>
          <w:sz w:val="24"/>
          <w:szCs w:val="24"/>
          <w:lang w:eastAsia="en-GB"/>
        </w:rPr>
        <w:t xml:space="preserve"> October 2013</w:t>
      </w:r>
      <w:r w:rsidR="002350FE">
        <w:rPr>
          <w:rFonts w:ascii="Arial" w:hAnsi="Arial" w:cs="Arial"/>
          <w:spacing w:val="-3"/>
          <w:sz w:val="24"/>
          <w:szCs w:val="24"/>
          <w:lang w:eastAsia="en-GB"/>
        </w:rPr>
        <w:t>]</w:t>
      </w:r>
    </w:p>
    <w:p w:rsidR="008A50AC" w:rsidRPr="00877B52" w:rsidRDefault="008A50AC" w:rsidP="00877B52">
      <w:pPr>
        <w:tabs>
          <w:tab w:val="left" w:pos="0"/>
        </w:tabs>
        <w:suppressAutoHyphens/>
        <w:spacing w:after="0" w:line="240" w:lineRule="auto"/>
        <w:rPr>
          <w:rFonts w:ascii="Arial" w:hAnsi="Arial" w:cs="Arial"/>
          <w:spacing w:val="-3"/>
          <w:sz w:val="24"/>
          <w:szCs w:val="24"/>
          <w:lang w:eastAsia="en-GB"/>
        </w:rPr>
      </w:pPr>
    </w:p>
    <w:p w:rsidR="008A50AC" w:rsidRDefault="008A50AC" w:rsidP="00877B52">
      <w:pPr>
        <w:tabs>
          <w:tab w:val="left" w:pos="0"/>
        </w:tabs>
        <w:suppressAutoHyphens/>
        <w:spacing w:after="0" w:line="240" w:lineRule="auto"/>
        <w:rPr>
          <w:rFonts w:ascii="Arial" w:hAnsi="Arial" w:cs="Arial"/>
          <w:b/>
          <w:bCs/>
          <w:spacing w:val="-3"/>
          <w:sz w:val="24"/>
          <w:szCs w:val="24"/>
          <w:lang w:eastAsia="en-GB"/>
        </w:rPr>
      </w:pPr>
      <w:r w:rsidRPr="00877B52">
        <w:rPr>
          <w:rFonts w:ascii="Arial" w:hAnsi="Arial" w:cs="Arial"/>
          <w:b/>
          <w:bCs/>
          <w:spacing w:val="-3"/>
          <w:sz w:val="24"/>
          <w:szCs w:val="24"/>
          <w:lang w:eastAsia="en-GB"/>
        </w:rPr>
        <w:t>SUBJECT MATTER</w:t>
      </w:r>
    </w:p>
    <w:p w:rsidR="008A50AC" w:rsidRDefault="008A50AC" w:rsidP="00877B52">
      <w:pPr>
        <w:tabs>
          <w:tab w:val="left" w:pos="0"/>
        </w:tabs>
        <w:suppressAutoHyphens/>
        <w:spacing w:after="0" w:line="240" w:lineRule="auto"/>
        <w:rPr>
          <w:rFonts w:ascii="Arial" w:hAnsi="Arial" w:cs="Arial"/>
          <w:b/>
          <w:bCs/>
          <w:spacing w:val="-3"/>
          <w:sz w:val="24"/>
          <w:szCs w:val="24"/>
          <w:lang w:eastAsia="en-GB"/>
        </w:rPr>
      </w:pPr>
    </w:p>
    <w:p w:rsidR="008A50AC" w:rsidRDefault="008A50AC" w:rsidP="0043478C">
      <w:pPr>
        <w:numPr>
          <w:ilvl w:val="0"/>
          <w:numId w:val="9"/>
        </w:numPr>
        <w:tabs>
          <w:tab w:val="left" w:pos="0"/>
        </w:tabs>
        <w:suppressAutoHyphens/>
        <w:spacing w:after="0" w:line="240" w:lineRule="auto"/>
        <w:rPr>
          <w:rFonts w:ascii="Arial" w:hAnsi="Arial" w:cs="Arial"/>
          <w:spacing w:val="-3"/>
          <w:sz w:val="24"/>
          <w:szCs w:val="24"/>
          <w:lang w:eastAsia="en-GB"/>
        </w:rPr>
      </w:pPr>
      <w:r>
        <w:rPr>
          <w:rFonts w:ascii="Arial" w:hAnsi="Arial" w:cs="Arial"/>
          <w:spacing w:val="-3"/>
          <w:sz w:val="24"/>
          <w:szCs w:val="24"/>
          <w:lang w:eastAsia="en-GB"/>
        </w:rPr>
        <w:t>This EM covers a suite of four related documents:</w:t>
      </w:r>
    </w:p>
    <w:p w:rsidR="008A50AC" w:rsidRDefault="008A50AC" w:rsidP="00ED56D5">
      <w:pPr>
        <w:tabs>
          <w:tab w:val="left" w:pos="0"/>
        </w:tabs>
        <w:suppressAutoHyphens/>
        <w:spacing w:after="0" w:line="240" w:lineRule="auto"/>
        <w:rPr>
          <w:rFonts w:ascii="Arial" w:hAnsi="Arial" w:cs="Arial"/>
          <w:spacing w:val="-3"/>
          <w:sz w:val="24"/>
          <w:szCs w:val="24"/>
          <w:lang w:eastAsia="en-GB"/>
        </w:rPr>
      </w:pPr>
    </w:p>
    <w:p w:rsidR="008A50AC" w:rsidRDefault="008A50AC" w:rsidP="00C626F4">
      <w:pPr>
        <w:numPr>
          <w:ilvl w:val="2"/>
          <w:numId w:val="9"/>
        </w:numPr>
        <w:tabs>
          <w:tab w:val="clear" w:pos="1800"/>
          <w:tab w:val="left" w:pos="0"/>
        </w:tabs>
        <w:suppressAutoHyphens/>
        <w:spacing w:after="0" w:line="240" w:lineRule="auto"/>
        <w:ind w:left="1080"/>
        <w:rPr>
          <w:rFonts w:ascii="Arial" w:hAnsi="Arial" w:cs="Arial"/>
          <w:spacing w:val="-3"/>
          <w:sz w:val="24"/>
          <w:szCs w:val="24"/>
          <w:lang w:eastAsia="en-GB"/>
        </w:rPr>
      </w:pPr>
      <w:r>
        <w:rPr>
          <w:rFonts w:ascii="Arial" w:hAnsi="Arial" w:cs="Arial"/>
          <w:spacing w:val="-3"/>
          <w:sz w:val="24"/>
          <w:szCs w:val="24"/>
          <w:lang w:eastAsia="en-GB"/>
        </w:rPr>
        <w:t>A Communication which is a review of the existing telecommunications single market, issues that prevent the completion of same and what steps should be taken to address this issue;</w:t>
      </w:r>
    </w:p>
    <w:p w:rsidR="008A50AC" w:rsidRDefault="008A50AC" w:rsidP="00C626F4">
      <w:pPr>
        <w:numPr>
          <w:ilvl w:val="2"/>
          <w:numId w:val="9"/>
        </w:numPr>
        <w:tabs>
          <w:tab w:val="clear" w:pos="1800"/>
          <w:tab w:val="left" w:pos="0"/>
        </w:tabs>
        <w:suppressAutoHyphens/>
        <w:spacing w:after="0" w:line="240" w:lineRule="auto"/>
        <w:ind w:left="1080"/>
        <w:rPr>
          <w:rFonts w:ascii="Arial" w:hAnsi="Arial" w:cs="Arial"/>
          <w:spacing w:val="-3"/>
          <w:sz w:val="24"/>
          <w:szCs w:val="24"/>
          <w:lang w:eastAsia="en-GB"/>
        </w:rPr>
      </w:pPr>
      <w:r>
        <w:rPr>
          <w:rFonts w:ascii="Arial" w:hAnsi="Arial" w:cs="Arial"/>
          <w:spacing w:val="-3"/>
          <w:sz w:val="24"/>
          <w:szCs w:val="24"/>
          <w:lang w:eastAsia="en-GB"/>
        </w:rPr>
        <w:t>A Regulation that seeks to address the issues identified in the Communication;</w:t>
      </w:r>
    </w:p>
    <w:p w:rsidR="008A50AC" w:rsidRDefault="008A50AC" w:rsidP="00C626F4">
      <w:pPr>
        <w:numPr>
          <w:ilvl w:val="2"/>
          <w:numId w:val="9"/>
        </w:numPr>
        <w:tabs>
          <w:tab w:val="clear" w:pos="1800"/>
          <w:tab w:val="left" w:pos="0"/>
        </w:tabs>
        <w:suppressAutoHyphens/>
        <w:spacing w:after="0" w:line="240" w:lineRule="auto"/>
        <w:ind w:left="1080"/>
        <w:rPr>
          <w:rFonts w:ascii="Arial" w:hAnsi="Arial" w:cs="Arial"/>
          <w:spacing w:val="-3"/>
          <w:sz w:val="24"/>
          <w:szCs w:val="24"/>
          <w:lang w:eastAsia="en-GB"/>
        </w:rPr>
      </w:pPr>
      <w:r>
        <w:rPr>
          <w:rFonts w:ascii="Arial" w:hAnsi="Arial" w:cs="Arial"/>
          <w:spacing w:val="-3"/>
          <w:sz w:val="24"/>
          <w:szCs w:val="24"/>
          <w:lang w:eastAsia="en-GB"/>
        </w:rPr>
        <w:t>A Commission Staff Working Paper that is the Impact Assessment of the Regulation; and</w:t>
      </w:r>
    </w:p>
    <w:p w:rsidR="008A50AC" w:rsidRDefault="008A50AC" w:rsidP="00C626F4">
      <w:pPr>
        <w:numPr>
          <w:ilvl w:val="2"/>
          <w:numId w:val="9"/>
        </w:numPr>
        <w:tabs>
          <w:tab w:val="clear" w:pos="1800"/>
          <w:tab w:val="left" w:pos="0"/>
        </w:tabs>
        <w:suppressAutoHyphens/>
        <w:spacing w:after="0" w:line="240" w:lineRule="auto"/>
        <w:ind w:left="1080"/>
        <w:rPr>
          <w:rFonts w:ascii="Arial" w:hAnsi="Arial" w:cs="Arial"/>
          <w:spacing w:val="-3"/>
          <w:sz w:val="24"/>
          <w:szCs w:val="24"/>
          <w:lang w:eastAsia="en-GB"/>
        </w:rPr>
      </w:pPr>
      <w:r>
        <w:rPr>
          <w:rFonts w:ascii="Arial" w:hAnsi="Arial" w:cs="Arial"/>
          <w:spacing w:val="-3"/>
          <w:sz w:val="24"/>
          <w:szCs w:val="24"/>
          <w:lang w:eastAsia="en-GB"/>
        </w:rPr>
        <w:t>A Commission Staff Working Paper that is an Executive Summary of the Impact Assessment.</w:t>
      </w:r>
    </w:p>
    <w:p w:rsidR="008A50AC" w:rsidRDefault="008A50AC" w:rsidP="00C626F4">
      <w:pPr>
        <w:tabs>
          <w:tab w:val="left" w:pos="0"/>
        </w:tabs>
        <w:suppressAutoHyphens/>
        <w:spacing w:after="0" w:line="240" w:lineRule="auto"/>
        <w:rPr>
          <w:rFonts w:ascii="Arial" w:hAnsi="Arial" w:cs="Arial"/>
          <w:spacing w:val="-3"/>
          <w:sz w:val="24"/>
          <w:szCs w:val="24"/>
          <w:lang w:eastAsia="en-GB"/>
        </w:rPr>
      </w:pPr>
    </w:p>
    <w:p w:rsidR="008A50AC" w:rsidRDefault="008A50AC" w:rsidP="001E7BF1">
      <w:pPr>
        <w:tabs>
          <w:tab w:val="left" w:pos="0"/>
        </w:tabs>
        <w:suppressAutoHyphens/>
        <w:spacing w:after="0" w:line="240" w:lineRule="auto"/>
        <w:ind w:left="720"/>
        <w:rPr>
          <w:rFonts w:ascii="Arial" w:hAnsi="Arial" w:cs="Arial"/>
          <w:b/>
          <w:bCs/>
          <w:spacing w:val="-3"/>
          <w:sz w:val="24"/>
          <w:szCs w:val="24"/>
          <w:lang w:eastAsia="en-GB"/>
        </w:rPr>
      </w:pPr>
      <w:r w:rsidRPr="001E7BF1">
        <w:rPr>
          <w:rFonts w:ascii="Arial" w:hAnsi="Arial" w:cs="Arial"/>
          <w:b/>
          <w:bCs/>
          <w:spacing w:val="-3"/>
          <w:sz w:val="24"/>
          <w:szCs w:val="24"/>
          <w:lang w:eastAsia="en-GB"/>
        </w:rPr>
        <w:t>The Communication…on the Telecommunications Single Market</w:t>
      </w:r>
      <w:r>
        <w:rPr>
          <w:rFonts w:ascii="Arial" w:hAnsi="Arial" w:cs="Arial"/>
          <w:b/>
          <w:bCs/>
          <w:spacing w:val="-3"/>
          <w:sz w:val="24"/>
          <w:szCs w:val="24"/>
          <w:lang w:eastAsia="en-GB"/>
        </w:rPr>
        <w:t xml:space="preserve"> (13562/13)</w:t>
      </w:r>
    </w:p>
    <w:p w:rsidR="008A50AC" w:rsidRPr="001E7BF1" w:rsidRDefault="008A50AC" w:rsidP="00E153E8">
      <w:pPr>
        <w:numPr>
          <w:ilvl w:val="1"/>
          <w:numId w:val="9"/>
        </w:numPr>
        <w:tabs>
          <w:tab w:val="left" w:pos="0"/>
        </w:tabs>
        <w:suppressAutoHyphens/>
        <w:spacing w:after="0" w:line="240" w:lineRule="auto"/>
        <w:rPr>
          <w:rFonts w:ascii="Arial" w:hAnsi="Arial" w:cs="Arial"/>
          <w:b/>
          <w:bCs/>
          <w:spacing w:val="-3"/>
          <w:sz w:val="24"/>
          <w:szCs w:val="24"/>
          <w:lang w:eastAsia="en-GB"/>
        </w:rPr>
      </w:pPr>
      <w:r>
        <w:rPr>
          <w:rFonts w:ascii="Arial" w:hAnsi="Arial" w:cs="Arial"/>
          <w:spacing w:val="-3"/>
          <w:sz w:val="24"/>
          <w:szCs w:val="24"/>
          <w:lang w:eastAsia="en-GB"/>
        </w:rPr>
        <w:lastRenderedPageBreak/>
        <w:t>The Communication begins by setting out the political and economic importance of a fully functioning telecommunications single market and notes that the European Council of March 2013 placed a commitment on the Commission to bring forward proposals to establish such a single market and that these proposals seek to meet that commitment.</w:t>
      </w:r>
    </w:p>
    <w:p w:rsidR="008A50AC" w:rsidRDefault="008A50AC" w:rsidP="00877B52">
      <w:pPr>
        <w:tabs>
          <w:tab w:val="left" w:pos="0"/>
        </w:tabs>
        <w:suppressAutoHyphens/>
        <w:spacing w:after="0" w:line="240" w:lineRule="auto"/>
        <w:rPr>
          <w:rFonts w:ascii="Arial" w:hAnsi="Arial" w:cs="Arial"/>
          <w:i/>
          <w:iCs/>
          <w:spacing w:val="-3"/>
          <w:sz w:val="24"/>
          <w:szCs w:val="24"/>
          <w:lang w:eastAsia="en-GB"/>
        </w:rPr>
      </w:pPr>
    </w:p>
    <w:p w:rsidR="008C37D2" w:rsidRDefault="008C37D2" w:rsidP="008C37D2">
      <w:pPr>
        <w:numPr>
          <w:ilvl w:val="1"/>
          <w:numId w:val="9"/>
        </w:numPr>
        <w:tabs>
          <w:tab w:val="left" w:pos="0"/>
        </w:tabs>
        <w:suppressAutoHyphens/>
        <w:spacing w:after="0" w:line="240" w:lineRule="auto"/>
        <w:rPr>
          <w:rFonts w:ascii="Arial" w:hAnsi="Arial" w:cs="Arial"/>
          <w:spacing w:val="-3"/>
          <w:sz w:val="24"/>
          <w:szCs w:val="24"/>
          <w:lang w:eastAsia="en-GB"/>
        </w:rPr>
      </w:pPr>
      <w:r>
        <w:rPr>
          <w:rFonts w:ascii="Arial" w:hAnsi="Arial" w:cs="Arial"/>
          <w:spacing w:val="-3"/>
          <w:sz w:val="24"/>
          <w:szCs w:val="24"/>
          <w:lang w:eastAsia="en-GB"/>
        </w:rPr>
        <w:t xml:space="preserve">It then provides a summary of the impacts of the liberalising measures that began in the 1980s and considers the importance of specific developments, such as the Global System for Mobile Communications (GSM) and Universal Mobile Telecommunications System (UMTS) standards, along with the existing telecommunications framework that was put in place in 2002 and reviewed in 2009.  It then states the importance of this sector in driving not only Europe’s competitiveness but also wider economic growth that is important in the current economic situation.  It then states that decisive further action is needed to prevent any further decline in this market and </w:t>
      </w:r>
      <w:smartTag w:uri="urn:schemas-microsoft-com:office:smarttags" w:element="place">
        <w:r>
          <w:rPr>
            <w:rFonts w:ascii="Arial" w:hAnsi="Arial" w:cs="Arial"/>
            <w:spacing w:val="-3"/>
            <w:sz w:val="24"/>
            <w:szCs w:val="24"/>
            <w:lang w:eastAsia="en-GB"/>
          </w:rPr>
          <w:t>Europe</w:t>
        </w:r>
      </w:smartTag>
      <w:r>
        <w:rPr>
          <w:rFonts w:ascii="Arial" w:hAnsi="Arial" w:cs="Arial"/>
          <w:spacing w:val="-3"/>
          <w:sz w:val="24"/>
          <w:szCs w:val="24"/>
          <w:lang w:eastAsia="en-GB"/>
        </w:rPr>
        <w:t>’s global position.</w:t>
      </w:r>
    </w:p>
    <w:p w:rsidR="008C37D2" w:rsidRDefault="008C37D2" w:rsidP="008C37D2">
      <w:pPr>
        <w:tabs>
          <w:tab w:val="left" w:pos="0"/>
        </w:tabs>
        <w:suppressAutoHyphens/>
        <w:spacing w:after="0" w:line="240" w:lineRule="auto"/>
        <w:rPr>
          <w:rFonts w:ascii="Arial" w:hAnsi="Arial" w:cs="Arial"/>
          <w:spacing w:val="-3"/>
          <w:sz w:val="24"/>
          <w:szCs w:val="24"/>
          <w:lang w:eastAsia="en-GB"/>
        </w:rPr>
      </w:pPr>
    </w:p>
    <w:p w:rsidR="008C37D2" w:rsidRDefault="008C37D2" w:rsidP="008C37D2">
      <w:pPr>
        <w:numPr>
          <w:ilvl w:val="1"/>
          <w:numId w:val="9"/>
        </w:numPr>
        <w:tabs>
          <w:tab w:val="left" w:pos="0"/>
        </w:tabs>
        <w:suppressAutoHyphens/>
        <w:spacing w:after="0" w:line="240" w:lineRule="auto"/>
        <w:rPr>
          <w:rFonts w:ascii="Arial" w:hAnsi="Arial" w:cs="Arial"/>
          <w:spacing w:val="-3"/>
          <w:sz w:val="24"/>
          <w:szCs w:val="24"/>
          <w:lang w:eastAsia="en-GB"/>
        </w:rPr>
      </w:pPr>
      <w:r>
        <w:rPr>
          <w:rFonts w:ascii="Arial" w:hAnsi="Arial" w:cs="Arial"/>
          <w:spacing w:val="-3"/>
          <w:sz w:val="24"/>
          <w:szCs w:val="24"/>
          <w:lang w:eastAsia="en-GB"/>
        </w:rPr>
        <w:t>It then considers what remaining barriers exist, citing a study that claims that completion of the single market in this sector could add up to £92 billion (</w:t>
      </w:r>
      <w:r w:rsidRPr="00391088">
        <w:rPr>
          <w:rFonts w:ascii="Arial" w:hAnsi="Arial" w:cs="Arial"/>
          <w:spacing w:val="-3"/>
          <w:sz w:val="24"/>
          <w:szCs w:val="24"/>
          <w:lang w:eastAsia="en-GB"/>
        </w:rPr>
        <w:t>€110 b</w:t>
      </w:r>
      <w:r>
        <w:rPr>
          <w:rFonts w:ascii="Arial" w:hAnsi="Arial" w:cs="Arial"/>
          <w:spacing w:val="-3"/>
          <w:sz w:val="24"/>
          <w:szCs w:val="24"/>
          <w:lang w:eastAsia="en-GB"/>
        </w:rPr>
        <w:t xml:space="preserve">illion) or 0.9%to the EU’s gross domestic </w:t>
      </w:r>
      <w:r w:rsidRPr="00391088">
        <w:rPr>
          <w:rFonts w:ascii="Arial" w:hAnsi="Arial" w:cs="Arial"/>
          <w:spacing w:val="-3"/>
          <w:sz w:val="24"/>
          <w:szCs w:val="24"/>
          <w:lang w:eastAsia="en-GB"/>
        </w:rPr>
        <w:t>product (</w:t>
      </w:r>
      <w:smartTag w:uri="urn:schemas-microsoft-com:office:smarttags" w:element="stockticker">
        <w:r w:rsidRPr="00391088">
          <w:rPr>
            <w:rFonts w:ascii="Arial" w:hAnsi="Arial" w:cs="Arial"/>
            <w:spacing w:val="-3"/>
            <w:sz w:val="24"/>
            <w:szCs w:val="24"/>
            <w:lang w:eastAsia="en-GB"/>
          </w:rPr>
          <w:t>GDP</w:t>
        </w:r>
      </w:smartTag>
      <w:r w:rsidRPr="00391088">
        <w:rPr>
          <w:rFonts w:ascii="Arial" w:hAnsi="Arial" w:cs="Arial"/>
          <w:spacing w:val="-3"/>
          <w:sz w:val="24"/>
          <w:szCs w:val="24"/>
          <w:lang w:eastAsia="en-GB"/>
        </w:rPr>
        <w:t>)</w:t>
      </w:r>
      <w:r>
        <w:rPr>
          <w:rFonts w:ascii="Arial" w:hAnsi="Arial" w:cs="Arial"/>
          <w:spacing w:val="-3"/>
          <w:sz w:val="24"/>
          <w:szCs w:val="24"/>
          <w:lang w:eastAsia="en-GB"/>
        </w:rPr>
        <w:t>.</w:t>
      </w:r>
      <w:r w:rsidRPr="00391088">
        <w:rPr>
          <w:rStyle w:val="FootnoteReference"/>
          <w:rFonts w:ascii="Arial" w:hAnsi="Arial" w:cs="Arial"/>
          <w:spacing w:val="-3"/>
          <w:sz w:val="24"/>
          <w:szCs w:val="24"/>
          <w:lang w:eastAsia="en-GB"/>
        </w:rPr>
        <w:footnoteReference w:id="1"/>
      </w:r>
      <w:r>
        <w:rPr>
          <w:rFonts w:ascii="Arial" w:hAnsi="Arial" w:cs="Arial"/>
          <w:spacing w:val="-3"/>
          <w:sz w:val="24"/>
          <w:szCs w:val="24"/>
          <w:lang w:eastAsia="en-GB"/>
        </w:rPr>
        <w:t xml:space="preserve">  It notes that despite the existing regulatory framework, many operators and networks operate on a national basis, with those who have a presence in more than one Member State continuing to operate as several ‘national’ operators rather than a single ‘European’ operator.  The Commission claims that such behaviour was not only having a negative effect of pricing, but also on consumer behaviour (though it does not adduce evidence of either). It also asserts that differences in national procedures for the management of spectrum have a negative effect on investment and the roll-out of new technologies, before considering the benefits that could arise from greater harmonisation of the application of the existing regulatory framework and procedures. </w:t>
      </w:r>
    </w:p>
    <w:p w:rsidR="008A50AC" w:rsidRDefault="008A50AC" w:rsidP="008C37D2">
      <w:pPr>
        <w:tabs>
          <w:tab w:val="left" w:pos="0"/>
        </w:tabs>
        <w:suppressAutoHyphens/>
        <w:spacing w:after="0" w:line="240" w:lineRule="auto"/>
        <w:rPr>
          <w:rFonts w:ascii="Arial" w:hAnsi="Arial" w:cs="Arial"/>
          <w:spacing w:val="-3"/>
          <w:sz w:val="24"/>
          <w:szCs w:val="24"/>
          <w:lang w:eastAsia="en-GB"/>
        </w:rPr>
      </w:pPr>
    </w:p>
    <w:p w:rsidR="008A50AC" w:rsidRDefault="008A50AC" w:rsidP="00321DD2">
      <w:pPr>
        <w:numPr>
          <w:ilvl w:val="1"/>
          <w:numId w:val="9"/>
        </w:numPr>
        <w:tabs>
          <w:tab w:val="left" w:pos="0"/>
        </w:tabs>
        <w:suppressAutoHyphens/>
        <w:spacing w:after="0" w:line="240" w:lineRule="auto"/>
        <w:rPr>
          <w:rFonts w:ascii="Arial" w:hAnsi="Arial" w:cs="Arial"/>
          <w:spacing w:val="-3"/>
          <w:sz w:val="24"/>
          <w:szCs w:val="24"/>
          <w:lang w:eastAsia="en-GB"/>
        </w:rPr>
      </w:pPr>
      <w:r>
        <w:rPr>
          <w:rFonts w:ascii="Arial" w:hAnsi="Arial" w:cs="Arial"/>
          <w:spacing w:val="-3"/>
          <w:sz w:val="24"/>
          <w:szCs w:val="24"/>
          <w:lang w:eastAsia="en-GB"/>
        </w:rPr>
        <w:t>The Communication then sets out what the Commission believes are the characteristic</w:t>
      </w:r>
      <w:r w:rsidR="00EA6675">
        <w:rPr>
          <w:rFonts w:ascii="Arial" w:hAnsi="Arial" w:cs="Arial"/>
          <w:spacing w:val="-3"/>
          <w:sz w:val="24"/>
          <w:szCs w:val="24"/>
          <w:lang w:eastAsia="en-GB"/>
        </w:rPr>
        <w:t xml:space="preserve">s </w:t>
      </w:r>
      <w:r>
        <w:rPr>
          <w:rFonts w:ascii="Arial" w:hAnsi="Arial" w:cs="Arial"/>
          <w:spacing w:val="-3"/>
          <w:sz w:val="24"/>
          <w:szCs w:val="24"/>
          <w:lang w:eastAsia="en-GB"/>
        </w:rPr>
        <w:t>of a true single market and what measures are needed to change the existing regulatory framework in order to drive the market to begin to exhibit those features.  It then notes a commitment made by the Commission at the conclusion of the 2009 review of the regulatory framework to act on the issue of open internet access before setting out four reasons why action is now needed and noting the proposals within the Regulation seek to address these.</w:t>
      </w:r>
    </w:p>
    <w:p w:rsidR="008A50AC" w:rsidRDefault="008A50AC" w:rsidP="00321DD2">
      <w:pPr>
        <w:tabs>
          <w:tab w:val="left" w:pos="0"/>
        </w:tabs>
        <w:suppressAutoHyphens/>
        <w:spacing w:after="0" w:line="240" w:lineRule="auto"/>
        <w:rPr>
          <w:rFonts w:ascii="Arial" w:hAnsi="Arial" w:cs="Arial"/>
          <w:spacing w:val="-3"/>
          <w:sz w:val="24"/>
          <w:szCs w:val="24"/>
          <w:lang w:eastAsia="en-GB"/>
        </w:rPr>
      </w:pPr>
    </w:p>
    <w:p w:rsidR="008A50AC" w:rsidRDefault="008A50AC" w:rsidP="00321DD2">
      <w:pPr>
        <w:numPr>
          <w:ilvl w:val="1"/>
          <w:numId w:val="9"/>
        </w:numPr>
        <w:tabs>
          <w:tab w:val="left" w:pos="0"/>
        </w:tabs>
        <w:suppressAutoHyphens/>
        <w:spacing w:after="0" w:line="240" w:lineRule="auto"/>
        <w:rPr>
          <w:rFonts w:ascii="Arial" w:hAnsi="Arial" w:cs="Arial"/>
          <w:spacing w:val="-3"/>
          <w:sz w:val="24"/>
          <w:szCs w:val="24"/>
          <w:lang w:eastAsia="en-GB"/>
        </w:rPr>
      </w:pPr>
      <w:r>
        <w:rPr>
          <w:rFonts w:ascii="Arial" w:hAnsi="Arial" w:cs="Arial"/>
          <w:spacing w:val="-3"/>
          <w:sz w:val="24"/>
          <w:szCs w:val="24"/>
          <w:lang w:eastAsia="en-GB"/>
        </w:rPr>
        <w:t>The Communication then considers matters relating to investment and competition, with the recently agreed Recommendation on Costing Methodologies and Non-discrimination playing a role in providing a framework that will help drive investment in new broadband infrastructure by providing legal certainty on the prices associated with network access.</w:t>
      </w:r>
    </w:p>
    <w:p w:rsidR="008A50AC" w:rsidRDefault="008A50AC" w:rsidP="001530D5">
      <w:pPr>
        <w:tabs>
          <w:tab w:val="left" w:pos="0"/>
        </w:tabs>
        <w:suppressAutoHyphens/>
        <w:spacing w:after="0" w:line="240" w:lineRule="auto"/>
        <w:rPr>
          <w:rFonts w:ascii="Arial" w:hAnsi="Arial" w:cs="Arial"/>
          <w:spacing w:val="-3"/>
          <w:sz w:val="24"/>
          <w:szCs w:val="24"/>
          <w:lang w:eastAsia="en-GB"/>
        </w:rPr>
      </w:pPr>
    </w:p>
    <w:p w:rsidR="008A50AC" w:rsidRDefault="008A50AC" w:rsidP="001530D5">
      <w:pPr>
        <w:numPr>
          <w:ilvl w:val="1"/>
          <w:numId w:val="9"/>
        </w:numPr>
        <w:tabs>
          <w:tab w:val="left" w:pos="0"/>
        </w:tabs>
        <w:suppressAutoHyphens/>
        <w:spacing w:after="0" w:line="240" w:lineRule="auto"/>
        <w:rPr>
          <w:rFonts w:ascii="Arial" w:hAnsi="Arial" w:cs="Arial"/>
          <w:spacing w:val="-3"/>
          <w:sz w:val="24"/>
          <w:szCs w:val="24"/>
          <w:lang w:eastAsia="en-GB"/>
        </w:rPr>
      </w:pPr>
      <w:r>
        <w:rPr>
          <w:rFonts w:ascii="Arial" w:hAnsi="Arial" w:cs="Arial"/>
          <w:spacing w:val="-3"/>
          <w:sz w:val="24"/>
          <w:szCs w:val="24"/>
          <w:lang w:eastAsia="en-GB"/>
        </w:rPr>
        <w:t xml:space="preserve">It then notes that the medium-term effects of the proposals will be greater freedom and opportunities for market participants and a trend towards consolidation within the </w:t>
      </w:r>
      <w:r>
        <w:rPr>
          <w:rFonts w:ascii="Arial" w:hAnsi="Arial" w:cs="Arial"/>
          <w:spacing w:val="-3"/>
          <w:sz w:val="24"/>
          <w:szCs w:val="24"/>
          <w:lang w:eastAsia="en-GB"/>
        </w:rPr>
        <w:lastRenderedPageBreak/>
        <w:t>sector, with the market developing in such a way that ex post application of competition law will be sufficient to ensure market functioning.  This situation will be addressed by the Commission further developing the existing Recommendation on relevant markets, with an expected reduction of ex-ante regulation. There is also an indication that the Commission will begin to consider what actions are needed to drive further coordination of regulatory remedies and once again raises the possibility of the creation of a single EU telecoms regulator through conducting a review.  This review will also seek to address issues relating to the perceived lack of a level playing-field</w:t>
      </w:r>
      <w:r w:rsidR="009515AA">
        <w:rPr>
          <w:rFonts w:ascii="Arial" w:hAnsi="Arial" w:cs="Arial"/>
          <w:spacing w:val="-3"/>
          <w:sz w:val="24"/>
          <w:szCs w:val="24"/>
          <w:lang w:eastAsia="en-GB"/>
        </w:rPr>
        <w:t xml:space="preserve"> for </w:t>
      </w:r>
      <w:r>
        <w:rPr>
          <w:rFonts w:ascii="Arial" w:hAnsi="Arial" w:cs="Arial"/>
          <w:spacing w:val="-3"/>
          <w:sz w:val="24"/>
          <w:szCs w:val="24"/>
          <w:lang w:eastAsia="en-GB"/>
        </w:rPr>
        <w:t xml:space="preserve">  ‘over-the-top’ services compared to telecoms services, as well as matters relating to the convergence of audio-visual and telecommunication services and markets.</w:t>
      </w:r>
    </w:p>
    <w:p w:rsidR="008A50AC" w:rsidRDefault="008A50AC" w:rsidP="001530D5">
      <w:pPr>
        <w:tabs>
          <w:tab w:val="left" w:pos="0"/>
        </w:tabs>
        <w:suppressAutoHyphens/>
        <w:spacing w:after="0" w:line="240" w:lineRule="auto"/>
        <w:rPr>
          <w:rFonts w:ascii="Arial" w:hAnsi="Arial" w:cs="Arial"/>
          <w:spacing w:val="-3"/>
          <w:sz w:val="24"/>
          <w:szCs w:val="24"/>
          <w:lang w:eastAsia="en-GB"/>
        </w:rPr>
      </w:pPr>
    </w:p>
    <w:p w:rsidR="008A50AC" w:rsidRDefault="008A50AC" w:rsidP="001530D5">
      <w:pPr>
        <w:numPr>
          <w:ilvl w:val="1"/>
          <w:numId w:val="9"/>
        </w:numPr>
        <w:tabs>
          <w:tab w:val="left" w:pos="0"/>
        </w:tabs>
        <w:suppressAutoHyphens/>
        <w:spacing w:after="0" w:line="240" w:lineRule="auto"/>
        <w:rPr>
          <w:rFonts w:ascii="Arial" w:hAnsi="Arial" w:cs="Arial"/>
          <w:spacing w:val="-3"/>
          <w:sz w:val="24"/>
          <w:szCs w:val="24"/>
          <w:lang w:eastAsia="en-GB"/>
        </w:rPr>
      </w:pPr>
      <w:r>
        <w:rPr>
          <w:rFonts w:ascii="Arial" w:hAnsi="Arial" w:cs="Arial"/>
          <w:spacing w:val="-3"/>
          <w:sz w:val="24"/>
          <w:szCs w:val="24"/>
          <w:lang w:eastAsia="en-GB"/>
        </w:rPr>
        <w:t>The Communication then concludes by reiterating the potential benefits to the EU, its businesses and its citizens from a completed telecommunications market and calls upon both Council and the European Parliament to examine and adopt the proposed Regulation as a matter of highest political priority.</w:t>
      </w:r>
    </w:p>
    <w:p w:rsidR="008A50AC" w:rsidRDefault="008A50AC" w:rsidP="00977AE2">
      <w:pPr>
        <w:tabs>
          <w:tab w:val="left" w:pos="0"/>
        </w:tabs>
        <w:suppressAutoHyphens/>
        <w:spacing w:after="0" w:line="240" w:lineRule="auto"/>
        <w:rPr>
          <w:rFonts w:ascii="Arial" w:hAnsi="Arial" w:cs="Arial"/>
          <w:spacing w:val="-3"/>
          <w:sz w:val="24"/>
          <w:szCs w:val="24"/>
          <w:lang w:eastAsia="en-GB"/>
        </w:rPr>
      </w:pPr>
    </w:p>
    <w:p w:rsidR="008A50AC" w:rsidRDefault="008A50AC" w:rsidP="0054369E">
      <w:pPr>
        <w:tabs>
          <w:tab w:val="left" w:pos="0"/>
        </w:tabs>
        <w:suppressAutoHyphens/>
        <w:spacing w:after="0" w:line="240" w:lineRule="auto"/>
        <w:ind w:left="720"/>
        <w:rPr>
          <w:rFonts w:ascii="Arial" w:hAnsi="Arial" w:cs="Arial"/>
          <w:b/>
          <w:bCs/>
          <w:spacing w:val="-3"/>
          <w:sz w:val="24"/>
          <w:szCs w:val="24"/>
          <w:lang w:eastAsia="en-GB"/>
        </w:rPr>
      </w:pPr>
      <w:r>
        <w:rPr>
          <w:rFonts w:ascii="Arial" w:hAnsi="Arial" w:cs="Arial"/>
          <w:b/>
          <w:bCs/>
          <w:spacing w:val="-3"/>
          <w:sz w:val="24"/>
          <w:szCs w:val="24"/>
          <w:lang w:eastAsia="en-GB"/>
        </w:rPr>
        <w:t>A proposal for a Regulation…(13555/13)</w:t>
      </w:r>
    </w:p>
    <w:p w:rsidR="008A50AC" w:rsidRDefault="008A50AC" w:rsidP="0054369E">
      <w:pPr>
        <w:tabs>
          <w:tab w:val="left" w:pos="0"/>
        </w:tabs>
        <w:suppressAutoHyphens/>
        <w:spacing w:after="0" w:line="240" w:lineRule="auto"/>
        <w:ind w:left="720"/>
        <w:rPr>
          <w:rFonts w:ascii="Arial" w:hAnsi="Arial" w:cs="Arial"/>
          <w:b/>
          <w:bCs/>
          <w:spacing w:val="-3"/>
          <w:sz w:val="24"/>
          <w:szCs w:val="24"/>
          <w:lang w:eastAsia="en-GB"/>
        </w:rPr>
      </w:pPr>
    </w:p>
    <w:p w:rsidR="008A50AC" w:rsidRDefault="008A50AC" w:rsidP="00916ED0">
      <w:pPr>
        <w:numPr>
          <w:ilvl w:val="1"/>
          <w:numId w:val="9"/>
        </w:numPr>
        <w:tabs>
          <w:tab w:val="left" w:pos="0"/>
        </w:tabs>
        <w:suppressAutoHyphens/>
        <w:spacing w:after="0" w:line="240" w:lineRule="auto"/>
        <w:rPr>
          <w:rFonts w:ascii="Arial" w:hAnsi="Arial" w:cs="Arial"/>
          <w:spacing w:val="-3"/>
          <w:sz w:val="24"/>
          <w:szCs w:val="24"/>
          <w:lang w:eastAsia="en-GB"/>
        </w:rPr>
      </w:pPr>
      <w:r>
        <w:rPr>
          <w:rFonts w:ascii="Arial" w:hAnsi="Arial" w:cs="Arial"/>
          <w:spacing w:val="-3"/>
          <w:sz w:val="24"/>
          <w:szCs w:val="24"/>
          <w:lang w:eastAsia="en-GB"/>
        </w:rPr>
        <w:t>The Regulation begins with the Commission’s own EM covering the Regulation (</w:t>
      </w:r>
      <w:proofErr w:type="spellStart"/>
      <w:r>
        <w:rPr>
          <w:rFonts w:ascii="Arial" w:hAnsi="Arial" w:cs="Arial"/>
          <w:spacing w:val="-3"/>
          <w:sz w:val="24"/>
          <w:szCs w:val="24"/>
          <w:lang w:eastAsia="en-GB"/>
        </w:rPr>
        <w:t>pgs</w:t>
      </w:r>
      <w:proofErr w:type="spellEnd"/>
      <w:r>
        <w:rPr>
          <w:rFonts w:ascii="Arial" w:hAnsi="Arial" w:cs="Arial"/>
          <w:spacing w:val="-3"/>
          <w:sz w:val="24"/>
          <w:szCs w:val="24"/>
          <w:lang w:eastAsia="en-GB"/>
        </w:rPr>
        <w:t xml:space="preserve"> 2 – 13), much of which is an reiteration of the points made in the associated Communication </w:t>
      </w:r>
      <w:r w:rsidR="00106683" w:rsidRPr="00106683">
        <w:rPr>
          <w:rFonts w:ascii="Arial" w:hAnsi="Arial" w:cs="Arial"/>
          <w:spacing w:val="-3"/>
          <w:sz w:val="24"/>
          <w:szCs w:val="24"/>
          <w:lang w:eastAsia="en-GB"/>
        </w:rPr>
        <w:t>(covered in paragraphs 2 to 8</w:t>
      </w:r>
      <w:r w:rsidRPr="00106683">
        <w:rPr>
          <w:rFonts w:ascii="Arial" w:hAnsi="Arial" w:cs="Arial"/>
          <w:spacing w:val="-3"/>
          <w:sz w:val="24"/>
          <w:szCs w:val="24"/>
          <w:lang w:eastAsia="en-GB"/>
        </w:rPr>
        <w:t xml:space="preserve"> above).</w:t>
      </w:r>
      <w:r>
        <w:rPr>
          <w:rFonts w:ascii="Arial" w:hAnsi="Arial" w:cs="Arial"/>
          <w:spacing w:val="-3"/>
          <w:sz w:val="24"/>
          <w:szCs w:val="24"/>
          <w:lang w:eastAsia="en-GB"/>
        </w:rPr>
        <w:t xml:space="preserve"> It contains a useful outline of the proposals and supporting arguments on pages 10 – 13 which is reproduced in Annex A of this EM, as well as explaining why the Commission of the view that a Regulation is the most appropriate instrument (page 10).</w:t>
      </w:r>
    </w:p>
    <w:p w:rsidR="008A50AC" w:rsidRDefault="008A50AC" w:rsidP="00916ED0">
      <w:pPr>
        <w:tabs>
          <w:tab w:val="left" w:pos="0"/>
        </w:tabs>
        <w:suppressAutoHyphens/>
        <w:spacing w:after="0" w:line="240" w:lineRule="auto"/>
        <w:rPr>
          <w:rFonts w:ascii="Arial" w:hAnsi="Arial" w:cs="Arial"/>
          <w:spacing w:val="-3"/>
          <w:sz w:val="24"/>
          <w:szCs w:val="24"/>
          <w:lang w:eastAsia="en-GB"/>
        </w:rPr>
      </w:pPr>
    </w:p>
    <w:p w:rsidR="008A50AC" w:rsidRDefault="008A50AC" w:rsidP="00916ED0">
      <w:pPr>
        <w:numPr>
          <w:ilvl w:val="1"/>
          <w:numId w:val="9"/>
        </w:numPr>
        <w:tabs>
          <w:tab w:val="left" w:pos="0"/>
        </w:tabs>
        <w:suppressAutoHyphens/>
        <w:spacing w:after="0" w:line="240" w:lineRule="auto"/>
        <w:rPr>
          <w:rFonts w:ascii="Arial" w:hAnsi="Arial" w:cs="Arial"/>
          <w:spacing w:val="-3"/>
          <w:sz w:val="24"/>
          <w:szCs w:val="24"/>
          <w:lang w:eastAsia="en-GB"/>
        </w:rPr>
      </w:pPr>
      <w:r>
        <w:rPr>
          <w:rFonts w:ascii="Arial" w:hAnsi="Arial" w:cs="Arial"/>
          <w:spacing w:val="-3"/>
          <w:sz w:val="24"/>
          <w:szCs w:val="24"/>
          <w:lang w:eastAsia="en-GB"/>
        </w:rPr>
        <w:t xml:space="preserve"> The Regulation then sets down the Recitals (pages 14 – 31) before moving onto the text of the Articles of the Regulation itself. The following is a summary of the Articles, as well as an outline of the effect of each. There are seven groupings of articles, each presented as a chapter and this EM follows the same format.</w:t>
      </w:r>
    </w:p>
    <w:p w:rsidR="008A50AC" w:rsidRDefault="008A50AC" w:rsidP="00795EBF">
      <w:pPr>
        <w:tabs>
          <w:tab w:val="left" w:pos="0"/>
        </w:tabs>
        <w:suppressAutoHyphens/>
        <w:spacing w:after="0" w:line="240" w:lineRule="auto"/>
        <w:ind w:left="1440"/>
        <w:rPr>
          <w:rFonts w:ascii="Arial" w:hAnsi="Arial" w:cs="Arial"/>
          <w:b/>
          <w:bCs/>
          <w:spacing w:val="-3"/>
          <w:sz w:val="24"/>
          <w:szCs w:val="24"/>
          <w:lang w:eastAsia="en-GB"/>
        </w:rPr>
      </w:pPr>
    </w:p>
    <w:p w:rsidR="008A50AC" w:rsidRDefault="008A50AC" w:rsidP="00795EBF">
      <w:pPr>
        <w:tabs>
          <w:tab w:val="left" w:pos="0"/>
        </w:tabs>
        <w:suppressAutoHyphens/>
        <w:spacing w:after="0" w:line="240" w:lineRule="auto"/>
        <w:jc w:val="center"/>
        <w:rPr>
          <w:rFonts w:ascii="Arial" w:hAnsi="Arial" w:cs="Arial"/>
          <w:b/>
          <w:bCs/>
          <w:spacing w:val="-3"/>
          <w:sz w:val="24"/>
          <w:szCs w:val="24"/>
          <w:lang w:eastAsia="en-GB"/>
        </w:rPr>
      </w:pPr>
      <w:r>
        <w:rPr>
          <w:rFonts w:ascii="Arial" w:hAnsi="Arial" w:cs="Arial"/>
          <w:b/>
          <w:bCs/>
          <w:spacing w:val="-3"/>
          <w:sz w:val="24"/>
          <w:szCs w:val="24"/>
          <w:lang w:eastAsia="en-GB"/>
        </w:rPr>
        <w:t>Chapter I – General Provisions</w:t>
      </w:r>
    </w:p>
    <w:p w:rsidR="008A50AC" w:rsidRDefault="008A50AC" w:rsidP="00795EBF">
      <w:pPr>
        <w:tabs>
          <w:tab w:val="left" w:pos="0"/>
        </w:tabs>
        <w:suppressAutoHyphens/>
        <w:spacing w:after="0" w:line="240" w:lineRule="auto"/>
        <w:jc w:val="center"/>
        <w:rPr>
          <w:rFonts w:ascii="Arial" w:hAnsi="Arial" w:cs="Arial"/>
          <w:b/>
          <w:bCs/>
          <w:spacing w:val="-3"/>
          <w:sz w:val="24"/>
          <w:szCs w:val="24"/>
          <w:lang w:eastAsia="en-GB"/>
        </w:rPr>
      </w:pPr>
      <w:r>
        <w:rPr>
          <w:rFonts w:ascii="Arial" w:hAnsi="Arial" w:cs="Arial"/>
          <w:b/>
          <w:bCs/>
          <w:spacing w:val="-3"/>
          <w:sz w:val="24"/>
          <w:szCs w:val="24"/>
          <w:lang w:eastAsia="en-GB"/>
        </w:rPr>
        <w:t>(Articles 1 - 2)</w:t>
      </w:r>
    </w:p>
    <w:p w:rsidR="008A50AC" w:rsidRDefault="008A50AC" w:rsidP="00795EBF">
      <w:pPr>
        <w:tabs>
          <w:tab w:val="left" w:pos="0"/>
        </w:tabs>
        <w:suppressAutoHyphens/>
        <w:spacing w:after="0" w:line="240" w:lineRule="auto"/>
        <w:ind w:left="1440"/>
        <w:rPr>
          <w:rFonts w:ascii="Arial" w:hAnsi="Arial" w:cs="Arial"/>
          <w:b/>
          <w:bCs/>
          <w:spacing w:val="-3"/>
          <w:sz w:val="24"/>
          <w:szCs w:val="24"/>
          <w:lang w:eastAsia="en-GB"/>
        </w:rPr>
      </w:pPr>
    </w:p>
    <w:p w:rsidR="008A50AC" w:rsidRPr="00795EBF" w:rsidRDefault="008A50AC" w:rsidP="00795EBF">
      <w:pPr>
        <w:numPr>
          <w:ilvl w:val="1"/>
          <w:numId w:val="9"/>
        </w:numPr>
        <w:tabs>
          <w:tab w:val="left" w:pos="0"/>
        </w:tabs>
        <w:suppressAutoHyphens/>
        <w:spacing w:after="0" w:line="240" w:lineRule="auto"/>
        <w:rPr>
          <w:rFonts w:ascii="Arial" w:hAnsi="Arial" w:cs="Arial"/>
          <w:b/>
          <w:bCs/>
          <w:spacing w:val="-3"/>
          <w:sz w:val="24"/>
          <w:szCs w:val="24"/>
          <w:lang w:eastAsia="en-GB"/>
        </w:rPr>
      </w:pPr>
      <w:r>
        <w:rPr>
          <w:rFonts w:ascii="Arial" w:hAnsi="Arial" w:cs="Arial"/>
          <w:b/>
          <w:bCs/>
          <w:spacing w:val="-3"/>
          <w:sz w:val="24"/>
          <w:szCs w:val="24"/>
          <w:lang w:eastAsia="en-GB"/>
        </w:rPr>
        <w:t xml:space="preserve"> </w:t>
      </w:r>
      <w:r>
        <w:rPr>
          <w:rFonts w:ascii="Arial" w:hAnsi="Arial" w:cs="Arial"/>
          <w:spacing w:val="-3"/>
          <w:sz w:val="24"/>
          <w:szCs w:val="24"/>
          <w:lang w:eastAsia="en-GB"/>
        </w:rPr>
        <w:t>These Articles are self-explanatory and reiterate elements of the preceding Commission EM and associated Communication, as well as provide definitions for terms associated with the Regulation.</w:t>
      </w:r>
    </w:p>
    <w:p w:rsidR="008A50AC" w:rsidRDefault="008A50AC" w:rsidP="00795EBF">
      <w:pPr>
        <w:tabs>
          <w:tab w:val="left" w:pos="0"/>
        </w:tabs>
        <w:suppressAutoHyphens/>
        <w:spacing w:after="0" w:line="240" w:lineRule="auto"/>
        <w:rPr>
          <w:rFonts w:ascii="Arial" w:hAnsi="Arial" w:cs="Arial"/>
          <w:spacing w:val="-3"/>
          <w:sz w:val="24"/>
          <w:szCs w:val="24"/>
          <w:lang w:eastAsia="en-GB"/>
        </w:rPr>
      </w:pPr>
    </w:p>
    <w:p w:rsidR="008A50AC" w:rsidRPr="00795EBF" w:rsidRDefault="008A50AC" w:rsidP="00795EBF">
      <w:pPr>
        <w:tabs>
          <w:tab w:val="left" w:pos="0"/>
        </w:tabs>
        <w:suppressAutoHyphens/>
        <w:spacing w:after="0" w:line="240" w:lineRule="auto"/>
        <w:jc w:val="center"/>
        <w:rPr>
          <w:rFonts w:ascii="Arial" w:hAnsi="Arial" w:cs="Arial"/>
          <w:b/>
          <w:bCs/>
          <w:spacing w:val="-3"/>
          <w:sz w:val="24"/>
          <w:szCs w:val="24"/>
          <w:lang w:eastAsia="en-GB"/>
        </w:rPr>
      </w:pPr>
      <w:r w:rsidRPr="00795EBF">
        <w:rPr>
          <w:rFonts w:ascii="Arial" w:hAnsi="Arial" w:cs="Arial"/>
          <w:b/>
          <w:bCs/>
          <w:spacing w:val="-3"/>
          <w:sz w:val="24"/>
          <w:szCs w:val="24"/>
          <w:lang w:eastAsia="en-GB"/>
        </w:rPr>
        <w:t xml:space="preserve">Chapter II – Single EU Authorisation </w:t>
      </w:r>
    </w:p>
    <w:p w:rsidR="008A50AC" w:rsidRPr="00795EBF" w:rsidRDefault="008A50AC" w:rsidP="00795EBF">
      <w:pPr>
        <w:tabs>
          <w:tab w:val="left" w:pos="0"/>
        </w:tabs>
        <w:suppressAutoHyphens/>
        <w:spacing w:after="0" w:line="240" w:lineRule="auto"/>
        <w:jc w:val="center"/>
        <w:rPr>
          <w:rFonts w:ascii="Arial" w:hAnsi="Arial" w:cs="Arial"/>
          <w:b/>
          <w:bCs/>
          <w:spacing w:val="-3"/>
          <w:sz w:val="24"/>
          <w:szCs w:val="24"/>
          <w:lang w:eastAsia="en-GB"/>
        </w:rPr>
      </w:pPr>
      <w:r w:rsidRPr="00795EBF">
        <w:rPr>
          <w:rFonts w:ascii="Arial" w:hAnsi="Arial" w:cs="Arial"/>
          <w:b/>
          <w:bCs/>
          <w:spacing w:val="-3"/>
          <w:sz w:val="24"/>
          <w:szCs w:val="24"/>
          <w:lang w:eastAsia="en-GB"/>
        </w:rPr>
        <w:t>(Articles 3 – 7)</w:t>
      </w:r>
    </w:p>
    <w:p w:rsidR="008A50AC" w:rsidRDefault="008A50AC" w:rsidP="00795EBF">
      <w:pPr>
        <w:tabs>
          <w:tab w:val="left" w:pos="0"/>
        </w:tabs>
        <w:suppressAutoHyphens/>
        <w:spacing w:after="0" w:line="240" w:lineRule="auto"/>
        <w:rPr>
          <w:rFonts w:ascii="Arial" w:hAnsi="Arial" w:cs="Arial"/>
          <w:spacing w:val="-3"/>
          <w:sz w:val="24"/>
          <w:szCs w:val="24"/>
          <w:lang w:eastAsia="en-GB"/>
        </w:rPr>
      </w:pPr>
    </w:p>
    <w:p w:rsidR="008A50AC" w:rsidRDefault="008A50AC" w:rsidP="00795EBF">
      <w:pPr>
        <w:numPr>
          <w:ilvl w:val="1"/>
          <w:numId w:val="9"/>
        </w:numPr>
        <w:tabs>
          <w:tab w:val="left" w:pos="0"/>
        </w:tabs>
        <w:suppressAutoHyphens/>
        <w:spacing w:after="0" w:line="240" w:lineRule="auto"/>
        <w:rPr>
          <w:rFonts w:ascii="Arial" w:hAnsi="Arial" w:cs="Arial"/>
          <w:spacing w:val="-3"/>
          <w:sz w:val="24"/>
          <w:szCs w:val="24"/>
          <w:lang w:eastAsia="en-GB"/>
        </w:rPr>
      </w:pPr>
      <w:r>
        <w:rPr>
          <w:rFonts w:ascii="Arial" w:hAnsi="Arial" w:cs="Arial"/>
          <w:spacing w:val="-3"/>
          <w:sz w:val="24"/>
          <w:szCs w:val="24"/>
          <w:lang w:eastAsia="en-GB"/>
        </w:rPr>
        <w:t>These articles seek to create a system whereby any provider of electronic communication services would require a single authorisation from the Member State’s national regulatory authority (NRA) in which they are based in order to be able to provide their services across the EU28; parallels to this scheme are the single banking licence and the CE-marking scheme.</w:t>
      </w:r>
    </w:p>
    <w:p w:rsidR="008A50AC" w:rsidRDefault="008A50AC" w:rsidP="00492102">
      <w:pPr>
        <w:tabs>
          <w:tab w:val="left" w:pos="0"/>
        </w:tabs>
        <w:suppressAutoHyphens/>
        <w:spacing w:after="0" w:line="240" w:lineRule="auto"/>
        <w:rPr>
          <w:rFonts w:ascii="Arial" w:hAnsi="Arial" w:cs="Arial"/>
          <w:spacing w:val="-3"/>
          <w:sz w:val="24"/>
          <w:szCs w:val="24"/>
          <w:lang w:eastAsia="en-GB"/>
        </w:rPr>
      </w:pPr>
    </w:p>
    <w:p w:rsidR="008A50AC" w:rsidRDefault="008A50AC" w:rsidP="00795EBF">
      <w:pPr>
        <w:numPr>
          <w:ilvl w:val="1"/>
          <w:numId w:val="9"/>
        </w:numPr>
        <w:tabs>
          <w:tab w:val="left" w:pos="0"/>
        </w:tabs>
        <w:suppressAutoHyphens/>
        <w:spacing w:after="0" w:line="240" w:lineRule="auto"/>
        <w:rPr>
          <w:rFonts w:ascii="Arial" w:hAnsi="Arial" w:cs="Arial"/>
          <w:spacing w:val="-3"/>
          <w:sz w:val="24"/>
          <w:szCs w:val="24"/>
          <w:lang w:eastAsia="en-GB"/>
        </w:rPr>
      </w:pPr>
      <w:r>
        <w:rPr>
          <w:rFonts w:ascii="Arial" w:hAnsi="Arial" w:cs="Arial"/>
          <w:spacing w:val="-3"/>
          <w:sz w:val="24"/>
          <w:szCs w:val="24"/>
          <w:lang w:eastAsia="en-GB"/>
        </w:rPr>
        <w:lastRenderedPageBreak/>
        <w:t xml:space="preserve"> The articles also set out provisions regarding the responsibilities of the authorising NRA and, in effect, gives responsibility to that NRA to take action, even if the activities that require intervention are conducted in another Member State, as well as placing an obligation on that NRA to behave in the same way as if the negative behaviour was occurring in its home Member State.</w:t>
      </w:r>
    </w:p>
    <w:p w:rsidR="008A50AC" w:rsidRDefault="008A50AC" w:rsidP="00492102">
      <w:pPr>
        <w:tabs>
          <w:tab w:val="left" w:pos="0"/>
        </w:tabs>
        <w:suppressAutoHyphens/>
        <w:spacing w:after="0" w:line="240" w:lineRule="auto"/>
        <w:rPr>
          <w:rFonts w:ascii="Arial" w:hAnsi="Arial" w:cs="Arial"/>
          <w:spacing w:val="-3"/>
          <w:sz w:val="24"/>
          <w:szCs w:val="24"/>
          <w:lang w:eastAsia="en-GB"/>
        </w:rPr>
      </w:pPr>
    </w:p>
    <w:p w:rsidR="008A50AC" w:rsidRPr="00492102" w:rsidRDefault="008A50AC" w:rsidP="00492102">
      <w:pPr>
        <w:tabs>
          <w:tab w:val="left" w:pos="0"/>
        </w:tabs>
        <w:suppressAutoHyphens/>
        <w:spacing w:after="0" w:line="240" w:lineRule="auto"/>
        <w:jc w:val="center"/>
        <w:rPr>
          <w:rFonts w:ascii="Arial" w:hAnsi="Arial" w:cs="Arial"/>
          <w:b/>
          <w:bCs/>
          <w:spacing w:val="-3"/>
          <w:sz w:val="24"/>
          <w:szCs w:val="24"/>
          <w:lang w:eastAsia="en-GB"/>
        </w:rPr>
      </w:pPr>
      <w:r w:rsidRPr="00492102">
        <w:rPr>
          <w:rFonts w:ascii="Arial" w:hAnsi="Arial" w:cs="Arial"/>
          <w:b/>
          <w:bCs/>
          <w:spacing w:val="-3"/>
          <w:sz w:val="24"/>
          <w:szCs w:val="24"/>
          <w:lang w:eastAsia="en-GB"/>
        </w:rPr>
        <w:t xml:space="preserve">Chapter </w:t>
      </w:r>
      <w:smartTag w:uri="urn:schemas-microsoft-com:office:smarttags" w:element="stockticker">
        <w:r w:rsidRPr="00492102">
          <w:rPr>
            <w:rFonts w:ascii="Arial" w:hAnsi="Arial" w:cs="Arial"/>
            <w:b/>
            <w:bCs/>
            <w:spacing w:val="-3"/>
            <w:sz w:val="24"/>
            <w:szCs w:val="24"/>
            <w:lang w:eastAsia="en-GB"/>
          </w:rPr>
          <w:t>III</w:t>
        </w:r>
      </w:smartTag>
      <w:r w:rsidRPr="00492102">
        <w:rPr>
          <w:rFonts w:ascii="Arial" w:hAnsi="Arial" w:cs="Arial"/>
          <w:b/>
          <w:bCs/>
          <w:spacing w:val="-3"/>
          <w:sz w:val="24"/>
          <w:szCs w:val="24"/>
          <w:lang w:eastAsia="en-GB"/>
        </w:rPr>
        <w:t xml:space="preserve"> – European Inputs</w:t>
      </w:r>
    </w:p>
    <w:p w:rsidR="008A50AC" w:rsidRDefault="008A50AC" w:rsidP="00492102">
      <w:pPr>
        <w:tabs>
          <w:tab w:val="left" w:pos="0"/>
        </w:tabs>
        <w:suppressAutoHyphens/>
        <w:spacing w:after="0" w:line="240" w:lineRule="auto"/>
        <w:jc w:val="center"/>
        <w:rPr>
          <w:rFonts w:ascii="Arial" w:hAnsi="Arial" w:cs="Arial"/>
          <w:b/>
          <w:bCs/>
          <w:spacing w:val="-3"/>
          <w:sz w:val="24"/>
          <w:szCs w:val="24"/>
          <w:lang w:eastAsia="en-GB"/>
        </w:rPr>
      </w:pPr>
    </w:p>
    <w:p w:rsidR="008A50AC" w:rsidRPr="00492102" w:rsidRDefault="008A50AC" w:rsidP="00492102">
      <w:pPr>
        <w:tabs>
          <w:tab w:val="left" w:pos="0"/>
        </w:tabs>
        <w:suppressAutoHyphens/>
        <w:spacing w:after="0" w:line="240" w:lineRule="auto"/>
        <w:jc w:val="center"/>
        <w:rPr>
          <w:rFonts w:ascii="Arial" w:hAnsi="Arial" w:cs="Arial"/>
          <w:b/>
          <w:bCs/>
          <w:spacing w:val="-3"/>
          <w:sz w:val="24"/>
          <w:szCs w:val="24"/>
          <w:lang w:eastAsia="en-GB"/>
        </w:rPr>
      </w:pPr>
      <w:r w:rsidRPr="00492102">
        <w:rPr>
          <w:rFonts w:ascii="Arial" w:hAnsi="Arial" w:cs="Arial"/>
          <w:b/>
          <w:bCs/>
          <w:spacing w:val="-3"/>
          <w:sz w:val="24"/>
          <w:szCs w:val="24"/>
          <w:lang w:eastAsia="en-GB"/>
        </w:rPr>
        <w:t>Section 1 – Coordination of use of radio spectrum within the single market</w:t>
      </w:r>
    </w:p>
    <w:p w:rsidR="008A50AC" w:rsidRDefault="008A50AC" w:rsidP="00492102">
      <w:pPr>
        <w:tabs>
          <w:tab w:val="left" w:pos="0"/>
        </w:tabs>
        <w:suppressAutoHyphens/>
        <w:spacing w:after="0" w:line="240" w:lineRule="auto"/>
        <w:jc w:val="center"/>
        <w:rPr>
          <w:rFonts w:ascii="Arial" w:hAnsi="Arial" w:cs="Arial"/>
          <w:b/>
          <w:bCs/>
          <w:spacing w:val="-3"/>
          <w:sz w:val="24"/>
          <w:szCs w:val="24"/>
          <w:lang w:eastAsia="en-GB"/>
        </w:rPr>
      </w:pPr>
      <w:r w:rsidRPr="00492102">
        <w:rPr>
          <w:rFonts w:ascii="Arial" w:hAnsi="Arial" w:cs="Arial"/>
          <w:b/>
          <w:bCs/>
          <w:spacing w:val="-3"/>
          <w:sz w:val="24"/>
          <w:szCs w:val="24"/>
          <w:lang w:eastAsia="en-GB"/>
        </w:rPr>
        <w:t>(Articles 8 – 16)</w:t>
      </w:r>
    </w:p>
    <w:p w:rsidR="008A50AC" w:rsidRDefault="008A50AC" w:rsidP="00492102">
      <w:pPr>
        <w:tabs>
          <w:tab w:val="left" w:pos="0"/>
        </w:tabs>
        <w:suppressAutoHyphens/>
        <w:spacing w:after="0" w:line="240" w:lineRule="auto"/>
        <w:jc w:val="center"/>
        <w:rPr>
          <w:rFonts w:ascii="Arial" w:hAnsi="Arial" w:cs="Arial"/>
          <w:b/>
          <w:bCs/>
          <w:spacing w:val="-3"/>
          <w:sz w:val="24"/>
          <w:szCs w:val="24"/>
          <w:lang w:eastAsia="en-GB"/>
        </w:rPr>
      </w:pPr>
    </w:p>
    <w:p w:rsidR="008A50AC" w:rsidRPr="008A239F" w:rsidRDefault="008A50AC" w:rsidP="00492102">
      <w:pPr>
        <w:numPr>
          <w:ilvl w:val="1"/>
          <w:numId w:val="9"/>
        </w:numPr>
        <w:tabs>
          <w:tab w:val="left" w:pos="0"/>
        </w:tabs>
        <w:suppressAutoHyphens/>
        <w:spacing w:after="0" w:line="240" w:lineRule="auto"/>
        <w:rPr>
          <w:rFonts w:ascii="Arial" w:hAnsi="Arial" w:cs="Arial"/>
          <w:b/>
          <w:bCs/>
          <w:spacing w:val="-3"/>
          <w:sz w:val="24"/>
          <w:szCs w:val="24"/>
          <w:lang w:eastAsia="en-GB"/>
        </w:rPr>
      </w:pPr>
      <w:r>
        <w:rPr>
          <w:rFonts w:ascii="Arial" w:hAnsi="Arial" w:cs="Arial"/>
          <w:b/>
          <w:bCs/>
          <w:spacing w:val="-3"/>
          <w:sz w:val="24"/>
          <w:szCs w:val="24"/>
          <w:lang w:eastAsia="en-GB"/>
        </w:rPr>
        <w:t xml:space="preserve"> </w:t>
      </w:r>
      <w:r>
        <w:rPr>
          <w:rFonts w:ascii="Arial" w:hAnsi="Arial" w:cs="Arial"/>
          <w:spacing w:val="-3"/>
          <w:sz w:val="24"/>
          <w:szCs w:val="24"/>
          <w:lang w:eastAsia="en-GB"/>
        </w:rPr>
        <w:t>This group of articles sets out a number of proposals related to the management of spectrum within the EU. They are:</w:t>
      </w:r>
    </w:p>
    <w:p w:rsidR="008A50AC" w:rsidRDefault="008A50AC" w:rsidP="008A239F">
      <w:pPr>
        <w:tabs>
          <w:tab w:val="left" w:pos="0"/>
        </w:tabs>
        <w:suppressAutoHyphens/>
        <w:spacing w:after="0" w:line="240" w:lineRule="auto"/>
        <w:rPr>
          <w:rFonts w:ascii="Arial" w:hAnsi="Arial" w:cs="Arial"/>
          <w:spacing w:val="-3"/>
          <w:sz w:val="24"/>
          <w:szCs w:val="24"/>
          <w:lang w:eastAsia="en-GB"/>
        </w:rPr>
      </w:pPr>
    </w:p>
    <w:p w:rsidR="008A50AC" w:rsidRPr="008A239F" w:rsidRDefault="008A50AC" w:rsidP="008A239F">
      <w:pPr>
        <w:numPr>
          <w:ilvl w:val="0"/>
          <w:numId w:val="19"/>
        </w:numPr>
        <w:tabs>
          <w:tab w:val="left" w:pos="0"/>
        </w:tabs>
        <w:suppressAutoHyphens/>
        <w:spacing w:after="0" w:line="240" w:lineRule="auto"/>
        <w:rPr>
          <w:rFonts w:ascii="Arial" w:hAnsi="Arial" w:cs="Arial"/>
          <w:b/>
          <w:bCs/>
          <w:spacing w:val="-3"/>
          <w:sz w:val="24"/>
          <w:szCs w:val="24"/>
          <w:lang w:eastAsia="en-GB"/>
        </w:rPr>
      </w:pPr>
      <w:r w:rsidRPr="008A239F">
        <w:rPr>
          <w:rFonts w:ascii="Arial" w:hAnsi="Arial" w:cs="Arial"/>
          <w:spacing w:val="-3"/>
          <w:sz w:val="24"/>
          <w:szCs w:val="24"/>
          <w:u w:val="single"/>
          <w:lang w:eastAsia="en-GB"/>
        </w:rPr>
        <w:t>An obligation on Member States to notify the Commission whenever a general authorisation or individual rights to spectrum is being granted</w:t>
      </w:r>
      <w:r>
        <w:rPr>
          <w:rFonts w:ascii="Arial" w:hAnsi="Arial" w:cs="Arial"/>
          <w:spacing w:val="-3"/>
          <w:sz w:val="24"/>
          <w:szCs w:val="24"/>
          <w:lang w:eastAsia="en-GB"/>
        </w:rPr>
        <w:t>. This decision would be subject to approval or amendment by the Commission in a process that mirrors existing provisions with the current Framework for market measures;</w:t>
      </w:r>
    </w:p>
    <w:p w:rsidR="008A50AC" w:rsidRDefault="008A50AC" w:rsidP="008A239F">
      <w:pPr>
        <w:tabs>
          <w:tab w:val="left" w:pos="0"/>
        </w:tabs>
        <w:suppressAutoHyphens/>
        <w:spacing w:after="0" w:line="240" w:lineRule="auto"/>
        <w:rPr>
          <w:rFonts w:ascii="Arial" w:hAnsi="Arial" w:cs="Arial"/>
          <w:spacing w:val="-3"/>
          <w:sz w:val="24"/>
          <w:szCs w:val="24"/>
          <w:lang w:eastAsia="en-GB"/>
        </w:rPr>
      </w:pPr>
    </w:p>
    <w:p w:rsidR="008A50AC" w:rsidRPr="00341F3D" w:rsidRDefault="008A50AC" w:rsidP="008A239F">
      <w:pPr>
        <w:numPr>
          <w:ilvl w:val="0"/>
          <w:numId w:val="19"/>
        </w:numPr>
        <w:tabs>
          <w:tab w:val="left" w:pos="0"/>
        </w:tabs>
        <w:suppressAutoHyphens/>
        <w:spacing w:after="0" w:line="240" w:lineRule="auto"/>
        <w:rPr>
          <w:rFonts w:ascii="Arial" w:hAnsi="Arial" w:cs="Arial"/>
          <w:b/>
          <w:bCs/>
          <w:spacing w:val="-3"/>
          <w:sz w:val="24"/>
          <w:szCs w:val="24"/>
          <w:lang w:eastAsia="en-GB"/>
        </w:rPr>
      </w:pPr>
      <w:r w:rsidRPr="008A239F">
        <w:rPr>
          <w:rFonts w:ascii="Arial" w:hAnsi="Arial" w:cs="Arial"/>
          <w:spacing w:val="-3"/>
          <w:sz w:val="24"/>
          <w:szCs w:val="24"/>
          <w:u w:val="single"/>
          <w:lang w:eastAsia="en-GB"/>
        </w:rPr>
        <w:t>Harmonised procedures for broadband spectrum assignments</w:t>
      </w:r>
      <w:r>
        <w:rPr>
          <w:rFonts w:ascii="Arial" w:hAnsi="Arial" w:cs="Arial"/>
          <w:spacing w:val="-3"/>
          <w:sz w:val="24"/>
          <w:szCs w:val="24"/>
          <w:lang w:eastAsia="en-GB"/>
        </w:rPr>
        <w:t xml:space="preserve"> that would cover not only new bands that would be harmonised (such as 700MHz) but also existing harmonised bands. Such actions would include common timetables for granting rights, harmonisation of licence durations (both new and existing), setting dates for the termination of existing uses of spectrum to enable the spectrum to be used for broadband and actions that the Commission can take to ensure Member State compliance with such measures.</w:t>
      </w:r>
    </w:p>
    <w:p w:rsidR="008A50AC" w:rsidRDefault="008A50AC" w:rsidP="00341F3D">
      <w:pPr>
        <w:tabs>
          <w:tab w:val="left" w:pos="0"/>
        </w:tabs>
        <w:suppressAutoHyphens/>
        <w:spacing w:after="0" w:line="240" w:lineRule="auto"/>
        <w:rPr>
          <w:rFonts w:ascii="Arial" w:hAnsi="Arial" w:cs="Arial"/>
          <w:b/>
          <w:bCs/>
          <w:spacing w:val="-3"/>
          <w:sz w:val="24"/>
          <w:szCs w:val="24"/>
          <w:lang w:eastAsia="en-GB"/>
        </w:rPr>
      </w:pPr>
    </w:p>
    <w:p w:rsidR="008A50AC" w:rsidRDefault="008A50AC" w:rsidP="00341F3D">
      <w:pPr>
        <w:tabs>
          <w:tab w:val="left" w:pos="0"/>
        </w:tabs>
        <w:suppressAutoHyphens/>
        <w:spacing w:after="0" w:line="240" w:lineRule="auto"/>
        <w:jc w:val="center"/>
        <w:rPr>
          <w:rFonts w:ascii="Arial" w:hAnsi="Arial" w:cs="Arial"/>
          <w:b/>
          <w:bCs/>
          <w:spacing w:val="-3"/>
          <w:sz w:val="24"/>
          <w:szCs w:val="24"/>
          <w:lang w:eastAsia="en-GB"/>
        </w:rPr>
      </w:pPr>
      <w:r>
        <w:rPr>
          <w:rFonts w:ascii="Arial" w:hAnsi="Arial" w:cs="Arial"/>
          <w:b/>
          <w:bCs/>
          <w:spacing w:val="-3"/>
          <w:sz w:val="24"/>
          <w:szCs w:val="24"/>
          <w:lang w:eastAsia="en-GB"/>
        </w:rPr>
        <w:t>Section 2 – European virtual access products</w:t>
      </w:r>
    </w:p>
    <w:p w:rsidR="008A50AC" w:rsidRDefault="008A50AC" w:rsidP="00341F3D">
      <w:pPr>
        <w:tabs>
          <w:tab w:val="left" w:pos="0"/>
        </w:tabs>
        <w:suppressAutoHyphens/>
        <w:spacing w:after="0" w:line="240" w:lineRule="auto"/>
        <w:jc w:val="center"/>
        <w:rPr>
          <w:rFonts w:ascii="Arial" w:hAnsi="Arial" w:cs="Arial"/>
          <w:b/>
          <w:bCs/>
          <w:spacing w:val="-3"/>
          <w:sz w:val="24"/>
          <w:szCs w:val="24"/>
          <w:lang w:eastAsia="en-GB"/>
        </w:rPr>
      </w:pPr>
      <w:r>
        <w:rPr>
          <w:rFonts w:ascii="Arial" w:hAnsi="Arial" w:cs="Arial"/>
          <w:b/>
          <w:bCs/>
          <w:spacing w:val="-3"/>
          <w:sz w:val="24"/>
          <w:szCs w:val="24"/>
          <w:lang w:eastAsia="en-GB"/>
        </w:rPr>
        <w:t>(Articles 17 – 20)</w:t>
      </w:r>
    </w:p>
    <w:p w:rsidR="008A50AC" w:rsidRDefault="008A50AC" w:rsidP="00341F3D">
      <w:pPr>
        <w:tabs>
          <w:tab w:val="left" w:pos="0"/>
        </w:tabs>
        <w:suppressAutoHyphens/>
        <w:spacing w:after="0" w:line="240" w:lineRule="auto"/>
        <w:jc w:val="center"/>
        <w:rPr>
          <w:rFonts w:ascii="Arial" w:hAnsi="Arial" w:cs="Arial"/>
          <w:b/>
          <w:bCs/>
          <w:spacing w:val="-3"/>
          <w:sz w:val="24"/>
          <w:szCs w:val="24"/>
          <w:lang w:eastAsia="en-GB"/>
        </w:rPr>
      </w:pPr>
    </w:p>
    <w:p w:rsidR="008A50AC" w:rsidRPr="00341F3D" w:rsidRDefault="008A50AC" w:rsidP="00341F3D">
      <w:pPr>
        <w:numPr>
          <w:ilvl w:val="1"/>
          <w:numId w:val="9"/>
        </w:numPr>
        <w:tabs>
          <w:tab w:val="left" w:pos="0"/>
        </w:tabs>
        <w:suppressAutoHyphens/>
        <w:spacing w:after="0" w:line="240" w:lineRule="auto"/>
        <w:rPr>
          <w:rFonts w:ascii="Arial" w:hAnsi="Arial" w:cs="Arial"/>
          <w:b/>
          <w:bCs/>
          <w:spacing w:val="-3"/>
          <w:sz w:val="24"/>
          <w:szCs w:val="24"/>
          <w:lang w:eastAsia="en-GB"/>
        </w:rPr>
      </w:pPr>
      <w:r>
        <w:rPr>
          <w:rFonts w:ascii="Arial" w:hAnsi="Arial" w:cs="Arial"/>
          <w:b/>
          <w:bCs/>
          <w:spacing w:val="-3"/>
          <w:sz w:val="24"/>
          <w:szCs w:val="24"/>
          <w:lang w:eastAsia="en-GB"/>
        </w:rPr>
        <w:t xml:space="preserve"> </w:t>
      </w:r>
      <w:r>
        <w:rPr>
          <w:rFonts w:ascii="Arial" w:hAnsi="Arial" w:cs="Arial"/>
          <w:spacing w:val="-3"/>
          <w:sz w:val="24"/>
          <w:szCs w:val="24"/>
          <w:lang w:eastAsia="en-GB"/>
        </w:rPr>
        <w:t>These Articles place on obligation on operators to provide two forms of wholesale access products for Next Generation Access (NGA) networks; the aim of which is to drive harmonisation</w:t>
      </w:r>
      <w:r w:rsidR="003E5F0D">
        <w:rPr>
          <w:rFonts w:ascii="Arial" w:hAnsi="Arial" w:cs="Arial"/>
          <w:spacing w:val="-3"/>
          <w:sz w:val="24"/>
          <w:szCs w:val="24"/>
          <w:lang w:eastAsia="en-GB"/>
        </w:rPr>
        <w:t xml:space="preserve"> of existing wholesale products which are subject to a variety of technical requirements.</w:t>
      </w:r>
    </w:p>
    <w:p w:rsidR="008A50AC" w:rsidRDefault="008A50AC" w:rsidP="00341F3D">
      <w:pPr>
        <w:tabs>
          <w:tab w:val="left" w:pos="0"/>
        </w:tabs>
        <w:suppressAutoHyphens/>
        <w:spacing w:after="0" w:line="240" w:lineRule="auto"/>
        <w:rPr>
          <w:rFonts w:ascii="Arial" w:hAnsi="Arial" w:cs="Arial"/>
          <w:spacing w:val="-3"/>
          <w:sz w:val="24"/>
          <w:szCs w:val="24"/>
          <w:lang w:eastAsia="en-GB"/>
        </w:rPr>
      </w:pPr>
    </w:p>
    <w:p w:rsidR="00EB4F71" w:rsidRPr="00EB4F71" w:rsidRDefault="008A50AC" w:rsidP="00EB4F71">
      <w:pPr>
        <w:numPr>
          <w:ilvl w:val="1"/>
          <w:numId w:val="9"/>
        </w:numPr>
        <w:tabs>
          <w:tab w:val="left" w:pos="0"/>
        </w:tabs>
        <w:suppressAutoHyphens/>
        <w:spacing w:after="0" w:line="240" w:lineRule="auto"/>
        <w:rPr>
          <w:rFonts w:ascii="Arial" w:hAnsi="Arial" w:cs="Arial"/>
          <w:b/>
          <w:bCs/>
          <w:spacing w:val="-3"/>
          <w:sz w:val="24"/>
          <w:szCs w:val="24"/>
          <w:lang w:eastAsia="en-GB"/>
        </w:rPr>
      </w:pPr>
      <w:r>
        <w:rPr>
          <w:rFonts w:ascii="Arial" w:hAnsi="Arial" w:cs="Arial"/>
          <w:spacing w:val="-3"/>
          <w:sz w:val="24"/>
          <w:szCs w:val="24"/>
          <w:lang w:eastAsia="en-GB"/>
        </w:rPr>
        <w:t>The first is an access product that should be provided by operators who have significant market power (SMP): the European virtual access product and the second to be provided by all NGA networks: the Assured service quality (ASQ) connectivity product.</w:t>
      </w:r>
    </w:p>
    <w:p w:rsidR="00EB4F71" w:rsidRDefault="00EB4F71" w:rsidP="00EB4F71">
      <w:pPr>
        <w:tabs>
          <w:tab w:val="left" w:pos="0"/>
        </w:tabs>
        <w:suppressAutoHyphens/>
        <w:spacing w:after="0" w:line="240" w:lineRule="auto"/>
        <w:rPr>
          <w:rFonts w:ascii="Arial" w:hAnsi="Arial" w:cs="Arial"/>
          <w:spacing w:val="-3"/>
          <w:sz w:val="24"/>
          <w:szCs w:val="24"/>
          <w:lang w:eastAsia="en-GB"/>
        </w:rPr>
      </w:pPr>
    </w:p>
    <w:p w:rsidR="00EB4F71" w:rsidRDefault="00EB4F71" w:rsidP="00EB4F71">
      <w:pPr>
        <w:tabs>
          <w:tab w:val="left" w:pos="0"/>
        </w:tabs>
        <w:suppressAutoHyphens/>
        <w:spacing w:after="0" w:line="240" w:lineRule="auto"/>
        <w:jc w:val="center"/>
        <w:rPr>
          <w:rFonts w:ascii="Arial" w:hAnsi="Arial" w:cs="Arial"/>
          <w:b/>
          <w:spacing w:val="-3"/>
          <w:sz w:val="24"/>
          <w:szCs w:val="24"/>
          <w:lang w:eastAsia="en-GB"/>
        </w:rPr>
      </w:pPr>
      <w:r w:rsidRPr="003E5F0D">
        <w:rPr>
          <w:rFonts w:ascii="Arial" w:hAnsi="Arial" w:cs="Arial"/>
          <w:b/>
          <w:spacing w:val="-3"/>
          <w:sz w:val="24"/>
          <w:szCs w:val="24"/>
          <w:lang w:eastAsia="en-GB"/>
        </w:rPr>
        <w:t>Chapter IV – Harmonised rights of end-users</w:t>
      </w:r>
    </w:p>
    <w:p w:rsidR="00EB4F71" w:rsidRDefault="00EB4F71" w:rsidP="00EB4F71">
      <w:pPr>
        <w:tabs>
          <w:tab w:val="left" w:pos="0"/>
        </w:tabs>
        <w:suppressAutoHyphens/>
        <w:spacing w:after="0" w:line="240" w:lineRule="auto"/>
        <w:jc w:val="center"/>
        <w:rPr>
          <w:rFonts w:ascii="Arial" w:hAnsi="Arial" w:cs="Arial"/>
          <w:b/>
          <w:spacing w:val="-3"/>
          <w:sz w:val="24"/>
          <w:szCs w:val="24"/>
          <w:lang w:eastAsia="en-GB"/>
        </w:rPr>
      </w:pPr>
    </w:p>
    <w:p w:rsidR="00EB4F71" w:rsidRDefault="00EB4F71" w:rsidP="00EB4F71">
      <w:pPr>
        <w:tabs>
          <w:tab w:val="left" w:pos="0"/>
        </w:tabs>
        <w:suppressAutoHyphens/>
        <w:spacing w:after="0" w:line="240" w:lineRule="auto"/>
        <w:jc w:val="center"/>
        <w:rPr>
          <w:rFonts w:ascii="Arial" w:hAnsi="Arial" w:cs="Arial"/>
          <w:b/>
          <w:spacing w:val="-3"/>
          <w:sz w:val="24"/>
          <w:szCs w:val="24"/>
          <w:lang w:eastAsia="en-GB"/>
        </w:rPr>
      </w:pPr>
      <w:r>
        <w:rPr>
          <w:rFonts w:ascii="Arial" w:hAnsi="Arial" w:cs="Arial"/>
          <w:b/>
          <w:spacing w:val="-3"/>
          <w:sz w:val="24"/>
          <w:szCs w:val="24"/>
          <w:lang w:eastAsia="en-GB"/>
        </w:rPr>
        <w:t>Costs of international calls and SMS (Article 21)</w:t>
      </w:r>
    </w:p>
    <w:p w:rsidR="00EB4F71" w:rsidRDefault="00EB4F71" w:rsidP="00EB4F71">
      <w:pPr>
        <w:tabs>
          <w:tab w:val="left" w:pos="0"/>
        </w:tabs>
        <w:suppressAutoHyphens/>
        <w:spacing w:after="0" w:line="240" w:lineRule="auto"/>
        <w:rPr>
          <w:rFonts w:ascii="Arial" w:hAnsi="Arial" w:cs="Arial"/>
          <w:b/>
          <w:bCs/>
          <w:spacing w:val="-3"/>
          <w:sz w:val="24"/>
          <w:szCs w:val="24"/>
          <w:lang w:eastAsia="en-GB"/>
        </w:rPr>
      </w:pPr>
    </w:p>
    <w:p w:rsidR="00EB4F71" w:rsidRPr="00EB4F71" w:rsidRDefault="009515AA" w:rsidP="00EB4F71">
      <w:pPr>
        <w:numPr>
          <w:ilvl w:val="1"/>
          <w:numId w:val="9"/>
        </w:numPr>
        <w:tabs>
          <w:tab w:val="left" w:pos="0"/>
        </w:tabs>
        <w:suppressAutoHyphens/>
        <w:spacing w:after="0" w:line="240" w:lineRule="auto"/>
        <w:rPr>
          <w:rFonts w:ascii="Arial" w:hAnsi="Arial" w:cs="Arial"/>
          <w:b/>
          <w:bCs/>
          <w:spacing w:val="-3"/>
          <w:sz w:val="24"/>
          <w:szCs w:val="24"/>
          <w:lang w:eastAsia="en-GB"/>
        </w:rPr>
      </w:pPr>
      <w:r>
        <w:rPr>
          <w:rFonts w:ascii="Arial" w:hAnsi="Arial" w:cs="Arial"/>
          <w:bCs/>
          <w:spacing w:val="-3"/>
          <w:sz w:val="24"/>
          <w:szCs w:val="24"/>
          <w:lang w:eastAsia="en-GB"/>
        </w:rPr>
        <w:t xml:space="preserve"> The Regulation proposes that all intra-EU calls from fixed lines should not be charged higher than domestic call rates unless higher rates can be objectively justified, </w:t>
      </w:r>
      <w:proofErr w:type="spellStart"/>
      <w:r>
        <w:rPr>
          <w:rFonts w:ascii="Arial" w:hAnsi="Arial" w:cs="Arial"/>
          <w:bCs/>
          <w:spacing w:val="-3"/>
          <w:sz w:val="24"/>
          <w:szCs w:val="24"/>
          <w:lang w:eastAsia="en-GB"/>
        </w:rPr>
        <w:t>eg</w:t>
      </w:r>
      <w:proofErr w:type="spellEnd"/>
      <w:r>
        <w:rPr>
          <w:rFonts w:ascii="Arial" w:hAnsi="Arial" w:cs="Arial"/>
          <w:bCs/>
          <w:spacing w:val="-3"/>
          <w:sz w:val="24"/>
          <w:szCs w:val="24"/>
          <w:lang w:eastAsia="en-GB"/>
        </w:rPr>
        <w:t xml:space="preserve"> by </w:t>
      </w:r>
      <w:r>
        <w:rPr>
          <w:rFonts w:ascii="Arial" w:hAnsi="Arial" w:cs="Arial"/>
          <w:bCs/>
          <w:spacing w:val="-3"/>
          <w:sz w:val="24"/>
          <w:szCs w:val="24"/>
          <w:lang w:eastAsia="en-GB"/>
        </w:rPr>
        <w:lastRenderedPageBreak/>
        <w:t>reference to reasonable extra costs associated with routing such calls. Rates for mobile calls and texts are similarly limited by reference to the Euro-tariffs set out in the Mobile Roaming Regulation (No 531/2012)</w:t>
      </w:r>
    </w:p>
    <w:p w:rsidR="00EB4F71" w:rsidRDefault="00EB4F71" w:rsidP="00EB4F71">
      <w:pPr>
        <w:tabs>
          <w:tab w:val="left" w:pos="0"/>
        </w:tabs>
        <w:suppressAutoHyphens/>
        <w:spacing w:after="0" w:line="240" w:lineRule="auto"/>
        <w:rPr>
          <w:rFonts w:ascii="Arial" w:hAnsi="Arial" w:cs="Arial"/>
          <w:bCs/>
          <w:spacing w:val="-3"/>
          <w:sz w:val="24"/>
          <w:szCs w:val="24"/>
          <w:lang w:eastAsia="en-GB"/>
        </w:rPr>
      </w:pPr>
    </w:p>
    <w:p w:rsidR="00EB4F71" w:rsidRDefault="00EB4F71" w:rsidP="00EB4F71">
      <w:pPr>
        <w:tabs>
          <w:tab w:val="left" w:pos="0"/>
        </w:tabs>
        <w:suppressAutoHyphens/>
        <w:spacing w:after="0" w:line="240" w:lineRule="auto"/>
        <w:rPr>
          <w:rFonts w:ascii="Arial" w:hAnsi="Arial" w:cs="Arial"/>
          <w:bCs/>
          <w:spacing w:val="-3"/>
          <w:sz w:val="24"/>
          <w:szCs w:val="24"/>
          <w:lang w:eastAsia="en-GB"/>
        </w:rPr>
      </w:pPr>
    </w:p>
    <w:p w:rsidR="00EB4F71" w:rsidRDefault="00EB4F71" w:rsidP="00EB4F71">
      <w:pPr>
        <w:tabs>
          <w:tab w:val="left" w:pos="0"/>
        </w:tabs>
        <w:suppressAutoHyphens/>
        <w:spacing w:after="0" w:line="240" w:lineRule="auto"/>
        <w:jc w:val="center"/>
        <w:rPr>
          <w:rFonts w:ascii="Arial" w:hAnsi="Arial" w:cs="Arial"/>
          <w:bCs/>
          <w:spacing w:val="-3"/>
          <w:sz w:val="24"/>
          <w:szCs w:val="24"/>
          <w:lang w:eastAsia="en-GB"/>
        </w:rPr>
      </w:pPr>
      <w:r>
        <w:rPr>
          <w:rFonts w:ascii="Arial" w:hAnsi="Arial" w:cs="Arial"/>
          <w:b/>
          <w:bCs/>
          <w:spacing w:val="-3"/>
          <w:sz w:val="24"/>
          <w:szCs w:val="24"/>
          <w:lang w:eastAsia="en-GB"/>
        </w:rPr>
        <w:t>Cross-border dispute resolution (Article 22)</w:t>
      </w:r>
    </w:p>
    <w:p w:rsidR="00EB4F71" w:rsidRDefault="00EB4F71" w:rsidP="00EB4F71">
      <w:pPr>
        <w:tabs>
          <w:tab w:val="left" w:pos="0"/>
        </w:tabs>
        <w:suppressAutoHyphens/>
        <w:spacing w:after="0" w:line="240" w:lineRule="auto"/>
        <w:rPr>
          <w:rFonts w:ascii="Arial" w:hAnsi="Arial" w:cs="Arial"/>
          <w:b/>
          <w:bCs/>
          <w:spacing w:val="-3"/>
          <w:sz w:val="24"/>
          <w:szCs w:val="24"/>
          <w:lang w:eastAsia="en-GB"/>
        </w:rPr>
      </w:pPr>
    </w:p>
    <w:p w:rsidR="00EB4F71" w:rsidRPr="009515AA" w:rsidRDefault="009515AA" w:rsidP="00EB4F71">
      <w:pPr>
        <w:numPr>
          <w:ilvl w:val="1"/>
          <w:numId w:val="9"/>
        </w:numPr>
        <w:tabs>
          <w:tab w:val="left" w:pos="0"/>
        </w:tabs>
        <w:suppressAutoHyphens/>
        <w:spacing w:after="0" w:line="240" w:lineRule="auto"/>
        <w:rPr>
          <w:rFonts w:ascii="Arial" w:hAnsi="Arial" w:cs="Arial"/>
          <w:bCs/>
          <w:spacing w:val="-3"/>
          <w:sz w:val="24"/>
          <w:szCs w:val="24"/>
          <w:lang w:eastAsia="en-GB"/>
        </w:rPr>
      </w:pPr>
      <w:r w:rsidRPr="009515AA">
        <w:rPr>
          <w:rFonts w:ascii="Arial" w:hAnsi="Arial" w:cs="Arial"/>
          <w:bCs/>
          <w:spacing w:val="-3"/>
          <w:sz w:val="24"/>
          <w:szCs w:val="24"/>
          <w:lang w:eastAsia="en-GB"/>
        </w:rPr>
        <w:t>The Regulation extends the requirement in the Universal Services directive (2002/22/EC) to provide out-of-court procedures to resolve disputes between consumers and providers to include cross-border disputes.</w:t>
      </w:r>
    </w:p>
    <w:p w:rsidR="00EB4F71" w:rsidRDefault="00EB4F71" w:rsidP="00EB4F71">
      <w:pPr>
        <w:tabs>
          <w:tab w:val="left" w:pos="0"/>
        </w:tabs>
        <w:suppressAutoHyphens/>
        <w:spacing w:after="0" w:line="240" w:lineRule="auto"/>
        <w:jc w:val="center"/>
        <w:rPr>
          <w:rFonts w:ascii="Arial" w:hAnsi="Arial" w:cs="Arial"/>
          <w:bCs/>
          <w:spacing w:val="-3"/>
          <w:sz w:val="24"/>
          <w:szCs w:val="24"/>
          <w:lang w:eastAsia="en-GB"/>
        </w:rPr>
      </w:pPr>
    </w:p>
    <w:p w:rsidR="00EB4F71" w:rsidRPr="00EB4F71" w:rsidRDefault="002C39EE" w:rsidP="00EB4F71">
      <w:pPr>
        <w:tabs>
          <w:tab w:val="left" w:pos="0"/>
        </w:tabs>
        <w:suppressAutoHyphens/>
        <w:spacing w:after="0" w:line="240" w:lineRule="auto"/>
        <w:jc w:val="center"/>
        <w:rPr>
          <w:rFonts w:ascii="Arial" w:hAnsi="Arial" w:cs="Arial"/>
          <w:b/>
          <w:bCs/>
          <w:spacing w:val="-3"/>
          <w:sz w:val="24"/>
          <w:szCs w:val="24"/>
          <w:lang w:eastAsia="en-GB"/>
        </w:rPr>
      </w:pPr>
      <w:r>
        <w:rPr>
          <w:rFonts w:ascii="Arial" w:hAnsi="Arial" w:cs="Arial"/>
          <w:b/>
          <w:bCs/>
          <w:spacing w:val="-3"/>
          <w:sz w:val="24"/>
          <w:szCs w:val="24"/>
          <w:lang w:eastAsia="en-GB"/>
        </w:rPr>
        <w:t>Open Internet Access</w:t>
      </w:r>
      <w:r w:rsidR="00EB4F71">
        <w:rPr>
          <w:rFonts w:ascii="Arial" w:hAnsi="Arial" w:cs="Arial"/>
          <w:b/>
          <w:bCs/>
          <w:spacing w:val="-3"/>
          <w:sz w:val="24"/>
          <w:szCs w:val="24"/>
          <w:lang w:eastAsia="en-GB"/>
        </w:rPr>
        <w:t>, Traffic Management, Safeguards for Quality of Service, and Transparency and Publication of Informatio</w:t>
      </w:r>
      <w:r>
        <w:rPr>
          <w:rFonts w:ascii="Arial" w:hAnsi="Arial" w:cs="Arial"/>
          <w:b/>
          <w:bCs/>
          <w:spacing w:val="-3"/>
          <w:sz w:val="24"/>
          <w:szCs w:val="24"/>
          <w:lang w:eastAsia="en-GB"/>
        </w:rPr>
        <w:t>n</w:t>
      </w:r>
      <w:r w:rsidR="00EB4F71">
        <w:rPr>
          <w:rFonts w:ascii="Arial" w:hAnsi="Arial" w:cs="Arial"/>
          <w:b/>
          <w:bCs/>
          <w:spacing w:val="-3"/>
          <w:sz w:val="24"/>
          <w:szCs w:val="24"/>
          <w:lang w:eastAsia="en-GB"/>
        </w:rPr>
        <w:t xml:space="preserve"> (Articles 23 – 25)</w:t>
      </w:r>
    </w:p>
    <w:p w:rsidR="00EB4F71" w:rsidRDefault="00EB4F71" w:rsidP="00EB4F71">
      <w:pPr>
        <w:tabs>
          <w:tab w:val="left" w:pos="0"/>
        </w:tabs>
        <w:suppressAutoHyphens/>
        <w:spacing w:after="0" w:line="240" w:lineRule="auto"/>
        <w:rPr>
          <w:rFonts w:ascii="Arial" w:hAnsi="Arial" w:cs="Arial"/>
          <w:b/>
          <w:bCs/>
          <w:spacing w:val="-3"/>
          <w:sz w:val="24"/>
          <w:szCs w:val="24"/>
          <w:lang w:eastAsia="en-GB"/>
        </w:rPr>
      </w:pPr>
    </w:p>
    <w:p w:rsidR="00EB4F71" w:rsidRPr="002C39EE" w:rsidRDefault="00EB4F71" w:rsidP="00EB4F71">
      <w:pPr>
        <w:numPr>
          <w:ilvl w:val="1"/>
          <w:numId w:val="9"/>
        </w:numPr>
        <w:tabs>
          <w:tab w:val="left" w:pos="0"/>
        </w:tabs>
        <w:suppressAutoHyphens/>
        <w:spacing w:after="0" w:line="240" w:lineRule="auto"/>
        <w:rPr>
          <w:rFonts w:ascii="Arial" w:hAnsi="Arial" w:cs="Arial"/>
          <w:b/>
          <w:bCs/>
          <w:spacing w:val="-3"/>
          <w:sz w:val="24"/>
          <w:szCs w:val="24"/>
          <w:lang w:eastAsia="en-GB"/>
        </w:rPr>
      </w:pPr>
      <w:r>
        <w:rPr>
          <w:rFonts w:ascii="Arial" w:hAnsi="Arial" w:cs="Arial"/>
          <w:b/>
          <w:bCs/>
          <w:spacing w:val="-3"/>
          <w:sz w:val="24"/>
          <w:szCs w:val="24"/>
          <w:lang w:eastAsia="en-GB"/>
        </w:rPr>
        <w:t xml:space="preserve"> </w:t>
      </w:r>
      <w:r>
        <w:rPr>
          <w:rFonts w:ascii="Arial" w:hAnsi="Arial" w:cs="Arial"/>
          <w:bCs/>
          <w:spacing w:val="-3"/>
          <w:sz w:val="24"/>
          <w:szCs w:val="24"/>
          <w:lang w:eastAsia="en-GB"/>
        </w:rPr>
        <w:t xml:space="preserve">The Regulation proposes to introduce a form of </w:t>
      </w:r>
      <w:r w:rsidR="002C39EE">
        <w:rPr>
          <w:rFonts w:ascii="Arial" w:hAnsi="Arial" w:cs="Arial"/>
          <w:bCs/>
          <w:spacing w:val="-3"/>
          <w:sz w:val="24"/>
          <w:szCs w:val="24"/>
          <w:lang w:eastAsia="en-GB"/>
        </w:rPr>
        <w:t>‘</w:t>
      </w:r>
      <w:r>
        <w:rPr>
          <w:rFonts w:ascii="Arial" w:hAnsi="Arial" w:cs="Arial"/>
          <w:bCs/>
          <w:spacing w:val="-3"/>
          <w:sz w:val="24"/>
          <w:szCs w:val="24"/>
          <w:lang w:eastAsia="en-GB"/>
        </w:rPr>
        <w:t>Net Neutrality</w:t>
      </w:r>
      <w:r w:rsidR="002C39EE">
        <w:rPr>
          <w:rFonts w:ascii="Arial" w:hAnsi="Arial" w:cs="Arial"/>
          <w:bCs/>
          <w:spacing w:val="-3"/>
          <w:sz w:val="24"/>
          <w:szCs w:val="24"/>
          <w:lang w:eastAsia="en-GB"/>
        </w:rPr>
        <w:t>’</w:t>
      </w:r>
      <w:r>
        <w:rPr>
          <w:rFonts w:ascii="Arial" w:hAnsi="Arial" w:cs="Arial"/>
          <w:bCs/>
          <w:spacing w:val="-3"/>
          <w:sz w:val="24"/>
          <w:szCs w:val="24"/>
          <w:lang w:eastAsia="en-GB"/>
        </w:rPr>
        <w:t xml:space="preserve"> that would allow </w:t>
      </w:r>
      <w:r w:rsidR="002C39EE">
        <w:rPr>
          <w:rFonts w:ascii="Arial" w:hAnsi="Arial" w:cs="Arial"/>
          <w:bCs/>
          <w:spacing w:val="-3"/>
          <w:sz w:val="24"/>
          <w:szCs w:val="24"/>
          <w:lang w:eastAsia="en-GB"/>
        </w:rPr>
        <w:t>users</w:t>
      </w:r>
      <w:r>
        <w:rPr>
          <w:rFonts w:ascii="Arial" w:hAnsi="Arial" w:cs="Arial"/>
          <w:bCs/>
          <w:spacing w:val="-3"/>
          <w:sz w:val="24"/>
          <w:szCs w:val="24"/>
          <w:lang w:eastAsia="en-GB"/>
        </w:rPr>
        <w:t xml:space="preserve"> to freely access and </w:t>
      </w:r>
      <w:r w:rsidR="002C39EE">
        <w:rPr>
          <w:rFonts w:ascii="Arial" w:hAnsi="Arial" w:cs="Arial"/>
          <w:bCs/>
          <w:spacing w:val="-3"/>
          <w:sz w:val="24"/>
          <w:szCs w:val="24"/>
          <w:lang w:eastAsia="en-GB"/>
        </w:rPr>
        <w:t xml:space="preserve">distribute content, information, run applications and use services of their </w:t>
      </w:r>
      <w:r w:rsidR="001052DC">
        <w:rPr>
          <w:rFonts w:ascii="Arial" w:hAnsi="Arial" w:cs="Arial"/>
          <w:bCs/>
          <w:spacing w:val="-3"/>
          <w:sz w:val="24"/>
          <w:szCs w:val="24"/>
          <w:lang w:eastAsia="en-GB"/>
        </w:rPr>
        <w:t>choice.  Whilst</w:t>
      </w:r>
      <w:r w:rsidR="002C39EE">
        <w:rPr>
          <w:rFonts w:ascii="Arial" w:hAnsi="Arial" w:cs="Arial"/>
          <w:bCs/>
          <w:spacing w:val="-3"/>
          <w:sz w:val="24"/>
          <w:szCs w:val="24"/>
          <w:lang w:eastAsia="en-GB"/>
        </w:rPr>
        <w:t xml:space="preserve"> mirroring the text that is already conta</w:t>
      </w:r>
      <w:r w:rsidR="001052DC">
        <w:rPr>
          <w:rFonts w:ascii="Arial" w:hAnsi="Arial" w:cs="Arial"/>
          <w:bCs/>
          <w:spacing w:val="-3"/>
          <w:sz w:val="24"/>
          <w:szCs w:val="24"/>
          <w:lang w:eastAsia="en-GB"/>
        </w:rPr>
        <w:t>ined the Framework, it places a new</w:t>
      </w:r>
      <w:r w:rsidR="002C39EE">
        <w:rPr>
          <w:rFonts w:ascii="Arial" w:hAnsi="Arial" w:cs="Arial"/>
          <w:bCs/>
          <w:spacing w:val="-3"/>
          <w:sz w:val="24"/>
          <w:szCs w:val="24"/>
          <w:lang w:eastAsia="en-GB"/>
        </w:rPr>
        <w:t xml:space="preserve"> obligation on NRAs to ensure that this is the case.</w:t>
      </w:r>
    </w:p>
    <w:p w:rsidR="002C39EE" w:rsidRDefault="002C39EE" w:rsidP="002C39EE">
      <w:pPr>
        <w:tabs>
          <w:tab w:val="left" w:pos="0"/>
        </w:tabs>
        <w:suppressAutoHyphens/>
        <w:spacing w:after="0" w:line="240" w:lineRule="auto"/>
        <w:ind w:left="360"/>
        <w:rPr>
          <w:rFonts w:ascii="Arial" w:hAnsi="Arial" w:cs="Arial"/>
          <w:b/>
          <w:bCs/>
          <w:spacing w:val="-3"/>
          <w:sz w:val="24"/>
          <w:szCs w:val="24"/>
          <w:lang w:eastAsia="en-GB"/>
        </w:rPr>
      </w:pPr>
    </w:p>
    <w:p w:rsidR="00EB4F71" w:rsidRPr="002C39EE" w:rsidRDefault="002C39EE" w:rsidP="00EB4F71">
      <w:pPr>
        <w:numPr>
          <w:ilvl w:val="1"/>
          <w:numId w:val="9"/>
        </w:numPr>
        <w:tabs>
          <w:tab w:val="left" w:pos="0"/>
        </w:tabs>
        <w:suppressAutoHyphens/>
        <w:spacing w:after="0" w:line="240" w:lineRule="auto"/>
        <w:rPr>
          <w:rFonts w:ascii="Arial" w:hAnsi="Arial" w:cs="Arial"/>
          <w:b/>
          <w:bCs/>
          <w:spacing w:val="-3"/>
          <w:sz w:val="24"/>
          <w:szCs w:val="24"/>
          <w:lang w:eastAsia="en-GB"/>
        </w:rPr>
      </w:pPr>
      <w:r>
        <w:rPr>
          <w:rFonts w:ascii="Arial" w:hAnsi="Arial" w:cs="Arial"/>
          <w:b/>
          <w:bCs/>
          <w:spacing w:val="-3"/>
          <w:sz w:val="24"/>
          <w:szCs w:val="24"/>
          <w:lang w:eastAsia="en-GB"/>
        </w:rPr>
        <w:t xml:space="preserve"> </w:t>
      </w:r>
      <w:r>
        <w:rPr>
          <w:rFonts w:ascii="Arial" w:hAnsi="Arial" w:cs="Arial"/>
          <w:bCs/>
          <w:spacing w:val="-3"/>
          <w:sz w:val="24"/>
          <w:szCs w:val="24"/>
          <w:lang w:eastAsia="en-GB"/>
        </w:rPr>
        <w:t>It also seeks to prohibit blocking, slowing down or otherwise degrading access to any services and content, except in instances where there is a genuine need to do so for traffic-management and network-management reasons. It does, however, allow providers to charge extra for different data volumes and speeds, as well as allowing for charges associated with enhanced quality of service, as well as imposing a requirement to ensure that consumers are aware of any specific restrictions or similar by requiring operators to publish specific information regarding speeds, traffic volumes, impact on services and any traffic management policies in place.</w:t>
      </w:r>
    </w:p>
    <w:p w:rsidR="002C39EE" w:rsidRDefault="002C39EE" w:rsidP="002C39EE">
      <w:pPr>
        <w:tabs>
          <w:tab w:val="left" w:pos="0"/>
        </w:tabs>
        <w:suppressAutoHyphens/>
        <w:spacing w:after="0" w:line="240" w:lineRule="auto"/>
        <w:rPr>
          <w:rFonts w:ascii="Arial" w:hAnsi="Arial" w:cs="Arial"/>
          <w:bCs/>
          <w:spacing w:val="-3"/>
          <w:sz w:val="24"/>
          <w:szCs w:val="24"/>
          <w:lang w:eastAsia="en-GB"/>
        </w:rPr>
      </w:pPr>
    </w:p>
    <w:p w:rsidR="002C39EE" w:rsidRDefault="002C39EE" w:rsidP="002C39EE">
      <w:pPr>
        <w:tabs>
          <w:tab w:val="left" w:pos="0"/>
        </w:tabs>
        <w:suppressAutoHyphens/>
        <w:spacing w:after="0" w:line="240" w:lineRule="auto"/>
        <w:jc w:val="center"/>
        <w:rPr>
          <w:rFonts w:ascii="Arial" w:hAnsi="Arial" w:cs="Arial"/>
          <w:b/>
          <w:bCs/>
          <w:spacing w:val="-3"/>
          <w:sz w:val="24"/>
          <w:szCs w:val="24"/>
          <w:lang w:eastAsia="en-GB"/>
        </w:rPr>
      </w:pPr>
      <w:r>
        <w:rPr>
          <w:rFonts w:ascii="Arial" w:hAnsi="Arial" w:cs="Arial"/>
          <w:b/>
          <w:bCs/>
          <w:spacing w:val="-3"/>
          <w:sz w:val="24"/>
          <w:szCs w:val="24"/>
          <w:lang w:eastAsia="en-GB"/>
        </w:rPr>
        <w:t>Information requirements for contracts</w:t>
      </w:r>
      <w:r w:rsidR="000A74C6">
        <w:rPr>
          <w:rFonts w:ascii="Arial" w:hAnsi="Arial" w:cs="Arial"/>
          <w:b/>
          <w:bCs/>
          <w:spacing w:val="-3"/>
          <w:sz w:val="24"/>
          <w:szCs w:val="24"/>
          <w:lang w:eastAsia="en-GB"/>
        </w:rPr>
        <w:t xml:space="preserve">, control of consumption and </w:t>
      </w:r>
      <w:r w:rsidR="001B4CD8">
        <w:rPr>
          <w:rFonts w:ascii="Arial" w:hAnsi="Arial" w:cs="Arial"/>
          <w:b/>
          <w:bCs/>
          <w:spacing w:val="-3"/>
          <w:sz w:val="24"/>
          <w:szCs w:val="24"/>
          <w:lang w:eastAsia="en-GB"/>
        </w:rPr>
        <w:t xml:space="preserve">contract termination </w:t>
      </w:r>
      <w:r>
        <w:rPr>
          <w:rFonts w:ascii="Arial" w:hAnsi="Arial" w:cs="Arial"/>
          <w:b/>
          <w:bCs/>
          <w:spacing w:val="-3"/>
          <w:sz w:val="24"/>
          <w:szCs w:val="24"/>
          <w:lang w:eastAsia="en-GB"/>
        </w:rPr>
        <w:t>(Article</w:t>
      </w:r>
      <w:r w:rsidR="001B4CD8">
        <w:rPr>
          <w:rFonts w:ascii="Arial" w:hAnsi="Arial" w:cs="Arial"/>
          <w:b/>
          <w:bCs/>
          <w:spacing w:val="-3"/>
          <w:sz w:val="24"/>
          <w:szCs w:val="24"/>
          <w:lang w:eastAsia="en-GB"/>
        </w:rPr>
        <w:t>s</w:t>
      </w:r>
      <w:r>
        <w:rPr>
          <w:rFonts w:ascii="Arial" w:hAnsi="Arial" w:cs="Arial"/>
          <w:b/>
          <w:bCs/>
          <w:spacing w:val="-3"/>
          <w:sz w:val="24"/>
          <w:szCs w:val="24"/>
          <w:lang w:eastAsia="en-GB"/>
        </w:rPr>
        <w:t xml:space="preserve"> 26</w:t>
      </w:r>
      <w:r w:rsidR="000A74C6">
        <w:rPr>
          <w:rFonts w:ascii="Arial" w:hAnsi="Arial" w:cs="Arial"/>
          <w:b/>
          <w:bCs/>
          <w:spacing w:val="-3"/>
          <w:sz w:val="24"/>
          <w:szCs w:val="24"/>
          <w:lang w:eastAsia="en-GB"/>
        </w:rPr>
        <w:t xml:space="preserve"> - 39</w:t>
      </w:r>
      <w:r>
        <w:rPr>
          <w:rFonts w:ascii="Arial" w:hAnsi="Arial" w:cs="Arial"/>
          <w:b/>
          <w:bCs/>
          <w:spacing w:val="-3"/>
          <w:sz w:val="24"/>
          <w:szCs w:val="24"/>
          <w:lang w:eastAsia="en-GB"/>
        </w:rPr>
        <w:t>)</w:t>
      </w:r>
    </w:p>
    <w:p w:rsidR="002C39EE" w:rsidRDefault="002C39EE" w:rsidP="002C39EE">
      <w:pPr>
        <w:tabs>
          <w:tab w:val="left" w:pos="0"/>
        </w:tabs>
        <w:suppressAutoHyphens/>
        <w:spacing w:after="0" w:line="240" w:lineRule="auto"/>
        <w:jc w:val="center"/>
        <w:rPr>
          <w:rFonts w:ascii="Arial" w:hAnsi="Arial" w:cs="Arial"/>
          <w:b/>
          <w:bCs/>
          <w:spacing w:val="-3"/>
          <w:sz w:val="24"/>
          <w:szCs w:val="24"/>
          <w:lang w:eastAsia="en-GB"/>
        </w:rPr>
      </w:pPr>
    </w:p>
    <w:p w:rsidR="00EB4F71" w:rsidRPr="001B4CD8" w:rsidRDefault="001B4CD8" w:rsidP="00EB4F71">
      <w:pPr>
        <w:numPr>
          <w:ilvl w:val="1"/>
          <w:numId w:val="9"/>
        </w:numPr>
        <w:tabs>
          <w:tab w:val="left" w:pos="0"/>
        </w:tabs>
        <w:suppressAutoHyphens/>
        <w:spacing w:after="0" w:line="240" w:lineRule="auto"/>
        <w:rPr>
          <w:rFonts w:ascii="Arial" w:hAnsi="Arial" w:cs="Arial"/>
          <w:b/>
          <w:bCs/>
          <w:spacing w:val="-3"/>
          <w:sz w:val="24"/>
          <w:szCs w:val="24"/>
          <w:lang w:eastAsia="en-GB"/>
        </w:rPr>
      </w:pPr>
      <w:r>
        <w:rPr>
          <w:rFonts w:ascii="Arial" w:hAnsi="Arial" w:cs="Arial"/>
          <w:b/>
          <w:bCs/>
          <w:spacing w:val="-3"/>
          <w:sz w:val="24"/>
          <w:szCs w:val="24"/>
          <w:lang w:eastAsia="en-GB"/>
        </w:rPr>
        <w:t xml:space="preserve"> </w:t>
      </w:r>
      <w:r>
        <w:rPr>
          <w:rFonts w:ascii="Arial" w:hAnsi="Arial" w:cs="Arial"/>
          <w:bCs/>
          <w:spacing w:val="-3"/>
          <w:sz w:val="24"/>
          <w:szCs w:val="24"/>
          <w:lang w:eastAsia="en-GB"/>
        </w:rPr>
        <w:t>The proposals in these articles contain several provisions that are aimed at increasing consumer protection.</w:t>
      </w:r>
    </w:p>
    <w:p w:rsidR="001B4CD8" w:rsidRDefault="001B4CD8" w:rsidP="001B4CD8">
      <w:pPr>
        <w:tabs>
          <w:tab w:val="left" w:pos="0"/>
        </w:tabs>
        <w:suppressAutoHyphens/>
        <w:spacing w:after="0" w:line="240" w:lineRule="auto"/>
        <w:rPr>
          <w:rFonts w:ascii="Arial" w:hAnsi="Arial" w:cs="Arial"/>
          <w:b/>
          <w:bCs/>
          <w:spacing w:val="-3"/>
          <w:sz w:val="24"/>
          <w:szCs w:val="24"/>
          <w:lang w:eastAsia="en-GB"/>
        </w:rPr>
      </w:pPr>
    </w:p>
    <w:p w:rsidR="007E6330" w:rsidRDefault="007E6330" w:rsidP="007E6330">
      <w:pPr>
        <w:numPr>
          <w:ilvl w:val="1"/>
          <w:numId w:val="9"/>
        </w:numPr>
        <w:tabs>
          <w:tab w:val="left" w:pos="0"/>
        </w:tabs>
        <w:suppressAutoHyphens/>
        <w:spacing w:after="0" w:line="240" w:lineRule="auto"/>
        <w:rPr>
          <w:rFonts w:ascii="Arial" w:hAnsi="Arial" w:cs="Arial"/>
          <w:b/>
          <w:bCs/>
          <w:spacing w:val="-3"/>
          <w:sz w:val="24"/>
          <w:szCs w:val="24"/>
          <w:lang w:eastAsia="en-GB"/>
        </w:rPr>
      </w:pPr>
      <w:r>
        <w:rPr>
          <w:rFonts w:ascii="Arial" w:hAnsi="Arial" w:cs="Arial"/>
          <w:bCs/>
          <w:spacing w:val="-3"/>
          <w:sz w:val="24"/>
          <w:szCs w:val="24"/>
          <w:lang w:eastAsia="en-GB"/>
        </w:rPr>
        <w:t>The first (Article 26) sets out a series of specific minimum information requirements that need to be contained in a contract and, amongst other things,  include: tariff plans and costs; any after-sales services provisions; any restrictions on the use of terminal equipment; payment methods; charges for early contract termination or switching/porting; and compensation.</w:t>
      </w:r>
    </w:p>
    <w:p w:rsidR="00EB4F71" w:rsidRDefault="00EB4F71" w:rsidP="00495BE2">
      <w:pPr>
        <w:tabs>
          <w:tab w:val="left" w:pos="0"/>
        </w:tabs>
        <w:suppressAutoHyphens/>
        <w:spacing w:after="0" w:line="240" w:lineRule="auto"/>
        <w:ind w:left="360"/>
        <w:rPr>
          <w:rFonts w:ascii="Arial" w:hAnsi="Arial" w:cs="Arial"/>
          <w:b/>
          <w:bCs/>
          <w:spacing w:val="-3"/>
          <w:sz w:val="24"/>
          <w:szCs w:val="24"/>
          <w:lang w:eastAsia="en-GB"/>
        </w:rPr>
      </w:pPr>
    </w:p>
    <w:p w:rsidR="00EB4F71" w:rsidRPr="00495BE2" w:rsidRDefault="00495BE2" w:rsidP="00EB4F71">
      <w:pPr>
        <w:numPr>
          <w:ilvl w:val="1"/>
          <w:numId w:val="9"/>
        </w:numPr>
        <w:tabs>
          <w:tab w:val="left" w:pos="0"/>
        </w:tabs>
        <w:suppressAutoHyphens/>
        <w:spacing w:after="0" w:line="240" w:lineRule="auto"/>
        <w:rPr>
          <w:rFonts w:ascii="Arial" w:hAnsi="Arial" w:cs="Arial"/>
          <w:b/>
          <w:bCs/>
          <w:spacing w:val="-3"/>
          <w:sz w:val="24"/>
          <w:szCs w:val="24"/>
          <w:lang w:eastAsia="en-GB"/>
        </w:rPr>
      </w:pPr>
      <w:r>
        <w:rPr>
          <w:rFonts w:ascii="Arial" w:hAnsi="Arial" w:cs="Arial"/>
          <w:bCs/>
          <w:spacing w:val="-3"/>
          <w:sz w:val="24"/>
          <w:szCs w:val="24"/>
          <w:lang w:eastAsia="en-GB"/>
        </w:rPr>
        <w:t>The following Article sets out anti-Bill Shock measures that ensure that a consumer is made aware that they reaching their tariff’s limits and ensures that consumers are still able to access the emergency services through the European emergency number once limits are reached and provides for free-of-charge itemised bills.</w:t>
      </w:r>
    </w:p>
    <w:p w:rsidR="00495BE2" w:rsidRDefault="00495BE2" w:rsidP="00495BE2">
      <w:pPr>
        <w:tabs>
          <w:tab w:val="left" w:pos="0"/>
        </w:tabs>
        <w:suppressAutoHyphens/>
        <w:spacing w:after="0" w:line="240" w:lineRule="auto"/>
        <w:rPr>
          <w:rFonts w:ascii="Arial" w:hAnsi="Arial" w:cs="Arial"/>
          <w:b/>
          <w:bCs/>
          <w:spacing w:val="-3"/>
          <w:sz w:val="24"/>
          <w:szCs w:val="24"/>
          <w:lang w:eastAsia="en-GB"/>
        </w:rPr>
      </w:pPr>
    </w:p>
    <w:p w:rsidR="001052DC" w:rsidRDefault="001052DC" w:rsidP="001052DC">
      <w:pPr>
        <w:numPr>
          <w:ilvl w:val="1"/>
          <w:numId w:val="9"/>
        </w:numPr>
        <w:tabs>
          <w:tab w:val="left" w:pos="0"/>
        </w:tabs>
        <w:suppressAutoHyphens/>
        <w:spacing w:after="0" w:line="240" w:lineRule="auto"/>
        <w:rPr>
          <w:rFonts w:ascii="Arial" w:hAnsi="Arial" w:cs="Arial"/>
          <w:b/>
          <w:bCs/>
          <w:spacing w:val="-3"/>
          <w:sz w:val="24"/>
          <w:szCs w:val="24"/>
          <w:lang w:eastAsia="en-GB"/>
        </w:rPr>
      </w:pPr>
      <w:r>
        <w:rPr>
          <w:rFonts w:ascii="Arial" w:hAnsi="Arial" w:cs="Arial"/>
          <w:bCs/>
          <w:spacing w:val="-3"/>
          <w:sz w:val="24"/>
          <w:szCs w:val="24"/>
          <w:lang w:eastAsia="en-GB"/>
        </w:rPr>
        <w:lastRenderedPageBreak/>
        <w:t>Articles 28 sets out new requirements covering contract termination by adding to the existing maximum contract term of 24 months and the requirement to provide 12-month contracts by granting consumers a right to terminate contracts after 6 months with one month’s notice.  However, end-users may need to reimburse the service provider for the residual value of subsidised equipment.</w:t>
      </w:r>
    </w:p>
    <w:p w:rsidR="002C39EE" w:rsidRPr="001052DC" w:rsidRDefault="002C39EE" w:rsidP="001052DC">
      <w:pPr>
        <w:tabs>
          <w:tab w:val="left" w:pos="0"/>
        </w:tabs>
        <w:suppressAutoHyphens/>
        <w:spacing w:after="0" w:line="240" w:lineRule="auto"/>
        <w:rPr>
          <w:rFonts w:ascii="Arial" w:hAnsi="Arial" w:cs="Arial"/>
          <w:b/>
          <w:bCs/>
          <w:spacing w:val="-3"/>
          <w:sz w:val="24"/>
          <w:szCs w:val="24"/>
          <w:lang w:eastAsia="en-GB"/>
        </w:rPr>
      </w:pPr>
    </w:p>
    <w:p w:rsidR="000A74C6" w:rsidRDefault="000A74C6" w:rsidP="000A74C6">
      <w:pPr>
        <w:tabs>
          <w:tab w:val="left" w:pos="0"/>
        </w:tabs>
        <w:suppressAutoHyphens/>
        <w:spacing w:after="0" w:line="240" w:lineRule="auto"/>
        <w:rPr>
          <w:rFonts w:ascii="Arial" w:hAnsi="Arial" w:cs="Arial"/>
          <w:b/>
          <w:bCs/>
          <w:spacing w:val="-3"/>
          <w:sz w:val="24"/>
          <w:szCs w:val="24"/>
          <w:lang w:eastAsia="en-GB"/>
        </w:rPr>
      </w:pPr>
    </w:p>
    <w:p w:rsidR="000A74C6" w:rsidRDefault="000A74C6" w:rsidP="000A74C6">
      <w:pPr>
        <w:tabs>
          <w:tab w:val="left" w:pos="0"/>
        </w:tabs>
        <w:suppressAutoHyphens/>
        <w:spacing w:after="0" w:line="240" w:lineRule="auto"/>
        <w:jc w:val="center"/>
        <w:rPr>
          <w:rFonts w:ascii="Arial" w:hAnsi="Arial" w:cs="Arial"/>
          <w:b/>
          <w:bCs/>
          <w:spacing w:val="-3"/>
          <w:sz w:val="24"/>
          <w:szCs w:val="24"/>
          <w:lang w:eastAsia="en-GB"/>
        </w:rPr>
      </w:pPr>
      <w:r>
        <w:rPr>
          <w:rFonts w:ascii="Arial" w:hAnsi="Arial" w:cs="Arial"/>
          <w:b/>
          <w:bCs/>
          <w:spacing w:val="-3"/>
          <w:sz w:val="24"/>
          <w:szCs w:val="24"/>
          <w:lang w:eastAsia="en-GB"/>
        </w:rPr>
        <w:t>Chapter V – Facilitating change of providers</w:t>
      </w:r>
    </w:p>
    <w:p w:rsidR="000A74C6" w:rsidRDefault="000A74C6" w:rsidP="000A74C6">
      <w:pPr>
        <w:tabs>
          <w:tab w:val="left" w:pos="0"/>
        </w:tabs>
        <w:suppressAutoHyphens/>
        <w:spacing w:after="0" w:line="240" w:lineRule="auto"/>
        <w:rPr>
          <w:rFonts w:ascii="Arial" w:hAnsi="Arial" w:cs="Arial"/>
          <w:b/>
          <w:bCs/>
          <w:spacing w:val="-3"/>
          <w:sz w:val="24"/>
          <w:szCs w:val="24"/>
          <w:lang w:eastAsia="en-GB"/>
        </w:rPr>
      </w:pPr>
    </w:p>
    <w:p w:rsidR="000A74C6" w:rsidRDefault="000A74C6" w:rsidP="000A74C6">
      <w:pPr>
        <w:tabs>
          <w:tab w:val="left" w:pos="0"/>
        </w:tabs>
        <w:suppressAutoHyphens/>
        <w:spacing w:after="0" w:line="240" w:lineRule="auto"/>
        <w:jc w:val="center"/>
        <w:rPr>
          <w:rFonts w:ascii="Arial" w:hAnsi="Arial" w:cs="Arial"/>
          <w:b/>
          <w:bCs/>
          <w:spacing w:val="-3"/>
          <w:sz w:val="24"/>
          <w:szCs w:val="24"/>
          <w:lang w:eastAsia="en-GB"/>
        </w:rPr>
      </w:pPr>
      <w:r>
        <w:rPr>
          <w:rFonts w:ascii="Arial" w:hAnsi="Arial" w:cs="Arial"/>
          <w:b/>
          <w:bCs/>
          <w:spacing w:val="-3"/>
          <w:sz w:val="24"/>
          <w:szCs w:val="24"/>
          <w:lang w:eastAsia="en-GB"/>
        </w:rPr>
        <w:t>Switching &amp; portability of numbers (Article 30)</w:t>
      </w:r>
    </w:p>
    <w:p w:rsidR="002C39EE" w:rsidRDefault="002C39EE" w:rsidP="000A74C6">
      <w:pPr>
        <w:tabs>
          <w:tab w:val="left" w:pos="0"/>
        </w:tabs>
        <w:suppressAutoHyphens/>
        <w:spacing w:after="0" w:line="240" w:lineRule="auto"/>
        <w:rPr>
          <w:rFonts w:ascii="Arial" w:hAnsi="Arial" w:cs="Arial"/>
          <w:b/>
          <w:bCs/>
          <w:spacing w:val="-3"/>
          <w:sz w:val="24"/>
          <w:szCs w:val="24"/>
          <w:lang w:eastAsia="en-GB"/>
        </w:rPr>
      </w:pPr>
    </w:p>
    <w:p w:rsidR="001052DC" w:rsidRDefault="000A74C6" w:rsidP="001052DC">
      <w:pPr>
        <w:numPr>
          <w:ilvl w:val="1"/>
          <w:numId w:val="9"/>
        </w:numPr>
        <w:tabs>
          <w:tab w:val="left" w:pos="0"/>
        </w:tabs>
        <w:suppressAutoHyphens/>
        <w:spacing w:after="0" w:line="240" w:lineRule="auto"/>
        <w:rPr>
          <w:rFonts w:ascii="Arial" w:hAnsi="Arial" w:cs="Arial"/>
          <w:b/>
          <w:bCs/>
          <w:spacing w:val="-3"/>
          <w:sz w:val="24"/>
          <w:szCs w:val="24"/>
          <w:lang w:eastAsia="en-GB"/>
        </w:rPr>
      </w:pPr>
      <w:r>
        <w:rPr>
          <w:rFonts w:ascii="Arial" w:hAnsi="Arial" w:cs="Arial"/>
          <w:b/>
          <w:bCs/>
          <w:spacing w:val="-3"/>
          <w:sz w:val="24"/>
          <w:szCs w:val="24"/>
          <w:lang w:eastAsia="en-GB"/>
        </w:rPr>
        <w:t xml:space="preserve"> </w:t>
      </w:r>
      <w:r w:rsidR="001052DC">
        <w:rPr>
          <w:rFonts w:ascii="Arial" w:hAnsi="Arial" w:cs="Arial"/>
          <w:bCs/>
          <w:spacing w:val="-3"/>
          <w:sz w:val="24"/>
          <w:szCs w:val="24"/>
          <w:lang w:eastAsia="en-GB"/>
        </w:rPr>
        <w:t xml:space="preserve">This Articles sets out the requirements aimed at facilitating consumers switching between providers . </w:t>
      </w:r>
    </w:p>
    <w:p w:rsidR="001052DC" w:rsidRDefault="001052DC" w:rsidP="001052DC">
      <w:pPr>
        <w:tabs>
          <w:tab w:val="left" w:pos="0"/>
        </w:tabs>
        <w:suppressAutoHyphens/>
        <w:spacing w:after="0" w:line="240" w:lineRule="auto"/>
        <w:ind w:left="360"/>
        <w:rPr>
          <w:rFonts w:ascii="Arial" w:hAnsi="Arial" w:cs="Arial"/>
          <w:b/>
          <w:bCs/>
          <w:spacing w:val="-3"/>
          <w:sz w:val="24"/>
          <w:szCs w:val="24"/>
          <w:lang w:eastAsia="en-GB"/>
        </w:rPr>
      </w:pPr>
    </w:p>
    <w:p w:rsidR="001052DC" w:rsidRPr="000A74C6" w:rsidRDefault="001052DC" w:rsidP="001052DC">
      <w:pPr>
        <w:numPr>
          <w:ilvl w:val="1"/>
          <w:numId w:val="9"/>
        </w:numPr>
        <w:tabs>
          <w:tab w:val="left" w:pos="0"/>
        </w:tabs>
        <w:suppressAutoHyphens/>
        <w:spacing w:after="0" w:line="240" w:lineRule="auto"/>
        <w:rPr>
          <w:rFonts w:ascii="Arial" w:hAnsi="Arial" w:cs="Arial"/>
          <w:b/>
          <w:bCs/>
          <w:spacing w:val="-3"/>
          <w:sz w:val="24"/>
          <w:szCs w:val="24"/>
          <w:lang w:eastAsia="en-GB"/>
        </w:rPr>
      </w:pPr>
      <w:r>
        <w:rPr>
          <w:rFonts w:ascii="Arial" w:hAnsi="Arial" w:cs="Arial"/>
          <w:b/>
          <w:bCs/>
          <w:spacing w:val="-3"/>
          <w:sz w:val="24"/>
          <w:szCs w:val="24"/>
          <w:lang w:eastAsia="en-GB"/>
        </w:rPr>
        <w:t xml:space="preserve"> </w:t>
      </w:r>
      <w:r>
        <w:rPr>
          <w:rFonts w:ascii="Arial" w:hAnsi="Arial" w:cs="Arial"/>
          <w:bCs/>
          <w:spacing w:val="-3"/>
          <w:sz w:val="24"/>
          <w:szCs w:val="24"/>
          <w:lang w:eastAsia="en-GB"/>
        </w:rPr>
        <w:t xml:space="preserve">It contains new provisions that places an obligation on service providers to forward any emails to the consumer’s new email account for a period of 12 months, as well as obligations on operators to reimburse any unused pre-paid credit. It also includes an obligation that all switching be gaining-provider-led. </w:t>
      </w:r>
    </w:p>
    <w:p w:rsidR="000A74C6" w:rsidRDefault="000A74C6" w:rsidP="001052DC">
      <w:pPr>
        <w:tabs>
          <w:tab w:val="left" w:pos="0"/>
        </w:tabs>
        <w:suppressAutoHyphens/>
        <w:spacing w:after="0" w:line="240" w:lineRule="auto"/>
        <w:ind w:left="360"/>
        <w:rPr>
          <w:rFonts w:ascii="Arial" w:hAnsi="Arial" w:cs="Arial"/>
          <w:b/>
          <w:bCs/>
          <w:spacing w:val="-3"/>
          <w:sz w:val="24"/>
          <w:szCs w:val="24"/>
          <w:lang w:eastAsia="en-GB"/>
        </w:rPr>
      </w:pPr>
    </w:p>
    <w:p w:rsidR="000A74C6" w:rsidRDefault="000A74C6" w:rsidP="000A74C6">
      <w:pPr>
        <w:tabs>
          <w:tab w:val="left" w:pos="0"/>
        </w:tabs>
        <w:suppressAutoHyphens/>
        <w:spacing w:after="0" w:line="240" w:lineRule="auto"/>
        <w:ind w:left="360"/>
        <w:jc w:val="center"/>
        <w:rPr>
          <w:rFonts w:ascii="Arial" w:hAnsi="Arial" w:cs="Arial"/>
          <w:b/>
          <w:bCs/>
          <w:spacing w:val="-3"/>
          <w:sz w:val="24"/>
          <w:szCs w:val="24"/>
          <w:lang w:eastAsia="en-GB"/>
        </w:rPr>
      </w:pPr>
      <w:r>
        <w:rPr>
          <w:rFonts w:ascii="Arial" w:hAnsi="Arial" w:cs="Arial"/>
          <w:b/>
          <w:bCs/>
          <w:spacing w:val="-3"/>
          <w:sz w:val="24"/>
          <w:szCs w:val="24"/>
          <w:lang w:eastAsia="en-GB"/>
        </w:rPr>
        <w:t>Chapter VI</w:t>
      </w:r>
    </w:p>
    <w:p w:rsidR="000A74C6" w:rsidRDefault="000A74C6" w:rsidP="000A74C6">
      <w:pPr>
        <w:tabs>
          <w:tab w:val="left" w:pos="0"/>
        </w:tabs>
        <w:suppressAutoHyphens/>
        <w:spacing w:after="0" w:line="240" w:lineRule="auto"/>
        <w:ind w:left="360"/>
        <w:jc w:val="center"/>
        <w:rPr>
          <w:rFonts w:ascii="Arial" w:hAnsi="Arial" w:cs="Arial"/>
          <w:b/>
          <w:bCs/>
          <w:spacing w:val="-3"/>
          <w:sz w:val="24"/>
          <w:szCs w:val="24"/>
          <w:lang w:eastAsia="en-GB"/>
        </w:rPr>
      </w:pPr>
    </w:p>
    <w:p w:rsidR="000A74C6" w:rsidRDefault="000A74C6" w:rsidP="000A74C6">
      <w:pPr>
        <w:tabs>
          <w:tab w:val="left" w:pos="0"/>
        </w:tabs>
        <w:suppressAutoHyphens/>
        <w:spacing w:after="0" w:line="240" w:lineRule="auto"/>
        <w:ind w:left="360"/>
        <w:jc w:val="center"/>
        <w:rPr>
          <w:rFonts w:ascii="Arial" w:hAnsi="Arial" w:cs="Arial"/>
          <w:b/>
          <w:bCs/>
          <w:spacing w:val="-3"/>
          <w:sz w:val="24"/>
          <w:szCs w:val="24"/>
          <w:lang w:eastAsia="en-GB"/>
        </w:rPr>
      </w:pPr>
      <w:r>
        <w:rPr>
          <w:rFonts w:ascii="Arial" w:hAnsi="Arial" w:cs="Arial"/>
          <w:b/>
          <w:bCs/>
          <w:spacing w:val="-3"/>
          <w:sz w:val="24"/>
          <w:szCs w:val="24"/>
          <w:lang w:eastAsia="en-GB"/>
        </w:rPr>
        <w:t>Penalties, Delegation of Powers, Committee Procedure and Amendment</w:t>
      </w:r>
      <w:r w:rsidR="00112CBB">
        <w:rPr>
          <w:rFonts w:ascii="Arial" w:hAnsi="Arial" w:cs="Arial"/>
          <w:b/>
          <w:bCs/>
          <w:spacing w:val="-3"/>
          <w:sz w:val="24"/>
          <w:szCs w:val="24"/>
          <w:lang w:eastAsia="en-GB"/>
        </w:rPr>
        <w:t>s</w:t>
      </w:r>
      <w:r>
        <w:rPr>
          <w:rFonts w:ascii="Arial" w:hAnsi="Arial" w:cs="Arial"/>
          <w:b/>
          <w:bCs/>
          <w:spacing w:val="-3"/>
          <w:sz w:val="24"/>
          <w:szCs w:val="24"/>
          <w:lang w:eastAsia="en-GB"/>
        </w:rPr>
        <w:t xml:space="preserve"> to Directive 2002/20/EC (Articles 31 – 3</w:t>
      </w:r>
      <w:r w:rsidR="00112CBB">
        <w:rPr>
          <w:rFonts w:ascii="Arial" w:hAnsi="Arial" w:cs="Arial"/>
          <w:b/>
          <w:bCs/>
          <w:spacing w:val="-3"/>
          <w:sz w:val="24"/>
          <w:szCs w:val="24"/>
          <w:lang w:eastAsia="en-GB"/>
        </w:rPr>
        <w:t>6</w:t>
      </w:r>
      <w:r>
        <w:rPr>
          <w:rFonts w:ascii="Arial" w:hAnsi="Arial" w:cs="Arial"/>
          <w:b/>
          <w:bCs/>
          <w:spacing w:val="-3"/>
          <w:sz w:val="24"/>
          <w:szCs w:val="24"/>
          <w:lang w:eastAsia="en-GB"/>
        </w:rPr>
        <w:t>)</w:t>
      </w:r>
    </w:p>
    <w:p w:rsidR="000A74C6" w:rsidRPr="000A74C6" w:rsidRDefault="000A74C6" w:rsidP="000A74C6">
      <w:pPr>
        <w:tabs>
          <w:tab w:val="left" w:pos="0"/>
        </w:tabs>
        <w:suppressAutoHyphens/>
        <w:spacing w:after="0" w:line="240" w:lineRule="auto"/>
        <w:ind w:left="360"/>
        <w:jc w:val="center"/>
        <w:rPr>
          <w:rFonts w:ascii="Arial" w:hAnsi="Arial" w:cs="Arial"/>
          <w:b/>
          <w:bCs/>
          <w:spacing w:val="-3"/>
          <w:sz w:val="24"/>
          <w:szCs w:val="24"/>
          <w:lang w:eastAsia="en-GB"/>
        </w:rPr>
      </w:pPr>
    </w:p>
    <w:p w:rsidR="000A74C6" w:rsidRPr="000A74C6" w:rsidRDefault="000A74C6" w:rsidP="00EB4F71">
      <w:pPr>
        <w:numPr>
          <w:ilvl w:val="1"/>
          <w:numId w:val="9"/>
        </w:numPr>
        <w:tabs>
          <w:tab w:val="left" w:pos="0"/>
        </w:tabs>
        <w:suppressAutoHyphens/>
        <w:spacing w:after="0" w:line="240" w:lineRule="auto"/>
        <w:rPr>
          <w:rFonts w:ascii="Arial" w:hAnsi="Arial" w:cs="Arial"/>
          <w:b/>
          <w:bCs/>
          <w:spacing w:val="-3"/>
          <w:sz w:val="24"/>
          <w:szCs w:val="24"/>
          <w:lang w:eastAsia="en-GB"/>
        </w:rPr>
      </w:pPr>
      <w:r>
        <w:rPr>
          <w:rFonts w:ascii="Arial" w:hAnsi="Arial" w:cs="Arial"/>
          <w:b/>
          <w:bCs/>
          <w:spacing w:val="-3"/>
          <w:sz w:val="24"/>
          <w:szCs w:val="24"/>
          <w:lang w:eastAsia="en-GB"/>
        </w:rPr>
        <w:t xml:space="preserve"> </w:t>
      </w:r>
      <w:r>
        <w:rPr>
          <w:rFonts w:ascii="Arial" w:hAnsi="Arial" w:cs="Arial"/>
          <w:bCs/>
          <w:spacing w:val="-3"/>
          <w:sz w:val="24"/>
          <w:szCs w:val="24"/>
          <w:lang w:eastAsia="en-GB"/>
        </w:rPr>
        <w:t xml:space="preserve">These Articles set out the mechanism for penalties that can be imposed by NRAs, deals with powers of the Commission to bring forward delegating acts and indicates that the Communication Committee will play a </w:t>
      </w:r>
      <w:proofErr w:type="spellStart"/>
      <w:r>
        <w:rPr>
          <w:rFonts w:ascii="Arial" w:hAnsi="Arial" w:cs="Arial"/>
          <w:bCs/>
          <w:spacing w:val="-3"/>
          <w:sz w:val="24"/>
          <w:szCs w:val="24"/>
          <w:lang w:eastAsia="en-GB"/>
        </w:rPr>
        <w:t>comit</w:t>
      </w:r>
      <w:r w:rsidR="00112CBB">
        <w:rPr>
          <w:rFonts w:ascii="Arial" w:hAnsi="Arial" w:cs="Arial"/>
          <w:bCs/>
          <w:spacing w:val="-3"/>
          <w:sz w:val="24"/>
          <w:szCs w:val="24"/>
          <w:lang w:eastAsia="en-GB"/>
        </w:rPr>
        <w:t>ological</w:t>
      </w:r>
      <w:proofErr w:type="spellEnd"/>
      <w:r>
        <w:rPr>
          <w:rFonts w:ascii="Arial" w:hAnsi="Arial" w:cs="Arial"/>
          <w:bCs/>
          <w:spacing w:val="-3"/>
          <w:sz w:val="24"/>
          <w:szCs w:val="24"/>
          <w:lang w:eastAsia="en-GB"/>
        </w:rPr>
        <w:t xml:space="preserve"> role for the management of the Regulation’s provisions. This section concludes by deleting provisions within the Authorisation</w:t>
      </w:r>
      <w:r w:rsidR="00112CBB">
        <w:rPr>
          <w:rFonts w:ascii="Arial" w:hAnsi="Arial" w:cs="Arial"/>
          <w:bCs/>
          <w:spacing w:val="-3"/>
          <w:sz w:val="24"/>
          <w:szCs w:val="24"/>
          <w:lang w:eastAsia="en-GB"/>
        </w:rPr>
        <w:t>, Framework and Universal Service</w:t>
      </w:r>
      <w:r>
        <w:rPr>
          <w:rFonts w:ascii="Arial" w:hAnsi="Arial" w:cs="Arial"/>
          <w:bCs/>
          <w:spacing w:val="-3"/>
          <w:sz w:val="24"/>
          <w:szCs w:val="24"/>
          <w:lang w:eastAsia="en-GB"/>
        </w:rPr>
        <w:t xml:space="preserve"> directive</w:t>
      </w:r>
      <w:r w:rsidR="00112CBB">
        <w:rPr>
          <w:rFonts w:ascii="Arial" w:hAnsi="Arial" w:cs="Arial"/>
          <w:bCs/>
          <w:spacing w:val="-3"/>
          <w:sz w:val="24"/>
          <w:szCs w:val="24"/>
          <w:lang w:eastAsia="en-GB"/>
        </w:rPr>
        <w:t>s</w:t>
      </w:r>
      <w:r>
        <w:rPr>
          <w:rFonts w:ascii="Arial" w:hAnsi="Arial" w:cs="Arial"/>
          <w:bCs/>
          <w:spacing w:val="-3"/>
          <w:sz w:val="24"/>
          <w:szCs w:val="24"/>
          <w:lang w:eastAsia="en-GB"/>
        </w:rPr>
        <w:t xml:space="preserve"> that would be superseded by the Regulation.</w:t>
      </w:r>
    </w:p>
    <w:p w:rsidR="000A74C6" w:rsidRDefault="000A74C6" w:rsidP="000A74C6">
      <w:pPr>
        <w:tabs>
          <w:tab w:val="left" w:pos="0"/>
        </w:tabs>
        <w:suppressAutoHyphens/>
        <w:spacing w:after="0" w:line="240" w:lineRule="auto"/>
        <w:rPr>
          <w:rFonts w:ascii="Arial" w:hAnsi="Arial" w:cs="Arial"/>
          <w:b/>
          <w:bCs/>
          <w:spacing w:val="-3"/>
          <w:sz w:val="24"/>
          <w:szCs w:val="24"/>
          <w:lang w:eastAsia="en-GB"/>
        </w:rPr>
      </w:pPr>
    </w:p>
    <w:p w:rsidR="00112CBB" w:rsidRDefault="00112CBB" w:rsidP="00112CBB">
      <w:pPr>
        <w:tabs>
          <w:tab w:val="left" w:pos="0"/>
        </w:tabs>
        <w:suppressAutoHyphens/>
        <w:spacing w:after="0" w:line="240" w:lineRule="auto"/>
        <w:jc w:val="center"/>
        <w:rPr>
          <w:rFonts w:ascii="Arial" w:hAnsi="Arial" w:cs="Arial"/>
          <w:b/>
          <w:bCs/>
          <w:spacing w:val="-3"/>
          <w:sz w:val="24"/>
          <w:szCs w:val="24"/>
          <w:lang w:eastAsia="en-GB"/>
        </w:rPr>
      </w:pPr>
    </w:p>
    <w:p w:rsidR="00112CBB" w:rsidRDefault="00112CBB" w:rsidP="00112CBB">
      <w:pPr>
        <w:tabs>
          <w:tab w:val="left" w:pos="0"/>
        </w:tabs>
        <w:suppressAutoHyphens/>
        <w:spacing w:after="0" w:line="240" w:lineRule="auto"/>
        <w:jc w:val="center"/>
        <w:rPr>
          <w:rFonts w:ascii="Arial" w:hAnsi="Arial" w:cs="Arial"/>
          <w:b/>
          <w:bCs/>
          <w:spacing w:val="-3"/>
          <w:sz w:val="24"/>
          <w:szCs w:val="24"/>
          <w:lang w:eastAsia="en-GB"/>
        </w:rPr>
      </w:pPr>
      <w:r>
        <w:rPr>
          <w:rFonts w:ascii="Arial" w:hAnsi="Arial" w:cs="Arial"/>
          <w:b/>
          <w:bCs/>
          <w:spacing w:val="-3"/>
          <w:sz w:val="24"/>
          <w:szCs w:val="24"/>
          <w:lang w:eastAsia="en-GB"/>
        </w:rPr>
        <w:t>Amendments to Regulation (EU) No 531/2012 (Article 37)</w:t>
      </w:r>
    </w:p>
    <w:p w:rsidR="00112CBB" w:rsidRPr="000A74C6" w:rsidRDefault="00112CBB" w:rsidP="000A74C6">
      <w:pPr>
        <w:tabs>
          <w:tab w:val="left" w:pos="0"/>
        </w:tabs>
        <w:suppressAutoHyphens/>
        <w:spacing w:after="0" w:line="240" w:lineRule="auto"/>
        <w:rPr>
          <w:rFonts w:ascii="Arial" w:hAnsi="Arial" w:cs="Arial"/>
          <w:b/>
          <w:bCs/>
          <w:spacing w:val="-3"/>
          <w:sz w:val="24"/>
          <w:szCs w:val="24"/>
          <w:lang w:eastAsia="en-GB"/>
        </w:rPr>
      </w:pPr>
    </w:p>
    <w:p w:rsidR="002C39EE" w:rsidRPr="00112CBB" w:rsidRDefault="00112CBB" w:rsidP="00EB4F71">
      <w:pPr>
        <w:numPr>
          <w:ilvl w:val="1"/>
          <w:numId w:val="9"/>
        </w:numPr>
        <w:tabs>
          <w:tab w:val="left" w:pos="0"/>
        </w:tabs>
        <w:suppressAutoHyphens/>
        <w:spacing w:after="0" w:line="240" w:lineRule="auto"/>
        <w:rPr>
          <w:rFonts w:ascii="Arial" w:hAnsi="Arial" w:cs="Arial"/>
          <w:bCs/>
          <w:spacing w:val="-3"/>
          <w:sz w:val="24"/>
          <w:szCs w:val="24"/>
          <w:lang w:eastAsia="en-GB"/>
        </w:rPr>
      </w:pPr>
      <w:r>
        <w:rPr>
          <w:rFonts w:ascii="Arial" w:hAnsi="Arial" w:cs="Arial"/>
          <w:bCs/>
          <w:spacing w:val="-3"/>
          <w:sz w:val="24"/>
          <w:szCs w:val="24"/>
          <w:lang w:eastAsia="en-GB"/>
        </w:rPr>
        <w:t>This Article contains two elements that would change the recently agreed</w:t>
      </w:r>
      <w:r>
        <w:rPr>
          <w:rFonts w:ascii="Arial" w:hAnsi="Arial" w:cs="Arial"/>
          <w:b/>
          <w:bCs/>
          <w:spacing w:val="-3"/>
          <w:sz w:val="24"/>
          <w:szCs w:val="24"/>
          <w:lang w:eastAsia="en-GB"/>
        </w:rPr>
        <w:t xml:space="preserve"> </w:t>
      </w:r>
      <w:r w:rsidRPr="00112CBB">
        <w:rPr>
          <w:rFonts w:ascii="Arial" w:hAnsi="Arial" w:cs="Arial"/>
          <w:bCs/>
          <w:spacing w:val="-3"/>
          <w:sz w:val="24"/>
          <w:szCs w:val="24"/>
          <w:lang w:eastAsia="en-GB"/>
        </w:rPr>
        <w:t>third EU Mobile Roaming Regulation</w:t>
      </w:r>
      <w:r>
        <w:rPr>
          <w:rFonts w:ascii="Arial" w:hAnsi="Arial" w:cs="Arial"/>
          <w:bCs/>
          <w:spacing w:val="-3"/>
          <w:sz w:val="24"/>
          <w:szCs w:val="24"/>
          <w:lang w:eastAsia="en-GB"/>
        </w:rPr>
        <w:t>.</w:t>
      </w:r>
    </w:p>
    <w:p w:rsidR="002C39EE" w:rsidRDefault="002C39EE" w:rsidP="00112CBB">
      <w:pPr>
        <w:tabs>
          <w:tab w:val="left" w:pos="0"/>
        </w:tabs>
        <w:suppressAutoHyphens/>
        <w:spacing w:after="0" w:line="240" w:lineRule="auto"/>
        <w:ind w:left="360"/>
        <w:rPr>
          <w:rFonts w:ascii="Arial" w:hAnsi="Arial" w:cs="Arial"/>
          <w:b/>
          <w:bCs/>
          <w:spacing w:val="-3"/>
          <w:sz w:val="24"/>
          <w:szCs w:val="24"/>
          <w:lang w:eastAsia="en-GB"/>
        </w:rPr>
      </w:pPr>
    </w:p>
    <w:p w:rsidR="002C39EE" w:rsidRDefault="00112CBB" w:rsidP="00EB4F71">
      <w:pPr>
        <w:numPr>
          <w:ilvl w:val="1"/>
          <w:numId w:val="9"/>
        </w:numPr>
        <w:tabs>
          <w:tab w:val="left" w:pos="0"/>
        </w:tabs>
        <w:suppressAutoHyphens/>
        <w:spacing w:after="0" w:line="240" w:lineRule="auto"/>
        <w:rPr>
          <w:rFonts w:ascii="Arial" w:hAnsi="Arial" w:cs="Arial"/>
          <w:b/>
          <w:bCs/>
          <w:spacing w:val="-3"/>
          <w:sz w:val="24"/>
          <w:szCs w:val="24"/>
          <w:lang w:eastAsia="en-GB"/>
        </w:rPr>
      </w:pPr>
      <w:r>
        <w:rPr>
          <w:rFonts w:ascii="Arial" w:hAnsi="Arial" w:cs="Arial"/>
          <w:bCs/>
          <w:spacing w:val="-3"/>
          <w:sz w:val="24"/>
          <w:szCs w:val="24"/>
          <w:lang w:eastAsia="en-GB"/>
        </w:rPr>
        <w:t>The first is that, from 1</w:t>
      </w:r>
      <w:r w:rsidRPr="00112CBB">
        <w:rPr>
          <w:rFonts w:ascii="Arial" w:hAnsi="Arial" w:cs="Arial"/>
          <w:bCs/>
          <w:spacing w:val="-3"/>
          <w:sz w:val="24"/>
          <w:szCs w:val="24"/>
          <w:vertAlign w:val="superscript"/>
          <w:lang w:eastAsia="en-GB"/>
        </w:rPr>
        <w:t>st</w:t>
      </w:r>
      <w:r>
        <w:rPr>
          <w:rFonts w:ascii="Arial" w:hAnsi="Arial" w:cs="Arial"/>
          <w:bCs/>
          <w:spacing w:val="-3"/>
          <w:sz w:val="24"/>
          <w:szCs w:val="24"/>
          <w:lang w:eastAsia="en-GB"/>
        </w:rPr>
        <w:t xml:space="preserve"> July 2014, consumers would not be charged to receive voice-calls.</w:t>
      </w:r>
    </w:p>
    <w:p w:rsidR="002C39EE" w:rsidRDefault="002C39EE" w:rsidP="00112CBB">
      <w:pPr>
        <w:tabs>
          <w:tab w:val="left" w:pos="0"/>
        </w:tabs>
        <w:suppressAutoHyphens/>
        <w:spacing w:after="0" w:line="240" w:lineRule="auto"/>
        <w:ind w:left="360"/>
        <w:rPr>
          <w:rFonts w:ascii="Arial" w:hAnsi="Arial" w:cs="Arial"/>
          <w:b/>
          <w:bCs/>
          <w:spacing w:val="-3"/>
          <w:sz w:val="24"/>
          <w:szCs w:val="24"/>
          <w:lang w:eastAsia="en-GB"/>
        </w:rPr>
      </w:pPr>
    </w:p>
    <w:p w:rsidR="002C39EE" w:rsidRPr="00112CBB" w:rsidRDefault="00112CBB" w:rsidP="00EB4F71">
      <w:pPr>
        <w:numPr>
          <w:ilvl w:val="1"/>
          <w:numId w:val="9"/>
        </w:numPr>
        <w:tabs>
          <w:tab w:val="left" w:pos="0"/>
        </w:tabs>
        <w:suppressAutoHyphens/>
        <w:spacing w:after="0" w:line="240" w:lineRule="auto"/>
        <w:rPr>
          <w:rFonts w:ascii="Arial" w:hAnsi="Arial" w:cs="Arial"/>
          <w:b/>
          <w:bCs/>
          <w:spacing w:val="-3"/>
          <w:sz w:val="24"/>
          <w:szCs w:val="24"/>
          <w:lang w:eastAsia="en-GB"/>
        </w:rPr>
      </w:pPr>
      <w:r>
        <w:rPr>
          <w:rFonts w:ascii="Arial" w:hAnsi="Arial" w:cs="Arial"/>
          <w:bCs/>
          <w:spacing w:val="-3"/>
          <w:sz w:val="24"/>
          <w:szCs w:val="24"/>
          <w:lang w:eastAsia="en-GB"/>
        </w:rPr>
        <w:t xml:space="preserve">The second element provides an exemption for operators from the obligation to decouple </w:t>
      </w:r>
      <w:r w:rsidR="005479B2">
        <w:rPr>
          <w:rFonts w:ascii="Arial" w:hAnsi="Arial" w:cs="Arial"/>
          <w:bCs/>
          <w:spacing w:val="-3"/>
          <w:sz w:val="24"/>
          <w:szCs w:val="24"/>
          <w:lang w:eastAsia="en-GB"/>
        </w:rPr>
        <w:t xml:space="preserve">roaming </w:t>
      </w:r>
      <w:proofErr w:type="spellStart"/>
      <w:r w:rsidR="005479B2">
        <w:rPr>
          <w:rFonts w:ascii="Arial" w:hAnsi="Arial" w:cs="Arial"/>
          <w:bCs/>
          <w:spacing w:val="-3"/>
          <w:sz w:val="24"/>
          <w:szCs w:val="24"/>
          <w:lang w:eastAsia="en-GB"/>
        </w:rPr>
        <w:t>ie</w:t>
      </w:r>
      <w:proofErr w:type="spellEnd"/>
      <w:r w:rsidR="005479B2">
        <w:rPr>
          <w:rFonts w:ascii="Arial" w:hAnsi="Arial" w:cs="Arial"/>
          <w:bCs/>
          <w:spacing w:val="-3"/>
          <w:sz w:val="24"/>
          <w:szCs w:val="24"/>
          <w:lang w:eastAsia="en-GB"/>
        </w:rPr>
        <w:t xml:space="preserve"> the third Regulation allows consumers to choice separate providers for their domestic and roaming provisions (from 1</w:t>
      </w:r>
      <w:r w:rsidR="005479B2" w:rsidRPr="005479B2">
        <w:rPr>
          <w:rFonts w:ascii="Arial" w:hAnsi="Arial" w:cs="Arial"/>
          <w:bCs/>
          <w:spacing w:val="-3"/>
          <w:sz w:val="24"/>
          <w:szCs w:val="24"/>
          <w:vertAlign w:val="superscript"/>
          <w:lang w:eastAsia="en-GB"/>
        </w:rPr>
        <w:t>st</w:t>
      </w:r>
      <w:r w:rsidR="005479B2">
        <w:rPr>
          <w:rFonts w:ascii="Arial" w:hAnsi="Arial" w:cs="Arial"/>
          <w:bCs/>
          <w:spacing w:val="-3"/>
          <w:sz w:val="24"/>
          <w:szCs w:val="24"/>
          <w:lang w:eastAsia="en-GB"/>
        </w:rPr>
        <w:t xml:space="preserve"> July 2014).  In order to gain this exemption, service providers must form a commercial or technical agreement with other operators that create a ‘virtual’ cross-border network that covers at least 17 </w:t>
      </w:r>
      <w:r w:rsidR="005479B2">
        <w:rPr>
          <w:rFonts w:ascii="Arial" w:hAnsi="Arial" w:cs="Arial"/>
          <w:bCs/>
          <w:spacing w:val="-3"/>
          <w:sz w:val="24"/>
          <w:szCs w:val="24"/>
          <w:lang w:eastAsia="en-GB"/>
        </w:rPr>
        <w:lastRenderedPageBreak/>
        <w:t>Member States and 70% of the EU population and offer at least one retail package that offers a roaming service charged at domestic rates.</w:t>
      </w:r>
    </w:p>
    <w:p w:rsidR="00112CBB" w:rsidRDefault="00112CBB" w:rsidP="005479B2">
      <w:pPr>
        <w:tabs>
          <w:tab w:val="left" w:pos="0"/>
        </w:tabs>
        <w:suppressAutoHyphens/>
        <w:spacing w:after="0" w:line="240" w:lineRule="auto"/>
        <w:ind w:left="360"/>
        <w:rPr>
          <w:rFonts w:ascii="Arial" w:hAnsi="Arial" w:cs="Arial"/>
          <w:b/>
          <w:bCs/>
          <w:spacing w:val="-3"/>
          <w:sz w:val="24"/>
          <w:szCs w:val="24"/>
          <w:lang w:eastAsia="en-GB"/>
        </w:rPr>
      </w:pPr>
    </w:p>
    <w:p w:rsidR="002C39EE" w:rsidRDefault="005479B2" w:rsidP="00EB4F71">
      <w:pPr>
        <w:numPr>
          <w:ilvl w:val="1"/>
          <w:numId w:val="9"/>
        </w:numPr>
        <w:tabs>
          <w:tab w:val="left" w:pos="0"/>
        </w:tabs>
        <w:suppressAutoHyphens/>
        <w:spacing w:after="0" w:line="240" w:lineRule="auto"/>
        <w:rPr>
          <w:rFonts w:ascii="Arial" w:hAnsi="Arial" w:cs="Arial"/>
          <w:b/>
          <w:bCs/>
          <w:spacing w:val="-3"/>
          <w:sz w:val="24"/>
          <w:szCs w:val="24"/>
          <w:lang w:eastAsia="en-GB"/>
        </w:rPr>
      </w:pPr>
      <w:r>
        <w:rPr>
          <w:rFonts w:ascii="Arial" w:hAnsi="Arial" w:cs="Arial"/>
          <w:bCs/>
          <w:spacing w:val="-3"/>
          <w:sz w:val="24"/>
          <w:szCs w:val="24"/>
          <w:lang w:eastAsia="en-GB"/>
        </w:rPr>
        <w:t>The Article also provides for a transitional period of three years and makes allowance for reasonable use provisions.</w:t>
      </w:r>
    </w:p>
    <w:p w:rsidR="006A7818" w:rsidRDefault="006A7818" w:rsidP="005479B2">
      <w:pPr>
        <w:tabs>
          <w:tab w:val="left" w:pos="0"/>
        </w:tabs>
        <w:suppressAutoHyphens/>
        <w:spacing w:after="0" w:line="240" w:lineRule="auto"/>
        <w:ind w:left="360"/>
        <w:jc w:val="center"/>
        <w:rPr>
          <w:rFonts w:ascii="Arial" w:hAnsi="Arial" w:cs="Arial"/>
          <w:b/>
          <w:bCs/>
          <w:spacing w:val="-3"/>
          <w:sz w:val="24"/>
          <w:szCs w:val="24"/>
          <w:lang w:eastAsia="en-GB"/>
        </w:rPr>
      </w:pPr>
    </w:p>
    <w:p w:rsidR="005479B2" w:rsidRDefault="005479B2" w:rsidP="005479B2">
      <w:pPr>
        <w:tabs>
          <w:tab w:val="left" w:pos="0"/>
        </w:tabs>
        <w:suppressAutoHyphens/>
        <w:spacing w:after="0" w:line="240" w:lineRule="auto"/>
        <w:ind w:left="360"/>
        <w:jc w:val="center"/>
        <w:rPr>
          <w:rFonts w:ascii="Arial" w:hAnsi="Arial" w:cs="Arial"/>
          <w:b/>
          <w:bCs/>
          <w:spacing w:val="-3"/>
          <w:sz w:val="24"/>
          <w:szCs w:val="24"/>
          <w:lang w:eastAsia="en-GB"/>
        </w:rPr>
      </w:pPr>
      <w:r>
        <w:rPr>
          <w:rFonts w:ascii="Arial" w:hAnsi="Arial" w:cs="Arial"/>
          <w:b/>
          <w:bCs/>
          <w:spacing w:val="-3"/>
          <w:sz w:val="24"/>
          <w:szCs w:val="24"/>
          <w:lang w:eastAsia="en-GB"/>
        </w:rPr>
        <w:t>Amendments to Regulation (EC) No 1211/2009</w:t>
      </w:r>
      <w:r w:rsidR="00B601D3">
        <w:rPr>
          <w:rFonts w:ascii="Arial" w:hAnsi="Arial" w:cs="Arial"/>
          <w:b/>
          <w:bCs/>
          <w:spacing w:val="-3"/>
          <w:sz w:val="24"/>
          <w:szCs w:val="24"/>
          <w:lang w:eastAsia="en-GB"/>
        </w:rPr>
        <w:t xml:space="preserve"> (Article 38)</w:t>
      </w:r>
    </w:p>
    <w:p w:rsidR="005479B2" w:rsidRDefault="005479B2" w:rsidP="005479B2">
      <w:pPr>
        <w:tabs>
          <w:tab w:val="left" w:pos="0"/>
        </w:tabs>
        <w:suppressAutoHyphens/>
        <w:spacing w:after="0" w:line="240" w:lineRule="auto"/>
        <w:ind w:left="360"/>
        <w:rPr>
          <w:rFonts w:ascii="Arial" w:hAnsi="Arial" w:cs="Arial"/>
          <w:b/>
          <w:bCs/>
          <w:spacing w:val="-3"/>
          <w:sz w:val="24"/>
          <w:szCs w:val="24"/>
          <w:lang w:eastAsia="en-GB"/>
        </w:rPr>
      </w:pPr>
    </w:p>
    <w:p w:rsidR="005479B2" w:rsidRPr="005479B2" w:rsidRDefault="005479B2" w:rsidP="005479B2">
      <w:pPr>
        <w:tabs>
          <w:tab w:val="left" w:pos="0"/>
        </w:tabs>
        <w:suppressAutoHyphens/>
        <w:spacing w:after="0" w:line="240" w:lineRule="auto"/>
        <w:rPr>
          <w:rFonts w:ascii="Arial" w:hAnsi="Arial" w:cs="Arial"/>
          <w:b/>
          <w:bCs/>
          <w:spacing w:val="-3"/>
          <w:sz w:val="24"/>
          <w:szCs w:val="24"/>
          <w:lang w:eastAsia="en-GB"/>
        </w:rPr>
      </w:pPr>
    </w:p>
    <w:p w:rsidR="005479B2" w:rsidRPr="00B601D3" w:rsidRDefault="00B601D3" w:rsidP="00EB4F71">
      <w:pPr>
        <w:numPr>
          <w:ilvl w:val="1"/>
          <w:numId w:val="9"/>
        </w:numPr>
        <w:tabs>
          <w:tab w:val="left" w:pos="0"/>
        </w:tabs>
        <w:suppressAutoHyphens/>
        <w:spacing w:after="0" w:line="240" w:lineRule="auto"/>
        <w:rPr>
          <w:rFonts w:ascii="Arial" w:hAnsi="Arial" w:cs="Arial"/>
          <w:b/>
          <w:bCs/>
          <w:spacing w:val="-3"/>
          <w:sz w:val="24"/>
          <w:szCs w:val="24"/>
          <w:lang w:eastAsia="en-GB"/>
        </w:rPr>
      </w:pPr>
      <w:r>
        <w:rPr>
          <w:rFonts w:ascii="Arial" w:hAnsi="Arial" w:cs="Arial"/>
          <w:b/>
          <w:bCs/>
          <w:spacing w:val="-3"/>
          <w:sz w:val="24"/>
          <w:szCs w:val="24"/>
          <w:lang w:eastAsia="en-GB"/>
        </w:rPr>
        <w:t xml:space="preserve"> </w:t>
      </w:r>
      <w:r>
        <w:rPr>
          <w:rFonts w:ascii="Arial" w:hAnsi="Arial" w:cs="Arial"/>
          <w:bCs/>
          <w:spacing w:val="-3"/>
          <w:sz w:val="24"/>
          <w:szCs w:val="24"/>
          <w:lang w:eastAsia="en-GB"/>
        </w:rPr>
        <w:t>This Article proposes changes to the Regulation that established the Body of European Regulators of Electronic Communications (BEREC).  The first change proposes that the term of the Administrative Manager of the BEREC office be extended from three to five years, renewable once.</w:t>
      </w:r>
    </w:p>
    <w:p w:rsidR="00B601D3" w:rsidRDefault="00B601D3" w:rsidP="00B601D3">
      <w:pPr>
        <w:tabs>
          <w:tab w:val="left" w:pos="0"/>
        </w:tabs>
        <w:suppressAutoHyphens/>
        <w:spacing w:after="0" w:line="240" w:lineRule="auto"/>
        <w:rPr>
          <w:rFonts w:ascii="Arial" w:hAnsi="Arial" w:cs="Arial"/>
          <w:b/>
          <w:bCs/>
          <w:spacing w:val="-3"/>
          <w:sz w:val="24"/>
          <w:szCs w:val="24"/>
          <w:lang w:eastAsia="en-GB"/>
        </w:rPr>
      </w:pPr>
    </w:p>
    <w:p w:rsidR="005479B2" w:rsidRPr="00D91ACA" w:rsidRDefault="00B601D3" w:rsidP="00EB4F71">
      <w:pPr>
        <w:numPr>
          <w:ilvl w:val="1"/>
          <w:numId w:val="9"/>
        </w:numPr>
        <w:tabs>
          <w:tab w:val="left" w:pos="0"/>
        </w:tabs>
        <w:suppressAutoHyphens/>
        <w:spacing w:after="0" w:line="240" w:lineRule="auto"/>
        <w:rPr>
          <w:rFonts w:ascii="Arial" w:hAnsi="Arial" w:cs="Arial"/>
          <w:b/>
          <w:bCs/>
          <w:spacing w:val="-3"/>
          <w:sz w:val="24"/>
          <w:szCs w:val="24"/>
          <w:lang w:eastAsia="en-GB"/>
        </w:rPr>
      </w:pPr>
      <w:r>
        <w:rPr>
          <w:rFonts w:ascii="Arial" w:hAnsi="Arial" w:cs="Arial"/>
          <w:bCs/>
          <w:spacing w:val="-3"/>
          <w:sz w:val="24"/>
          <w:szCs w:val="24"/>
          <w:lang w:eastAsia="en-GB"/>
        </w:rPr>
        <w:t>The second change proposes that the role of BEREC Chair be filled by a ‘full-time independent professional’ to be appointed for a three-year term.  The Chair is currently drawn from BEREC mem</w:t>
      </w:r>
      <w:r w:rsidR="001052DC">
        <w:rPr>
          <w:rFonts w:ascii="Arial" w:hAnsi="Arial" w:cs="Arial"/>
          <w:bCs/>
          <w:spacing w:val="-3"/>
          <w:sz w:val="24"/>
          <w:szCs w:val="24"/>
          <w:lang w:eastAsia="en-GB"/>
        </w:rPr>
        <w:t xml:space="preserve">bers </w:t>
      </w:r>
      <w:proofErr w:type="spellStart"/>
      <w:r w:rsidR="001052DC">
        <w:rPr>
          <w:rFonts w:ascii="Arial" w:hAnsi="Arial" w:cs="Arial"/>
          <w:bCs/>
          <w:spacing w:val="-3"/>
          <w:sz w:val="24"/>
          <w:szCs w:val="24"/>
          <w:lang w:eastAsia="en-GB"/>
        </w:rPr>
        <w:t>ie</w:t>
      </w:r>
      <w:proofErr w:type="spellEnd"/>
      <w:r w:rsidR="001052DC">
        <w:rPr>
          <w:rFonts w:ascii="Arial" w:hAnsi="Arial" w:cs="Arial"/>
          <w:bCs/>
          <w:spacing w:val="-3"/>
          <w:sz w:val="24"/>
          <w:szCs w:val="24"/>
          <w:lang w:eastAsia="en-GB"/>
        </w:rPr>
        <w:t xml:space="preserve"> the heads of NRAs and serves</w:t>
      </w:r>
      <w:r>
        <w:rPr>
          <w:rFonts w:ascii="Arial" w:hAnsi="Arial" w:cs="Arial"/>
          <w:bCs/>
          <w:spacing w:val="-3"/>
          <w:sz w:val="24"/>
          <w:szCs w:val="24"/>
          <w:lang w:eastAsia="en-GB"/>
        </w:rPr>
        <w:t xml:space="preserve"> a one-year term.</w:t>
      </w:r>
    </w:p>
    <w:p w:rsidR="00D91ACA" w:rsidRDefault="00D91ACA" w:rsidP="00D91ACA">
      <w:pPr>
        <w:tabs>
          <w:tab w:val="left" w:pos="0"/>
        </w:tabs>
        <w:suppressAutoHyphens/>
        <w:spacing w:after="0" w:line="240" w:lineRule="auto"/>
        <w:rPr>
          <w:rFonts w:ascii="Arial" w:hAnsi="Arial" w:cs="Arial"/>
          <w:bCs/>
          <w:spacing w:val="-3"/>
          <w:sz w:val="24"/>
          <w:szCs w:val="24"/>
          <w:lang w:eastAsia="en-GB"/>
        </w:rPr>
      </w:pPr>
    </w:p>
    <w:p w:rsidR="00D91ACA" w:rsidRPr="00D91ACA" w:rsidRDefault="00D91ACA" w:rsidP="00D91ACA">
      <w:pPr>
        <w:tabs>
          <w:tab w:val="left" w:pos="0"/>
        </w:tabs>
        <w:suppressAutoHyphens/>
        <w:spacing w:after="0" w:line="240" w:lineRule="auto"/>
        <w:jc w:val="center"/>
        <w:rPr>
          <w:rFonts w:ascii="Arial" w:hAnsi="Arial" w:cs="Arial"/>
          <w:b/>
          <w:bCs/>
          <w:spacing w:val="-3"/>
          <w:sz w:val="24"/>
          <w:szCs w:val="24"/>
          <w:lang w:eastAsia="en-GB"/>
        </w:rPr>
      </w:pPr>
      <w:r>
        <w:rPr>
          <w:rFonts w:ascii="Arial" w:hAnsi="Arial" w:cs="Arial"/>
          <w:b/>
          <w:bCs/>
          <w:spacing w:val="-3"/>
          <w:sz w:val="24"/>
          <w:szCs w:val="24"/>
          <w:lang w:eastAsia="en-GB"/>
        </w:rPr>
        <w:t>Review Clause and Entry into force (Articles 39 &amp; 40)</w:t>
      </w:r>
    </w:p>
    <w:p w:rsidR="00D91ACA" w:rsidRDefault="00D91ACA" w:rsidP="00D91ACA">
      <w:pPr>
        <w:tabs>
          <w:tab w:val="left" w:pos="0"/>
        </w:tabs>
        <w:suppressAutoHyphens/>
        <w:spacing w:after="0" w:line="240" w:lineRule="auto"/>
        <w:rPr>
          <w:rFonts w:ascii="Arial" w:hAnsi="Arial" w:cs="Arial"/>
          <w:b/>
          <w:bCs/>
          <w:spacing w:val="-3"/>
          <w:sz w:val="24"/>
          <w:szCs w:val="24"/>
          <w:lang w:eastAsia="en-GB"/>
        </w:rPr>
      </w:pPr>
    </w:p>
    <w:p w:rsidR="009515AA" w:rsidRPr="00152F92" w:rsidRDefault="009515AA" w:rsidP="009515AA">
      <w:pPr>
        <w:numPr>
          <w:ilvl w:val="1"/>
          <w:numId w:val="9"/>
        </w:numPr>
        <w:tabs>
          <w:tab w:val="left" w:pos="0"/>
        </w:tabs>
        <w:suppressAutoHyphens/>
        <w:spacing w:after="0" w:line="240" w:lineRule="auto"/>
        <w:rPr>
          <w:rFonts w:ascii="Arial" w:hAnsi="Arial" w:cs="Arial"/>
          <w:b/>
          <w:bCs/>
          <w:spacing w:val="-3"/>
          <w:sz w:val="24"/>
          <w:szCs w:val="24"/>
          <w:lang w:eastAsia="en-GB"/>
        </w:rPr>
      </w:pPr>
      <w:r>
        <w:rPr>
          <w:rFonts w:ascii="Arial" w:hAnsi="Arial" w:cs="Arial"/>
          <w:bCs/>
          <w:spacing w:val="-3"/>
          <w:sz w:val="24"/>
          <w:szCs w:val="24"/>
          <w:lang w:eastAsia="en-GB"/>
        </w:rPr>
        <w:t>The first Article sets down a requirement that a review and report on the Regulation take place no later than 1</w:t>
      </w:r>
      <w:r w:rsidRPr="00D91ACA">
        <w:rPr>
          <w:rFonts w:ascii="Arial" w:hAnsi="Arial" w:cs="Arial"/>
          <w:bCs/>
          <w:spacing w:val="-3"/>
          <w:sz w:val="24"/>
          <w:szCs w:val="24"/>
          <w:vertAlign w:val="superscript"/>
          <w:lang w:eastAsia="en-GB"/>
        </w:rPr>
        <w:t>st</w:t>
      </w:r>
      <w:r>
        <w:rPr>
          <w:rFonts w:ascii="Arial" w:hAnsi="Arial" w:cs="Arial"/>
          <w:bCs/>
          <w:spacing w:val="-3"/>
          <w:sz w:val="24"/>
          <w:szCs w:val="24"/>
          <w:lang w:eastAsia="en-GB"/>
        </w:rPr>
        <w:t xml:space="preserve"> July 2018 and the final Article provides that the Regulation will come into force on 1st July 2014, except for Articles 21 to 30, which will come into force on 1st July 2016.</w:t>
      </w:r>
    </w:p>
    <w:p w:rsidR="00152F92" w:rsidRDefault="00152F92" w:rsidP="00152F92">
      <w:pPr>
        <w:tabs>
          <w:tab w:val="left" w:pos="0"/>
        </w:tabs>
        <w:suppressAutoHyphens/>
        <w:spacing w:after="0" w:line="240" w:lineRule="auto"/>
        <w:rPr>
          <w:rFonts w:ascii="Arial" w:hAnsi="Arial" w:cs="Arial"/>
          <w:bCs/>
          <w:spacing w:val="-3"/>
          <w:sz w:val="24"/>
          <w:szCs w:val="24"/>
          <w:lang w:eastAsia="en-GB"/>
        </w:rPr>
      </w:pPr>
    </w:p>
    <w:p w:rsidR="00152F92" w:rsidRDefault="00152F92" w:rsidP="00152F92">
      <w:pPr>
        <w:tabs>
          <w:tab w:val="left" w:pos="0"/>
        </w:tabs>
        <w:suppressAutoHyphens/>
        <w:spacing w:after="0" w:line="240" w:lineRule="auto"/>
        <w:jc w:val="center"/>
        <w:rPr>
          <w:rFonts w:ascii="Arial" w:hAnsi="Arial" w:cs="Arial"/>
          <w:b/>
          <w:bCs/>
          <w:spacing w:val="-3"/>
          <w:sz w:val="24"/>
          <w:szCs w:val="24"/>
          <w:lang w:eastAsia="en-GB"/>
        </w:rPr>
      </w:pPr>
      <w:r>
        <w:rPr>
          <w:rFonts w:ascii="Arial" w:hAnsi="Arial" w:cs="Arial"/>
          <w:b/>
          <w:bCs/>
          <w:spacing w:val="-3"/>
          <w:sz w:val="24"/>
          <w:szCs w:val="24"/>
          <w:lang w:eastAsia="en-GB"/>
        </w:rPr>
        <w:t>Annexes I &amp; II</w:t>
      </w:r>
    </w:p>
    <w:p w:rsidR="00152F92" w:rsidRDefault="00152F92" w:rsidP="00152F92">
      <w:pPr>
        <w:tabs>
          <w:tab w:val="left" w:pos="0"/>
        </w:tabs>
        <w:suppressAutoHyphens/>
        <w:spacing w:after="0" w:line="240" w:lineRule="auto"/>
        <w:jc w:val="center"/>
        <w:rPr>
          <w:rFonts w:ascii="Arial" w:hAnsi="Arial" w:cs="Arial"/>
          <w:b/>
          <w:bCs/>
          <w:spacing w:val="-3"/>
          <w:sz w:val="24"/>
          <w:szCs w:val="24"/>
          <w:lang w:eastAsia="en-GB"/>
        </w:rPr>
      </w:pPr>
    </w:p>
    <w:p w:rsidR="00152F92" w:rsidRPr="00B4525D" w:rsidRDefault="00152F92" w:rsidP="00EB4F71">
      <w:pPr>
        <w:numPr>
          <w:ilvl w:val="1"/>
          <w:numId w:val="9"/>
        </w:numPr>
        <w:tabs>
          <w:tab w:val="left" w:pos="0"/>
        </w:tabs>
        <w:suppressAutoHyphens/>
        <w:spacing w:after="0" w:line="240" w:lineRule="auto"/>
        <w:rPr>
          <w:rFonts w:ascii="Arial" w:hAnsi="Arial" w:cs="Arial"/>
          <w:b/>
          <w:bCs/>
          <w:spacing w:val="-3"/>
          <w:sz w:val="24"/>
          <w:szCs w:val="24"/>
          <w:lang w:eastAsia="en-GB"/>
        </w:rPr>
      </w:pPr>
      <w:r>
        <w:rPr>
          <w:rFonts w:ascii="Arial" w:hAnsi="Arial" w:cs="Arial"/>
          <w:bCs/>
          <w:spacing w:val="-3"/>
          <w:sz w:val="24"/>
          <w:szCs w:val="24"/>
          <w:lang w:eastAsia="en-GB"/>
        </w:rPr>
        <w:t>The Regulation concludes with two Annexes that set out the technical requirements for the wholesale broadband access products covered by paragraphs</w:t>
      </w:r>
      <w:r w:rsidR="00106683">
        <w:rPr>
          <w:rFonts w:ascii="Arial" w:hAnsi="Arial" w:cs="Arial"/>
          <w:bCs/>
          <w:spacing w:val="-3"/>
          <w:sz w:val="24"/>
          <w:szCs w:val="24"/>
          <w:lang w:eastAsia="en-GB"/>
        </w:rPr>
        <w:t xml:space="preserve"> 15 to 16 and 57 to 61</w:t>
      </w:r>
      <w:r>
        <w:rPr>
          <w:rFonts w:ascii="Arial" w:hAnsi="Arial" w:cs="Arial"/>
          <w:bCs/>
          <w:spacing w:val="-3"/>
          <w:sz w:val="24"/>
          <w:szCs w:val="24"/>
          <w:lang w:eastAsia="en-GB"/>
        </w:rPr>
        <w:t>of this EM</w:t>
      </w:r>
      <w:r w:rsidR="00B4525D">
        <w:rPr>
          <w:rFonts w:ascii="Arial" w:hAnsi="Arial" w:cs="Arial"/>
          <w:bCs/>
          <w:spacing w:val="-3"/>
          <w:sz w:val="24"/>
          <w:szCs w:val="24"/>
          <w:lang w:eastAsia="en-GB"/>
        </w:rPr>
        <w:t>.</w:t>
      </w:r>
    </w:p>
    <w:p w:rsidR="00B4525D" w:rsidRDefault="00B4525D" w:rsidP="00B4525D">
      <w:pPr>
        <w:tabs>
          <w:tab w:val="left" w:pos="0"/>
        </w:tabs>
        <w:suppressAutoHyphens/>
        <w:spacing w:after="0" w:line="240" w:lineRule="auto"/>
        <w:rPr>
          <w:rFonts w:ascii="Arial" w:hAnsi="Arial" w:cs="Arial"/>
          <w:bCs/>
          <w:spacing w:val="-3"/>
          <w:sz w:val="24"/>
          <w:szCs w:val="24"/>
          <w:lang w:eastAsia="en-GB"/>
        </w:rPr>
      </w:pPr>
    </w:p>
    <w:p w:rsidR="00B4525D" w:rsidRDefault="00B4525D" w:rsidP="00B4525D">
      <w:pPr>
        <w:tabs>
          <w:tab w:val="left" w:pos="0"/>
        </w:tabs>
        <w:suppressAutoHyphens/>
        <w:spacing w:after="0" w:line="240" w:lineRule="auto"/>
        <w:rPr>
          <w:rFonts w:ascii="Arial" w:hAnsi="Arial" w:cs="Arial"/>
          <w:bCs/>
          <w:spacing w:val="-3"/>
          <w:sz w:val="24"/>
          <w:szCs w:val="24"/>
          <w:lang w:eastAsia="en-GB"/>
        </w:rPr>
      </w:pPr>
      <w:r>
        <w:rPr>
          <w:rFonts w:ascii="Arial" w:hAnsi="Arial" w:cs="Arial"/>
          <w:b/>
          <w:bCs/>
          <w:spacing w:val="-3"/>
          <w:sz w:val="24"/>
          <w:szCs w:val="24"/>
          <w:lang w:eastAsia="en-GB"/>
        </w:rPr>
        <w:t>Commission Staff Working Document Impact Assessment (13555/13 ADD1)</w:t>
      </w:r>
    </w:p>
    <w:p w:rsidR="00B4525D" w:rsidRPr="00152F92" w:rsidRDefault="00B4525D" w:rsidP="00B4525D">
      <w:pPr>
        <w:tabs>
          <w:tab w:val="left" w:pos="0"/>
        </w:tabs>
        <w:suppressAutoHyphens/>
        <w:spacing w:after="0" w:line="240" w:lineRule="auto"/>
        <w:rPr>
          <w:rFonts w:ascii="Arial" w:hAnsi="Arial" w:cs="Arial"/>
          <w:b/>
          <w:bCs/>
          <w:spacing w:val="-3"/>
          <w:sz w:val="24"/>
          <w:szCs w:val="24"/>
          <w:lang w:eastAsia="en-GB"/>
        </w:rPr>
      </w:pPr>
    </w:p>
    <w:p w:rsidR="00152F92" w:rsidRPr="00152F92" w:rsidRDefault="006B6B1E" w:rsidP="00EB4F71">
      <w:pPr>
        <w:numPr>
          <w:ilvl w:val="1"/>
          <w:numId w:val="9"/>
        </w:numPr>
        <w:tabs>
          <w:tab w:val="left" w:pos="0"/>
        </w:tabs>
        <w:suppressAutoHyphens/>
        <w:spacing w:after="0" w:line="240" w:lineRule="auto"/>
        <w:rPr>
          <w:rFonts w:ascii="Arial" w:hAnsi="Arial" w:cs="Arial"/>
          <w:b/>
          <w:bCs/>
          <w:spacing w:val="-3"/>
          <w:sz w:val="24"/>
          <w:szCs w:val="24"/>
          <w:lang w:eastAsia="en-GB"/>
        </w:rPr>
      </w:pPr>
      <w:r>
        <w:rPr>
          <w:rFonts w:ascii="Arial" w:hAnsi="Arial" w:cs="Arial"/>
          <w:b/>
          <w:bCs/>
          <w:spacing w:val="-3"/>
          <w:sz w:val="24"/>
          <w:szCs w:val="24"/>
          <w:lang w:eastAsia="en-GB"/>
        </w:rPr>
        <w:t xml:space="preserve"> </w:t>
      </w:r>
      <w:r>
        <w:rPr>
          <w:rFonts w:ascii="Arial" w:hAnsi="Arial" w:cs="Arial"/>
          <w:bCs/>
          <w:spacing w:val="-3"/>
          <w:sz w:val="24"/>
          <w:szCs w:val="24"/>
          <w:lang w:eastAsia="en-GB"/>
        </w:rPr>
        <w:t>This 130+-page document is provides the economic and policy under-pinning to the proposed Regulation.</w:t>
      </w:r>
    </w:p>
    <w:p w:rsidR="00B4525D" w:rsidRDefault="00B4525D" w:rsidP="00B4525D">
      <w:pPr>
        <w:tabs>
          <w:tab w:val="left" w:pos="0"/>
        </w:tabs>
        <w:suppressAutoHyphens/>
        <w:spacing w:after="0" w:line="240" w:lineRule="auto"/>
        <w:rPr>
          <w:rFonts w:ascii="Arial" w:hAnsi="Arial" w:cs="Arial"/>
          <w:b/>
          <w:bCs/>
          <w:spacing w:val="-3"/>
          <w:sz w:val="24"/>
          <w:szCs w:val="24"/>
          <w:lang w:eastAsia="en-GB"/>
        </w:rPr>
      </w:pPr>
    </w:p>
    <w:p w:rsidR="00B4525D" w:rsidRDefault="00B4525D" w:rsidP="00B4525D">
      <w:pPr>
        <w:tabs>
          <w:tab w:val="left" w:pos="0"/>
        </w:tabs>
        <w:suppressAutoHyphens/>
        <w:spacing w:after="0" w:line="240" w:lineRule="auto"/>
        <w:rPr>
          <w:rFonts w:ascii="Arial" w:hAnsi="Arial" w:cs="Arial"/>
          <w:bCs/>
          <w:spacing w:val="-3"/>
          <w:sz w:val="24"/>
          <w:szCs w:val="24"/>
          <w:lang w:eastAsia="en-GB"/>
        </w:rPr>
      </w:pPr>
      <w:r>
        <w:rPr>
          <w:rFonts w:ascii="Arial" w:hAnsi="Arial" w:cs="Arial"/>
          <w:b/>
          <w:bCs/>
          <w:spacing w:val="-3"/>
          <w:sz w:val="24"/>
          <w:szCs w:val="24"/>
          <w:lang w:eastAsia="en-GB"/>
        </w:rPr>
        <w:t xml:space="preserve">Commission Staff Working Document Impact Assessment Executive Summary (13555/13 ADD 2) </w:t>
      </w:r>
    </w:p>
    <w:p w:rsidR="00B4525D" w:rsidRPr="00B4525D" w:rsidRDefault="00B4525D" w:rsidP="00B4525D">
      <w:pPr>
        <w:tabs>
          <w:tab w:val="left" w:pos="0"/>
        </w:tabs>
        <w:suppressAutoHyphens/>
        <w:spacing w:after="0" w:line="240" w:lineRule="auto"/>
        <w:rPr>
          <w:rFonts w:ascii="Arial" w:hAnsi="Arial" w:cs="Arial"/>
          <w:bCs/>
          <w:spacing w:val="-3"/>
          <w:sz w:val="24"/>
          <w:szCs w:val="24"/>
          <w:lang w:eastAsia="en-GB"/>
        </w:rPr>
      </w:pPr>
    </w:p>
    <w:p w:rsidR="00112CBB" w:rsidRDefault="00B4525D" w:rsidP="00EB4F71">
      <w:pPr>
        <w:numPr>
          <w:ilvl w:val="1"/>
          <w:numId w:val="9"/>
        </w:numPr>
        <w:tabs>
          <w:tab w:val="left" w:pos="0"/>
        </w:tabs>
        <w:suppressAutoHyphens/>
        <w:spacing w:after="0" w:line="240" w:lineRule="auto"/>
        <w:rPr>
          <w:rFonts w:ascii="Arial" w:hAnsi="Arial" w:cs="Arial"/>
          <w:b/>
          <w:bCs/>
          <w:spacing w:val="-3"/>
          <w:sz w:val="24"/>
          <w:szCs w:val="24"/>
          <w:lang w:eastAsia="en-GB"/>
        </w:rPr>
      </w:pPr>
      <w:r>
        <w:rPr>
          <w:rFonts w:ascii="Arial" w:hAnsi="Arial" w:cs="Arial"/>
          <w:bCs/>
          <w:spacing w:val="-3"/>
          <w:sz w:val="24"/>
          <w:szCs w:val="24"/>
          <w:lang w:eastAsia="en-GB"/>
        </w:rPr>
        <w:t>This document is the executive summary, and in effect the first four pages, of the docum</w:t>
      </w:r>
      <w:r w:rsidR="00106683">
        <w:rPr>
          <w:rFonts w:ascii="Arial" w:hAnsi="Arial" w:cs="Arial"/>
          <w:bCs/>
          <w:spacing w:val="-3"/>
          <w:sz w:val="24"/>
          <w:szCs w:val="24"/>
          <w:lang w:eastAsia="en-GB"/>
        </w:rPr>
        <w:t>ent covered by paragraph 36</w:t>
      </w:r>
      <w:r>
        <w:rPr>
          <w:rFonts w:ascii="Arial" w:hAnsi="Arial" w:cs="Arial"/>
          <w:bCs/>
          <w:spacing w:val="-3"/>
          <w:sz w:val="24"/>
          <w:szCs w:val="24"/>
          <w:lang w:eastAsia="en-GB"/>
        </w:rPr>
        <w:t xml:space="preserve"> of this EM</w:t>
      </w:r>
      <w:r w:rsidR="00106683">
        <w:rPr>
          <w:rFonts w:ascii="Arial" w:hAnsi="Arial" w:cs="Arial"/>
          <w:bCs/>
          <w:spacing w:val="-3"/>
          <w:sz w:val="24"/>
          <w:szCs w:val="24"/>
          <w:lang w:eastAsia="en-GB"/>
        </w:rPr>
        <w:t>.</w:t>
      </w:r>
    </w:p>
    <w:p w:rsidR="00B4525D" w:rsidRDefault="00B4525D" w:rsidP="00877B52">
      <w:pPr>
        <w:spacing w:after="0" w:line="240" w:lineRule="auto"/>
        <w:rPr>
          <w:rFonts w:ascii="Arial" w:hAnsi="Arial" w:cs="Arial"/>
          <w:b/>
          <w:bCs/>
          <w:sz w:val="24"/>
          <w:szCs w:val="24"/>
          <w:lang w:eastAsia="en-GB"/>
        </w:rPr>
      </w:pPr>
    </w:p>
    <w:p w:rsidR="008A50AC" w:rsidRPr="00877B52" w:rsidRDefault="008A50AC" w:rsidP="00877B52">
      <w:pPr>
        <w:spacing w:after="0" w:line="240" w:lineRule="auto"/>
        <w:rPr>
          <w:rFonts w:ascii="Arial" w:hAnsi="Arial" w:cs="Arial"/>
          <w:b/>
          <w:bCs/>
          <w:sz w:val="24"/>
          <w:szCs w:val="24"/>
          <w:lang w:eastAsia="en-GB"/>
        </w:rPr>
      </w:pPr>
      <w:r w:rsidRPr="00106683">
        <w:rPr>
          <w:rFonts w:ascii="Arial" w:hAnsi="Arial" w:cs="Arial"/>
          <w:b/>
          <w:bCs/>
          <w:sz w:val="24"/>
          <w:szCs w:val="24"/>
          <w:lang w:eastAsia="en-GB"/>
        </w:rPr>
        <w:t>SCRUTINY HISTORY</w:t>
      </w:r>
    </w:p>
    <w:p w:rsidR="008A50AC" w:rsidRPr="00877B52" w:rsidRDefault="008A50AC" w:rsidP="00877B52">
      <w:pPr>
        <w:spacing w:after="0" w:line="240" w:lineRule="auto"/>
        <w:rPr>
          <w:rFonts w:ascii="Arial" w:hAnsi="Arial" w:cs="Arial"/>
          <w:sz w:val="24"/>
          <w:szCs w:val="24"/>
          <w:lang w:eastAsia="en-GB"/>
        </w:rPr>
      </w:pPr>
    </w:p>
    <w:p w:rsidR="008A50AC" w:rsidRDefault="008A50AC" w:rsidP="0054369E">
      <w:pPr>
        <w:numPr>
          <w:ilvl w:val="1"/>
          <w:numId w:val="9"/>
        </w:numPr>
        <w:tabs>
          <w:tab w:val="left" w:pos="0"/>
        </w:tabs>
        <w:suppressAutoHyphens/>
        <w:spacing w:after="0" w:line="240" w:lineRule="auto"/>
        <w:rPr>
          <w:rFonts w:ascii="Arial" w:hAnsi="Arial" w:cs="Arial"/>
          <w:spacing w:val="-3"/>
          <w:sz w:val="24"/>
          <w:szCs w:val="24"/>
          <w:lang w:eastAsia="en-GB"/>
        </w:rPr>
      </w:pPr>
      <w:r>
        <w:rPr>
          <w:rFonts w:ascii="Arial" w:hAnsi="Arial" w:cs="Arial"/>
          <w:spacing w:val="-3"/>
          <w:sz w:val="24"/>
          <w:szCs w:val="24"/>
          <w:lang w:eastAsia="en-GB"/>
        </w:rPr>
        <w:t>This is a new proposal and so there is no existing scrutiny history.</w:t>
      </w:r>
    </w:p>
    <w:p w:rsidR="008A50AC" w:rsidRDefault="008A50AC" w:rsidP="00C626F4">
      <w:pPr>
        <w:tabs>
          <w:tab w:val="left" w:pos="0"/>
        </w:tabs>
        <w:suppressAutoHyphens/>
        <w:spacing w:after="0" w:line="240" w:lineRule="auto"/>
        <w:rPr>
          <w:rFonts w:ascii="Arial" w:hAnsi="Arial" w:cs="Arial"/>
          <w:spacing w:val="-3"/>
          <w:sz w:val="24"/>
          <w:szCs w:val="24"/>
          <w:lang w:eastAsia="en-GB"/>
        </w:rPr>
      </w:pPr>
    </w:p>
    <w:p w:rsidR="00EC2085" w:rsidRDefault="00EC2085" w:rsidP="00585379">
      <w:pPr>
        <w:numPr>
          <w:ilvl w:val="1"/>
          <w:numId w:val="9"/>
        </w:numPr>
        <w:tabs>
          <w:tab w:val="left" w:pos="0"/>
        </w:tabs>
        <w:suppressAutoHyphens/>
        <w:spacing w:after="0" w:line="240" w:lineRule="auto"/>
        <w:rPr>
          <w:rFonts w:ascii="Arial" w:hAnsi="Arial" w:cs="Arial"/>
          <w:spacing w:val="-3"/>
          <w:sz w:val="24"/>
          <w:szCs w:val="24"/>
          <w:lang w:eastAsia="en-GB"/>
        </w:rPr>
      </w:pPr>
      <w:r>
        <w:rPr>
          <w:rFonts w:ascii="Arial" w:hAnsi="Arial" w:cs="Arial"/>
          <w:spacing w:val="-3"/>
          <w:sz w:val="24"/>
          <w:szCs w:val="24"/>
          <w:lang w:eastAsia="en-GB"/>
        </w:rPr>
        <w:lastRenderedPageBreak/>
        <w:t xml:space="preserve"> However, the proposals build on or alter the existing Telecom Framework </w:t>
      </w:r>
      <w:r w:rsidR="006C6BE7">
        <w:rPr>
          <w:rFonts w:ascii="Arial" w:hAnsi="Arial" w:cs="Arial"/>
          <w:spacing w:val="-3"/>
          <w:sz w:val="24"/>
          <w:szCs w:val="24"/>
          <w:lang w:eastAsia="en-GB"/>
        </w:rPr>
        <w:t>(FWR)</w:t>
      </w:r>
      <w:r>
        <w:rPr>
          <w:rFonts w:ascii="Arial" w:hAnsi="Arial" w:cs="Arial"/>
          <w:spacing w:val="-3"/>
          <w:sz w:val="24"/>
          <w:szCs w:val="24"/>
          <w:lang w:eastAsia="en-GB"/>
        </w:rPr>
        <w:t>and its scrutiny is:</w:t>
      </w:r>
    </w:p>
    <w:p w:rsidR="00EC2085" w:rsidRDefault="00EC2085" w:rsidP="00827BC1">
      <w:pPr>
        <w:tabs>
          <w:tab w:val="left" w:pos="0"/>
        </w:tabs>
        <w:suppressAutoHyphens/>
        <w:spacing w:after="0" w:line="240" w:lineRule="auto"/>
        <w:rPr>
          <w:rFonts w:ascii="Arial" w:hAnsi="Arial" w:cs="Arial"/>
          <w:spacing w:val="-3"/>
          <w:sz w:val="24"/>
          <w:szCs w:val="24"/>
          <w:lang w:eastAsia="en-GB"/>
        </w:rPr>
      </w:pPr>
    </w:p>
    <w:p w:rsidR="00585379" w:rsidRPr="006C6BE7" w:rsidRDefault="00EC2085" w:rsidP="00EC2085">
      <w:pPr>
        <w:numPr>
          <w:ilvl w:val="2"/>
          <w:numId w:val="9"/>
        </w:numPr>
        <w:tabs>
          <w:tab w:val="clear" w:pos="1800"/>
        </w:tabs>
        <w:suppressAutoHyphens/>
        <w:spacing w:after="0" w:line="240" w:lineRule="auto"/>
        <w:ind w:left="567" w:firstLine="0"/>
        <w:rPr>
          <w:rFonts w:ascii="Arial" w:hAnsi="Arial" w:cs="Arial"/>
          <w:b/>
          <w:spacing w:val="-3"/>
          <w:sz w:val="24"/>
          <w:szCs w:val="24"/>
          <w:lang w:eastAsia="en-GB"/>
        </w:rPr>
      </w:pPr>
      <w:r>
        <w:rPr>
          <w:rFonts w:ascii="Arial" w:hAnsi="Arial" w:cs="Arial"/>
          <w:spacing w:val="-3"/>
          <w:sz w:val="24"/>
          <w:szCs w:val="24"/>
          <w:lang w:eastAsia="en-GB"/>
        </w:rPr>
        <w:t xml:space="preserve"> </w:t>
      </w:r>
      <w:r w:rsidR="00585379" w:rsidRPr="006C6BE7">
        <w:rPr>
          <w:rFonts w:ascii="Arial" w:hAnsi="Arial" w:cs="Arial"/>
          <w:b/>
          <w:spacing w:val="-3"/>
          <w:sz w:val="24"/>
          <w:szCs w:val="24"/>
          <w:lang w:eastAsia="en-GB"/>
        </w:rPr>
        <w:t>FWR History</w:t>
      </w:r>
    </w:p>
    <w:p w:rsidR="006C6BE7" w:rsidRPr="009A5EC3" w:rsidRDefault="00B908AE" w:rsidP="009A5EC3">
      <w:pPr>
        <w:pStyle w:val="ListParagraph"/>
        <w:numPr>
          <w:ilvl w:val="1"/>
          <w:numId w:val="9"/>
        </w:numPr>
        <w:suppressAutoHyphens/>
        <w:spacing w:after="0" w:line="240" w:lineRule="auto"/>
        <w:rPr>
          <w:rFonts w:ascii="Arial" w:hAnsi="Arial" w:cs="Arial"/>
          <w:b/>
          <w:spacing w:val="-3"/>
          <w:sz w:val="24"/>
          <w:szCs w:val="24"/>
          <w:lang w:eastAsia="en-GB"/>
        </w:rPr>
      </w:pPr>
      <w:r w:rsidRPr="009A5EC3">
        <w:rPr>
          <w:rFonts w:ascii="Arial" w:hAnsi="Arial" w:cs="Arial"/>
          <w:b/>
          <w:spacing w:val="-3"/>
          <w:sz w:val="24"/>
          <w:szCs w:val="24"/>
          <w:lang w:eastAsia="en-GB"/>
        </w:rPr>
        <w:t xml:space="preserve">DTI submitted an EM covering </w:t>
      </w:r>
      <w:r w:rsidR="006C6BE7" w:rsidRPr="009A5EC3">
        <w:rPr>
          <w:rFonts w:ascii="Arial" w:hAnsi="Arial" w:cs="Arial"/>
          <w:b/>
          <w:spacing w:val="-3"/>
          <w:sz w:val="24"/>
          <w:szCs w:val="24"/>
          <w:lang w:eastAsia="en-GB"/>
        </w:rPr>
        <w:t xml:space="preserve">the following three Commission 15379/07,  15387/07 and 15408/07 on 10 December 2007. </w:t>
      </w:r>
      <w:r w:rsidR="00DB4183" w:rsidRPr="009A5EC3">
        <w:rPr>
          <w:rFonts w:ascii="Arial" w:hAnsi="Arial" w:cs="Arial"/>
          <w:b/>
          <w:spacing w:val="-3"/>
          <w:sz w:val="24"/>
          <w:szCs w:val="24"/>
          <w:lang w:eastAsia="en-GB"/>
        </w:rPr>
        <w:t xml:space="preserve">The Commons European Scrutiny </w:t>
      </w:r>
      <w:r w:rsidR="006C6BE7" w:rsidRPr="009A5EC3">
        <w:rPr>
          <w:rFonts w:ascii="Arial" w:hAnsi="Arial" w:cs="Arial"/>
          <w:b/>
          <w:spacing w:val="-3"/>
          <w:sz w:val="24"/>
          <w:szCs w:val="24"/>
          <w:lang w:eastAsia="en-GB"/>
        </w:rPr>
        <w:t>C</w:t>
      </w:r>
      <w:r w:rsidR="00DB4183" w:rsidRPr="009A5EC3">
        <w:rPr>
          <w:rFonts w:ascii="Arial" w:hAnsi="Arial" w:cs="Arial"/>
          <w:b/>
          <w:spacing w:val="-3"/>
          <w:sz w:val="24"/>
          <w:szCs w:val="24"/>
          <w:lang w:eastAsia="en-GB"/>
        </w:rPr>
        <w:t>ommittee</w:t>
      </w:r>
      <w:r w:rsidR="006C6BE7" w:rsidRPr="009A5EC3">
        <w:rPr>
          <w:rFonts w:ascii="Arial" w:hAnsi="Arial" w:cs="Arial"/>
          <w:b/>
          <w:spacing w:val="-3"/>
          <w:sz w:val="24"/>
          <w:szCs w:val="24"/>
          <w:lang w:eastAsia="en-GB"/>
        </w:rPr>
        <w:t xml:space="preserve"> cleared </w:t>
      </w:r>
      <w:r w:rsidR="00511F80" w:rsidRPr="009A5EC3">
        <w:rPr>
          <w:rFonts w:ascii="Arial" w:hAnsi="Arial" w:cs="Arial"/>
          <w:b/>
          <w:spacing w:val="-3"/>
          <w:sz w:val="24"/>
          <w:szCs w:val="24"/>
          <w:lang w:eastAsia="en-GB"/>
        </w:rPr>
        <w:t xml:space="preserve">the proposal from scrutiny on </w:t>
      </w:r>
      <w:r w:rsidR="004942A2">
        <w:rPr>
          <w:rFonts w:ascii="Arial" w:hAnsi="Arial" w:cs="Arial"/>
          <w:b/>
          <w:spacing w:val="-3"/>
          <w:sz w:val="24"/>
          <w:szCs w:val="24"/>
          <w:lang w:eastAsia="en-GB"/>
        </w:rPr>
        <w:t>24 September 2</w:t>
      </w:r>
      <w:r w:rsidR="006C6BE7" w:rsidRPr="009A5EC3">
        <w:rPr>
          <w:rFonts w:ascii="Arial" w:hAnsi="Arial" w:cs="Arial"/>
          <w:b/>
          <w:spacing w:val="-3"/>
          <w:sz w:val="24"/>
          <w:szCs w:val="24"/>
          <w:lang w:eastAsia="en-GB"/>
        </w:rPr>
        <w:t xml:space="preserve">009 and Lords </w:t>
      </w:r>
      <w:r w:rsidR="004942A2">
        <w:rPr>
          <w:rFonts w:ascii="Arial" w:hAnsi="Arial" w:cs="Arial"/>
          <w:b/>
          <w:spacing w:val="-3"/>
          <w:sz w:val="24"/>
          <w:szCs w:val="24"/>
          <w:lang w:eastAsia="en-GB"/>
        </w:rPr>
        <w:t xml:space="preserve">EU Committee cleared the proposal on </w:t>
      </w:r>
      <w:r w:rsidR="006C6BE7" w:rsidRPr="009A5EC3">
        <w:rPr>
          <w:rFonts w:ascii="Arial" w:hAnsi="Arial" w:cs="Arial"/>
          <w:b/>
          <w:spacing w:val="-3"/>
          <w:sz w:val="24"/>
          <w:szCs w:val="24"/>
          <w:lang w:eastAsia="en-GB"/>
        </w:rPr>
        <w:t>13 May 2008.</w:t>
      </w:r>
    </w:p>
    <w:p w:rsidR="006C6BE7" w:rsidRPr="006C6BE7" w:rsidRDefault="006C6BE7" w:rsidP="006C6BE7">
      <w:pPr>
        <w:suppressAutoHyphens/>
        <w:spacing w:after="0" w:line="240" w:lineRule="auto"/>
        <w:ind w:left="1620"/>
        <w:rPr>
          <w:rFonts w:ascii="Arial" w:hAnsi="Arial" w:cs="Arial"/>
          <w:spacing w:val="-3"/>
          <w:sz w:val="24"/>
          <w:szCs w:val="24"/>
          <w:lang w:eastAsia="en-GB"/>
        </w:rPr>
      </w:pPr>
    </w:p>
    <w:p w:rsidR="003706FE" w:rsidRDefault="008A50AC" w:rsidP="00287848">
      <w:pPr>
        <w:numPr>
          <w:ilvl w:val="1"/>
          <w:numId w:val="9"/>
        </w:numPr>
        <w:tabs>
          <w:tab w:val="left" w:pos="0"/>
        </w:tabs>
        <w:suppressAutoHyphens/>
        <w:spacing w:after="0" w:line="240" w:lineRule="auto"/>
        <w:rPr>
          <w:rFonts w:ascii="Arial" w:hAnsi="Arial" w:cs="Arial"/>
          <w:spacing w:val="-3"/>
          <w:sz w:val="24"/>
          <w:szCs w:val="24"/>
          <w:lang w:eastAsia="en-GB"/>
        </w:rPr>
      </w:pPr>
      <w:r w:rsidRPr="00057768">
        <w:rPr>
          <w:rFonts w:ascii="Arial" w:hAnsi="Arial" w:cs="Arial"/>
          <w:spacing w:val="-3"/>
          <w:sz w:val="24"/>
          <w:szCs w:val="24"/>
          <w:lang w:eastAsia="en-GB"/>
        </w:rPr>
        <w:t>However, the proposals are linked to the Digital Agenda for Europe whose history is</w:t>
      </w:r>
      <w:r w:rsidR="00057768">
        <w:rPr>
          <w:rFonts w:ascii="Arial" w:hAnsi="Arial" w:cs="Arial"/>
          <w:spacing w:val="-3"/>
          <w:sz w:val="24"/>
          <w:szCs w:val="24"/>
          <w:lang w:eastAsia="en-GB"/>
        </w:rPr>
        <w:t>:</w:t>
      </w:r>
      <w:r w:rsidRPr="00057768">
        <w:rPr>
          <w:rFonts w:ascii="Arial" w:hAnsi="Arial" w:cs="Arial"/>
          <w:spacing w:val="-3"/>
          <w:sz w:val="24"/>
          <w:szCs w:val="24"/>
          <w:lang w:eastAsia="en-GB"/>
        </w:rPr>
        <w:t xml:space="preserve"> </w:t>
      </w:r>
    </w:p>
    <w:p w:rsidR="00287848" w:rsidRPr="00287848" w:rsidRDefault="00287848" w:rsidP="00287848">
      <w:pPr>
        <w:tabs>
          <w:tab w:val="left" w:pos="0"/>
        </w:tabs>
        <w:suppressAutoHyphens/>
        <w:spacing w:after="0" w:line="240" w:lineRule="auto"/>
        <w:rPr>
          <w:rFonts w:ascii="Arial" w:hAnsi="Arial" w:cs="Arial"/>
          <w:spacing w:val="-3"/>
          <w:sz w:val="24"/>
          <w:szCs w:val="24"/>
          <w:lang w:eastAsia="en-GB"/>
        </w:rPr>
      </w:pPr>
    </w:p>
    <w:p w:rsidR="00287848" w:rsidRPr="00287848" w:rsidRDefault="003706FE" w:rsidP="00287848">
      <w:pPr>
        <w:pStyle w:val="ListParagraph"/>
        <w:numPr>
          <w:ilvl w:val="2"/>
          <w:numId w:val="9"/>
        </w:numPr>
        <w:tabs>
          <w:tab w:val="clear" w:pos="1800"/>
          <w:tab w:val="left" w:pos="0"/>
        </w:tabs>
        <w:suppressAutoHyphens/>
        <w:spacing w:after="0" w:line="240" w:lineRule="auto"/>
        <w:ind w:left="567" w:hanging="99"/>
        <w:rPr>
          <w:rFonts w:ascii="Arial" w:hAnsi="Arial" w:cs="Arial"/>
          <w:spacing w:val="-3"/>
          <w:sz w:val="24"/>
          <w:szCs w:val="24"/>
          <w:lang w:eastAsia="en-GB"/>
        </w:rPr>
      </w:pPr>
      <w:r w:rsidRPr="003706FE">
        <w:rPr>
          <w:rFonts w:ascii="Arial" w:hAnsi="Arial" w:cs="Arial"/>
          <w:spacing w:val="-3"/>
          <w:sz w:val="24"/>
          <w:szCs w:val="24"/>
          <w:lang w:eastAsia="en-GB"/>
        </w:rPr>
        <w:t>DTI submitted EM9981 on 22 June 2010 relating to ‘Communication from the Commission to the European Economic &amp; Social Committee and the Committee of the Regions -  A Digital Agenda for Europe’.  The Commons European Scrutiny Committee cleared the proposal from scrutiny on 8 September 2010. The Lords EU Committee cleared the proposal on 6 July 2010.</w:t>
      </w:r>
    </w:p>
    <w:p w:rsidR="00D90880" w:rsidRDefault="00D90880" w:rsidP="00D90880">
      <w:pPr>
        <w:tabs>
          <w:tab w:val="left" w:pos="0"/>
        </w:tabs>
        <w:suppressAutoHyphens/>
        <w:spacing w:after="0" w:line="240" w:lineRule="auto"/>
        <w:rPr>
          <w:rFonts w:ascii="Arial" w:hAnsi="Arial" w:cs="Arial"/>
          <w:spacing w:val="-3"/>
          <w:sz w:val="24"/>
          <w:szCs w:val="24"/>
          <w:lang w:eastAsia="en-GB"/>
        </w:rPr>
      </w:pPr>
    </w:p>
    <w:p w:rsidR="00287848" w:rsidRDefault="00287848" w:rsidP="001D1F56">
      <w:pPr>
        <w:numPr>
          <w:ilvl w:val="1"/>
          <w:numId w:val="9"/>
        </w:numPr>
        <w:tabs>
          <w:tab w:val="left" w:pos="0"/>
        </w:tabs>
        <w:suppressAutoHyphens/>
        <w:spacing w:after="0" w:line="240" w:lineRule="auto"/>
        <w:rPr>
          <w:rFonts w:ascii="Arial" w:hAnsi="Arial" w:cs="Arial"/>
          <w:spacing w:val="-3"/>
          <w:sz w:val="24"/>
          <w:szCs w:val="24"/>
          <w:lang w:eastAsia="en-GB"/>
        </w:rPr>
      </w:pPr>
      <w:r>
        <w:rPr>
          <w:rFonts w:ascii="Arial" w:hAnsi="Arial" w:cs="Arial"/>
          <w:spacing w:val="-3"/>
          <w:sz w:val="24"/>
          <w:szCs w:val="24"/>
          <w:lang w:eastAsia="en-GB"/>
        </w:rPr>
        <w:t>There is also a link to the existing Roaming Regulation and its scrutiny history is:</w:t>
      </w:r>
    </w:p>
    <w:p w:rsidR="00287848" w:rsidRPr="00287848" w:rsidRDefault="00287848" w:rsidP="00287848">
      <w:pPr>
        <w:tabs>
          <w:tab w:val="left" w:pos="0"/>
        </w:tabs>
        <w:suppressAutoHyphens/>
        <w:spacing w:after="0" w:line="240" w:lineRule="auto"/>
        <w:ind w:left="360"/>
        <w:rPr>
          <w:rFonts w:ascii="Arial" w:hAnsi="Arial" w:cs="Arial"/>
          <w:spacing w:val="-3"/>
          <w:sz w:val="24"/>
          <w:szCs w:val="24"/>
          <w:lang w:eastAsia="en-GB"/>
        </w:rPr>
      </w:pPr>
    </w:p>
    <w:p w:rsidR="00287848" w:rsidRDefault="001D1F56" w:rsidP="00287848">
      <w:pPr>
        <w:numPr>
          <w:ilvl w:val="2"/>
          <w:numId w:val="9"/>
        </w:numPr>
        <w:tabs>
          <w:tab w:val="clear" w:pos="1800"/>
          <w:tab w:val="left" w:pos="0"/>
        </w:tabs>
        <w:suppressAutoHyphens/>
        <w:spacing w:after="0" w:line="240" w:lineRule="auto"/>
        <w:ind w:left="567"/>
        <w:rPr>
          <w:rFonts w:ascii="Arial" w:hAnsi="Arial" w:cs="Arial"/>
          <w:spacing w:val="-3"/>
          <w:sz w:val="24"/>
          <w:szCs w:val="24"/>
          <w:lang w:eastAsia="en-GB"/>
        </w:rPr>
      </w:pPr>
      <w:r w:rsidRPr="001D1F56">
        <w:rPr>
          <w:rFonts w:ascii="Arial" w:hAnsi="Arial" w:cs="Arial"/>
          <w:spacing w:val="-3"/>
          <w:sz w:val="24"/>
          <w:szCs w:val="24"/>
          <w:lang w:eastAsia="en-GB"/>
        </w:rPr>
        <w:t>BIS submitted EM on Council Doc 11711/10 on 15th July 2010 relating to the “Communication from the Commission to the European Parliament, the Council, the European Economic and Social Committee and the Committee of the Regions on the interim report on the state of development of roaming services within the European Union”.  The Commons European Scrutiny Committee considered it neither legally or politically important, then cleared it (Report 01, Session 2010/2011).  The Lords Select Committee on the EU cleared it (19th October 2010 – Session 2010/2011).</w:t>
      </w:r>
    </w:p>
    <w:p w:rsidR="00287848" w:rsidRDefault="00287848" w:rsidP="00287848">
      <w:pPr>
        <w:tabs>
          <w:tab w:val="left" w:pos="0"/>
        </w:tabs>
        <w:suppressAutoHyphens/>
        <w:spacing w:after="0" w:line="240" w:lineRule="auto"/>
        <w:ind w:left="387"/>
        <w:rPr>
          <w:rFonts w:ascii="Arial" w:hAnsi="Arial" w:cs="Arial"/>
          <w:spacing w:val="-3"/>
          <w:sz w:val="24"/>
          <w:szCs w:val="24"/>
          <w:lang w:eastAsia="en-GB"/>
        </w:rPr>
      </w:pPr>
    </w:p>
    <w:p w:rsidR="00287848" w:rsidRDefault="001D1F56" w:rsidP="00287848">
      <w:pPr>
        <w:numPr>
          <w:ilvl w:val="2"/>
          <w:numId w:val="9"/>
        </w:numPr>
        <w:tabs>
          <w:tab w:val="clear" w:pos="1800"/>
          <w:tab w:val="left" w:pos="0"/>
        </w:tabs>
        <w:suppressAutoHyphens/>
        <w:spacing w:after="0" w:line="240" w:lineRule="auto"/>
        <w:ind w:left="567"/>
        <w:rPr>
          <w:rFonts w:ascii="Arial" w:hAnsi="Arial" w:cs="Arial"/>
          <w:spacing w:val="-3"/>
          <w:sz w:val="24"/>
          <w:szCs w:val="24"/>
          <w:lang w:eastAsia="en-GB"/>
        </w:rPr>
      </w:pPr>
      <w:r w:rsidRPr="00287848">
        <w:rPr>
          <w:rFonts w:ascii="Arial" w:hAnsi="Arial" w:cs="Arial"/>
          <w:spacing w:val="-3"/>
          <w:sz w:val="24"/>
          <w:szCs w:val="24"/>
          <w:lang w:eastAsia="en-GB"/>
        </w:rPr>
        <w:t>BERR submitted EM on Council Doc No’s 13521/08 and 13531/08 on 16th October 2008 relating to the “Communication from the Commission to the European Parliament, the Council, The European Economic and Social Committee and the Committee of the Regions on the outcome of the review of the functioning of Regulation (EC) No 717/2007 of the European Parliament and of the Council of 27 June 2007 on roaming on public mobile telephone networks within the Community and amending Directive 2002/21/EC" and “Proposal for a Regulation of the European Parliament and of the Council amending Regulation (EC) No 717/2007 on roaming on public mobile telephone networks within the Community and Directive 2002/21/EC on a common regulatory framework for electronic communications networks and services“. The Commons European Scrutiny Committee considered it politically important and cleared it, (Report 40, Session 07/08).  The Lords Select Committee on the EU cleared it. (P.O.S. 27th November 2008 session 07/08).</w:t>
      </w:r>
    </w:p>
    <w:p w:rsidR="00287848" w:rsidRDefault="00287848" w:rsidP="00287848">
      <w:pPr>
        <w:tabs>
          <w:tab w:val="left" w:pos="0"/>
        </w:tabs>
        <w:suppressAutoHyphens/>
        <w:spacing w:after="0" w:line="240" w:lineRule="auto"/>
        <w:ind w:left="387"/>
        <w:rPr>
          <w:rFonts w:ascii="Arial" w:hAnsi="Arial" w:cs="Arial"/>
          <w:spacing w:val="-3"/>
          <w:sz w:val="24"/>
          <w:szCs w:val="24"/>
          <w:lang w:eastAsia="en-GB"/>
        </w:rPr>
      </w:pPr>
    </w:p>
    <w:p w:rsidR="001D1F56" w:rsidRPr="00287848" w:rsidRDefault="001D1F56" w:rsidP="00287848">
      <w:pPr>
        <w:numPr>
          <w:ilvl w:val="2"/>
          <w:numId w:val="9"/>
        </w:numPr>
        <w:tabs>
          <w:tab w:val="clear" w:pos="1800"/>
          <w:tab w:val="left" w:pos="0"/>
        </w:tabs>
        <w:suppressAutoHyphens/>
        <w:spacing w:after="0" w:line="240" w:lineRule="auto"/>
        <w:ind w:left="567"/>
        <w:rPr>
          <w:rFonts w:ascii="Arial" w:hAnsi="Arial" w:cs="Arial"/>
          <w:spacing w:val="-3"/>
          <w:sz w:val="24"/>
          <w:szCs w:val="24"/>
          <w:lang w:eastAsia="en-GB"/>
        </w:rPr>
      </w:pPr>
      <w:r w:rsidRPr="00287848">
        <w:rPr>
          <w:rFonts w:ascii="Arial" w:hAnsi="Arial" w:cs="Arial"/>
          <w:spacing w:val="-3"/>
          <w:sz w:val="24"/>
          <w:szCs w:val="24"/>
          <w:lang w:eastAsia="en-GB"/>
        </w:rPr>
        <w:t xml:space="preserve">DTI submitted EM on Council Doc No 11724/06 on 12th September 2006 relating to the “Proposal for a Regulation of the European Parliament and of the Council on roaming on public mobile networks within the Community and amending directive 2002/21/EC on a Common Regulatory Framework for Electronic Communications Networks and Services + Commission Staff Working Paper - Impact Assessment of </w:t>
      </w:r>
      <w:r w:rsidRPr="00287848">
        <w:rPr>
          <w:rFonts w:ascii="Arial" w:hAnsi="Arial" w:cs="Arial"/>
          <w:spacing w:val="-3"/>
          <w:sz w:val="24"/>
          <w:szCs w:val="24"/>
          <w:lang w:eastAsia="en-GB"/>
        </w:rPr>
        <w:lastRenderedPageBreak/>
        <w:t>policy options in relation to a Commission proposal for a Regulation of the European Parliament and of the Council on roaming on public mobile networks within the Community + Commission Staff Working Document - Executive Summary - Impact Assessment thereto". The Commons European Scrutiny Committee considered it politically important and cleared it, (Report 23, Session 06/07).  The Lords Select Committee on the EU cleared it. (P.O.S. 24th May 2007 session 06/07).</w:t>
      </w:r>
    </w:p>
    <w:p w:rsidR="008A50AC" w:rsidRDefault="008A50AC" w:rsidP="00C626F4">
      <w:pPr>
        <w:tabs>
          <w:tab w:val="left" w:pos="0"/>
        </w:tabs>
        <w:suppressAutoHyphens/>
        <w:spacing w:after="0" w:line="240" w:lineRule="auto"/>
        <w:rPr>
          <w:rFonts w:ascii="Arial" w:hAnsi="Arial" w:cs="Arial"/>
          <w:spacing w:val="-3"/>
          <w:sz w:val="24"/>
          <w:szCs w:val="24"/>
          <w:lang w:eastAsia="en-GB"/>
        </w:rPr>
      </w:pPr>
    </w:p>
    <w:p w:rsidR="00CF4FF6" w:rsidRDefault="00CF4FF6" w:rsidP="00877B52">
      <w:pPr>
        <w:spacing w:after="0" w:line="240" w:lineRule="auto"/>
        <w:rPr>
          <w:rFonts w:ascii="Arial" w:hAnsi="Arial" w:cs="Arial"/>
          <w:b/>
          <w:bCs/>
          <w:spacing w:val="-3"/>
          <w:sz w:val="24"/>
          <w:szCs w:val="24"/>
          <w:lang w:eastAsia="en-GB"/>
        </w:rPr>
      </w:pPr>
    </w:p>
    <w:p w:rsidR="008A50AC" w:rsidRPr="00877B52" w:rsidRDefault="008A50AC" w:rsidP="00877B52">
      <w:pPr>
        <w:spacing w:after="0" w:line="240" w:lineRule="auto"/>
        <w:rPr>
          <w:rFonts w:ascii="Arial" w:hAnsi="Arial" w:cs="Arial"/>
          <w:b/>
          <w:bCs/>
          <w:spacing w:val="-3"/>
          <w:sz w:val="24"/>
          <w:szCs w:val="24"/>
          <w:lang w:eastAsia="en-GB"/>
        </w:rPr>
      </w:pPr>
      <w:r w:rsidRPr="00106683">
        <w:rPr>
          <w:rFonts w:ascii="Arial" w:hAnsi="Arial" w:cs="Arial"/>
          <w:b/>
          <w:bCs/>
          <w:spacing w:val="-3"/>
          <w:sz w:val="24"/>
          <w:szCs w:val="24"/>
          <w:lang w:eastAsia="en-GB"/>
        </w:rPr>
        <w:t>MINISTERIAL RESPONSIBILITY</w:t>
      </w:r>
      <w:r w:rsidRPr="00877B52">
        <w:rPr>
          <w:rFonts w:ascii="Arial" w:hAnsi="Arial" w:cs="Arial"/>
          <w:b/>
          <w:bCs/>
          <w:spacing w:val="-3"/>
          <w:sz w:val="24"/>
          <w:szCs w:val="24"/>
          <w:lang w:eastAsia="en-GB"/>
        </w:rPr>
        <w:t xml:space="preserve"> </w:t>
      </w:r>
    </w:p>
    <w:p w:rsidR="008A50AC" w:rsidRDefault="008A50AC" w:rsidP="00877B52">
      <w:pPr>
        <w:spacing w:after="0" w:line="240" w:lineRule="auto"/>
        <w:rPr>
          <w:rFonts w:ascii="Arial" w:hAnsi="Arial" w:cs="Arial"/>
          <w:spacing w:val="-3"/>
          <w:sz w:val="24"/>
          <w:szCs w:val="24"/>
          <w:lang w:eastAsia="en-GB"/>
        </w:rPr>
      </w:pPr>
    </w:p>
    <w:p w:rsidR="00057768" w:rsidRDefault="008A50AC" w:rsidP="00057768">
      <w:pPr>
        <w:numPr>
          <w:ilvl w:val="1"/>
          <w:numId w:val="9"/>
        </w:numPr>
        <w:spacing w:after="0" w:line="240" w:lineRule="auto"/>
        <w:rPr>
          <w:rFonts w:ascii="Arial" w:hAnsi="Arial" w:cs="Arial"/>
          <w:spacing w:val="-3"/>
          <w:sz w:val="24"/>
          <w:szCs w:val="24"/>
          <w:lang w:eastAsia="en-GB"/>
        </w:rPr>
      </w:pPr>
      <w:r>
        <w:rPr>
          <w:rFonts w:ascii="Arial" w:hAnsi="Arial" w:cs="Arial"/>
          <w:spacing w:val="-3"/>
          <w:sz w:val="24"/>
          <w:szCs w:val="24"/>
          <w:lang w:eastAsia="en-GB"/>
        </w:rPr>
        <w:t>The Secretary of State for Culture, Media and Sport has primary responsibility for the proposal.</w:t>
      </w:r>
    </w:p>
    <w:p w:rsidR="00057768" w:rsidRDefault="00057768" w:rsidP="00057768">
      <w:pPr>
        <w:spacing w:after="0" w:line="240" w:lineRule="auto"/>
        <w:rPr>
          <w:rFonts w:ascii="Arial" w:hAnsi="Arial" w:cs="Arial"/>
          <w:spacing w:val="-3"/>
          <w:sz w:val="24"/>
          <w:szCs w:val="24"/>
          <w:lang w:eastAsia="en-GB"/>
        </w:rPr>
      </w:pPr>
    </w:p>
    <w:p w:rsidR="008A50AC" w:rsidRPr="00057768" w:rsidRDefault="00057768" w:rsidP="00057768">
      <w:pPr>
        <w:numPr>
          <w:ilvl w:val="1"/>
          <w:numId w:val="9"/>
        </w:numPr>
        <w:spacing w:after="0" w:line="240" w:lineRule="auto"/>
        <w:rPr>
          <w:rFonts w:ascii="Arial" w:hAnsi="Arial" w:cs="Arial"/>
          <w:spacing w:val="-3"/>
          <w:sz w:val="24"/>
          <w:szCs w:val="24"/>
          <w:lang w:eastAsia="en-GB"/>
        </w:rPr>
      </w:pPr>
      <w:r>
        <w:rPr>
          <w:rFonts w:ascii="Arial" w:hAnsi="Arial" w:cs="Arial"/>
          <w:spacing w:val="-3"/>
          <w:sz w:val="24"/>
          <w:szCs w:val="24"/>
          <w:lang w:eastAsia="en-GB"/>
        </w:rPr>
        <w:t>I</w:t>
      </w:r>
      <w:r w:rsidR="008A50AC" w:rsidRPr="00057768">
        <w:rPr>
          <w:rFonts w:ascii="Arial" w:hAnsi="Arial" w:cs="Arial"/>
          <w:spacing w:val="-3"/>
          <w:sz w:val="24"/>
          <w:szCs w:val="24"/>
          <w:lang w:eastAsia="en-GB"/>
        </w:rPr>
        <w:t>n addition, the Secretary of State for Business, Innovation and Skills has an interest as a European single market measure</w:t>
      </w:r>
      <w:r w:rsidR="007E389F">
        <w:rPr>
          <w:rFonts w:ascii="Arial" w:hAnsi="Arial" w:cs="Arial"/>
          <w:spacing w:val="-3"/>
          <w:sz w:val="24"/>
          <w:szCs w:val="24"/>
          <w:lang w:eastAsia="en-GB"/>
        </w:rPr>
        <w:t xml:space="preserve"> and consumer protection issues</w:t>
      </w:r>
      <w:r w:rsidR="00827BC1">
        <w:rPr>
          <w:rFonts w:ascii="Arial" w:hAnsi="Arial" w:cs="Arial"/>
          <w:spacing w:val="-3"/>
          <w:sz w:val="24"/>
          <w:szCs w:val="24"/>
          <w:lang w:eastAsia="en-GB"/>
        </w:rPr>
        <w:t>;</w:t>
      </w:r>
      <w:r w:rsidRPr="00057768">
        <w:rPr>
          <w:rFonts w:ascii="Arial" w:hAnsi="Arial" w:cs="Arial"/>
          <w:spacing w:val="-3"/>
          <w:sz w:val="24"/>
          <w:szCs w:val="24"/>
          <w:lang w:eastAsia="en-GB"/>
        </w:rPr>
        <w:t xml:space="preserve"> and</w:t>
      </w:r>
      <w:r w:rsidR="008A50AC" w:rsidRPr="00057768">
        <w:rPr>
          <w:rFonts w:ascii="Arial" w:hAnsi="Arial" w:cs="Arial"/>
          <w:spacing w:val="-3"/>
          <w:sz w:val="24"/>
          <w:szCs w:val="24"/>
          <w:lang w:eastAsia="en-GB"/>
        </w:rPr>
        <w:t xml:space="preserve"> the Chancellor of the Exchequer has an interest in measure</w:t>
      </w:r>
      <w:r>
        <w:rPr>
          <w:rFonts w:ascii="Arial" w:hAnsi="Arial" w:cs="Arial"/>
          <w:spacing w:val="-3"/>
          <w:sz w:val="24"/>
          <w:szCs w:val="24"/>
          <w:lang w:eastAsia="en-GB"/>
        </w:rPr>
        <w:t>s</w:t>
      </w:r>
      <w:r w:rsidR="008A50AC" w:rsidRPr="00057768">
        <w:rPr>
          <w:rFonts w:ascii="Arial" w:hAnsi="Arial" w:cs="Arial"/>
          <w:spacing w:val="-3"/>
          <w:sz w:val="24"/>
          <w:szCs w:val="24"/>
          <w:lang w:eastAsia="en-GB"/>
        </w:rPr>
        <w:t xml:space="preserve"> controll</w:t>
      </w:r>
      <w:r w:rsidRPr="00057768">
        <w:rPr>
          <w:rFonts w:ascii="Arial" w:hAnsi="Arial" w:cs="Arial"/>
          <w:spacing w:val="-3"/>
          <w:sz w:val="24"/>
          <w:szCs w:val="24"/>
          <w:lang w:eastAsia="en-GB"/>
        </w:rPr>
        <w:t>ing national spectrum auctions</w:t>
      </w:r>
    </w:p>
    <w:p w:rsidR="002C10EF" w:rsidRDefault="002C10EF" w:rsidP="00877B52">
      <w:pPr>
        <w:spacing w:after="0" w:line="240" w:lineRule="auto"/>
        <w:rPr>
          <w:rFonts w:ascii="Arial" w:hAnsi="Arial" w:cs="Arial"/>
          <w:i/>
          <w:iCs/>
          <w:sz w:val="24"/>
          <w:szCs w:val="24"/>
          <w:lang w:eastAsia="en-GB"/>
        </w:rPr>
      </w:pPr>
    </w:p>
    <w:p w:rsidR="008A50AC" w:rsidRPr="00877B52" w:rsidRDefault="008A50AC" w:rsidP="00877B52">
      <w:pPr>
        <w:spacing w:after="0" w:line="240" w:lineRule="auto"/>
        <w:rPr>
          <w:rFonts w:ascii="Arial" w:hAnsi="Arial" w:cs="Arial"/>
          <w:sz w:val="24"/>
          <w:szCs w:val="24"/>
          <w:lang w:eastAsia="en-GB"/>
        </w:rPr>
      </w:pPr>
      <w:r w:rsidRPr="00106683">
        <w:rPr>
          <w:rFonts w:ascii="Arial" w:hAnsi="Arial" w:cs="Arial"/>
          <w:b/>
          <w:bCs/>
          <w:sz w:val="24"/>
          <w:szCs w:val="24"/>
          <w:lang w:eastAsia="en-GB"/>
        </w:rPr>
        <w:t>INTEREST OF THE DEVOLVED ADMINISTRATIONS</w:t>
      </w:r>
      <w:r w:rsidRPr="00877B52">
        <w:rPr>
          <w:rFonts w:ascii="Arial" w:hAnsi="Arial" w:cs="Arial"/>
          <w:sz w:val="24"/>
          <w:szCs w:val="24"/>
          <w:lang w:eastAsia="en-GB"/>
        </w:rPr>
        <w:br/>
      </w:r>
    </w:p>
    <w:p w:rsidR="008A50AC" w:rsidRDefault="008A50AC" w:rsidP="00057768">
      <w:pPr>
        <w:numPr>
          <w:ilvl w:val="1"/>
          <w:numId w:val="9"/>
        </w:numPr>
        <w:spacing w:after="0" w:line="240" w:lineRule="auto"/>
        <w:rPr>
          <w:rFonts w:ascii="Arial" w:hAnsi="Arial" w:cs="Arial"/>
          <w:sz w:val="24"/>
          <w:szCs w:val="24"/>
          <w:lang w:eastAsia="en-GB"/>
        </w:rPr>
      </w:pPr>
      <w:r>
        <w:rPr>
          <w:rFonts w:ascii="Arial" w:hAnsi="Arial" w:cs="Arial"/>
          <w:sz w:val="24"/>
          <w:szCs w:val="24"/>
          <w:lang w:eastAsia="en-GB"/>
        </w:rPr>
        <w:t>Matters relating to the European single market and telecommunications are a reserved matter. However, the Devolved Administrations were consulte</w:t>
      </w:r>
      <w:r w:rsidR="00057768">
        <w:rPr>
          <w:rFonts w:ascii="Arial" w:hAnsi="Arial" w:cs="Arial"/>
          <w:sz w:val="24"/>
          <w:szCs w:val="24"/>
          <w:lang w:eastAsia="en-GB"/>
        </w:rPr>
        <w:t>d whilst drawing up this EM; n</w:t>
      </w:r>
      <w:r w:rsidR="00CF4FF6">
        <w:rPr>
          <w:rFonts w:ascii="Arial" w:hAnsi="Arial" w:cs="Arial"/>
          <w:sz w:val="24"/>
          <w:szCs w:val="24"/>
          <w:lang w:eastAsia="en-GB"/>
        </w:rPr>
        <w:t>o specific views were expressed.</w:t>
      </w:r>
    </w:p>
    <w:p w:rsidR="00057768" w:rsidRPr="00057768" w:rsidRDefault="00057768" w:rsidP="00057768">
      <w:pPr>
        <w:spacing w:after="0" w:line="240" w:lineRule="auto"/>
        <w:ind w:left="360"/>
        <w:rPr>
          <w:rFonts w:ascii="Arial" w:hAnsi="Arial" w:cs="Arial"/>
          <w:sz w:val="24"/>
          <w:szCs w:val="24"/>
          <w:lang w:eastAsia="en-GB"/>
        </w:rPr>
      </w:pPr>
    </w:p>
    <w:p w:rsidR="008A50AC" w:rsidRPr="00877B52" w:rsidRDefault="008A50AC" w:rsidP="00877B52">
      <w:pPr>
        <w:tabs>
          <w:tab w:val="left" w:pos="0"/>
        </w:tabs>
        <w:suppressAutoHyphens/>
        <w:spacing w:after="0" w:line="240" w:lineRule="auto"/>
        <w:rPr>
          <w:rFonts w:ascii="Arial" w:hAnsi="Arial" w:cs="Arial"/>
          <w:b/>
          <w:bCs/>
          <w:spacing w:val="-3"/>
          <w:sz w:val="24"/>
          <w:szCs w:val="24"/>
          <w:lang w:eastAsia="en-GB"/>
        </w:rPr>
      </w:pPr>
      <w:r w:rsidRPr="00106683">
        <w:rPr>
          <w:rFonts w:ascii="Arial" w:hAnsi="Arial" w:cs="Arial"/>
          <w:b/>
          <w:bCs/>
          <w:spacing w:val="-3"/>
          <w:sz w:val="24"/>
          <w:szCs w:val="24"/>
          <w:lang w:eastAsia="en-GB"/>
        </w:rPr>
        <w:t>LEGAL AND PROCEDURAL ISSUES</w:t>
      </w:r>
    </w:p>
    <w:p w:rsidR="008A50AC" w:rsidRPr="00877B52" w:rsidRDefault="008A50AC" w:rsidP="00877B52">
      <w:pPr>
        <w:tabs>
          <w:tab w:val="left" w:pos="0"/>
        </w:tabs>
        <w:suppressAutoHyphens/>
        <w:spacing w:after="0" w:line="240" w:lineRule="auto"/>
        <w:rPr>
          <w:rFonts w:ascii="Arial" w:hAnsi="Arial" w:cs="Arial"/>
          <w:i/>
          <w:iCs/>
          <w:spacing w:val="-3"/>
          <w:sz w:val="24"/>
          <w:szCs w:val="24"/>
          <w:lang w:eastAsia="en-GB"/>
        </w:rPr>
      </w:pPr>
    </w:p>
    <w:p w:rsidR="008A50AC" w:rsidRDefault="008A50AC" w:rsidP="00877B52">
      <w:pPr>
        <w:numPr>
          <w:ilvl w:val="1"/>
          <w:numId w:val="9"/>
        </w:numPr>
        <w:tabs>
          <w:tab w:val="left" w:pos="0"/>
        </w:tabs>
        <w:suppressAutoHyphens/>
        <w:spacing w:after="0" w:line="240" w:lineRule="auto"/>
        <w:rPr>
          <w:rFonts w:ascii="Arial" w:hAnsi="Arial" w:cs="Arial"/>
          <w:spacing w:val="-3"/>
          <w:sz w:val="24"/>
          <w:szCs w:val="24"/>
          <w:lang w:eastAsia="en-GB"/>
        </w:rPr>
      </w:pPr>
    </w:p>
    <w:p w:rsidR="008A50AC" w:rsidRPr="00877B52" w:rsidRDefault="008A50AC" w:rsidP="003D12C5">
      <w:pPr>
        <w:rPr>
          <w:rFonts w:ascii="Arial" w:hAnsi="Arial" w:cs="Arial"/>
          <w:spacing w:val="-3"/>
          <w:sz w:val="24"/>
          <w:szCs w:val="24"/>
          <w:lang w:eastAsia="en-GB"/>
        </w:rPr>
      </w:pPr>
      <w:r w:rsidRPr="00877B52">
        <w:rPr>
          <w:rFonts w:ascii="Arial" w:hAnsi="Arial" w:cs="Arial"/>
          <w:spacing w:val="-3"/>
          <w:sz w:val="24"/>
          <w:szCs w:val="24"/>
          <w:lang w:eastAsia="en-GB"/>
        </w:rPr>
        <w:tab/>
      </w:r>
      <w:proofErr w:type="spellStart"/>
      <w:r w:rsidRPr="00877B52">
        <w:rPr>
          <w:rFonts w:ascii="Arial" w:hAnsi="Arial" w:cs="Arial"/>
          <w:spacing w:val="-3"/>
          <w:sz w:val="24"/>
          <w:szCs w:val="24"/>
          <w:lang w:eastAsia="en-GB"/>
        </w:rPr>
        <w:t>i</w:t>
      </w:r>
      <w:proofErr w:type="spellEnd"/>
      <w:r w:rsidRPr="00877B52">
        <w:rPr>
          <w:rFonts w:ascii="Arial" w:hAnsi="Arial" w:cs="Arial"/>
          <w:spacing w:val="-3"/>
          <w:sz w:val="24"/>
          <w:szCs w:val="24"/>
          <w:lang w:eastAsia="en-GB"/>
        </w:rPr>
        <w:t>.</w:t>
      </w:r>
      <w:r w:rsidRPr="00877B52">
        <w:rPr>
          <w:rFonts w:ascii="Arial" w:hAnsi="Arial" w:cs="Arial"/>
          <w:spacing w:val="-3"/>
          <w:sz w:val="24"/>
          <w:szCs w:val="24"/>
          <w:lang w:eastAsia="en-GB"/>
        </w:rPr>
        <w:tab/>
      </w:r>
      <w:r w:rsidRPr="003D12C5">
        <w:rPr>
          <w:rFonts w:ascii="Arial" w:hAnsi="Arial" w:cs="Arial"/>
          <w:b/>
          <w:bCs/>
          <w:spacing w:val="-3"/>
          <w:sz w:val="24"/>
          <w:szCs w:val="24"/>
          <w:lang w:eastAsia="en-GB"/>
        </w:rPr>
        <w:t>Legal basis</w:t>
      </w:r>
      <w:r>
        <w:rPr>
          <w:rFonts w:ascii="Arial" w:hAnsi="Arial" w:cs="Arial"/>
          <w:spacing w:val="-3"/>
          <w:sz w:val="24"/>
          <w:szCs w:val="24"/>
          <w:lang w:eastAsia="en-GB"/>
        </w:rPr>
        <w:t xml:space="preserve"> - </w:t>
      </w:r>
      <w:r w:rsidRPr="003D12C5">
        <w:rPr>
          <w:rFonts w:ascii="Arial" w:hAnsi="Arial" w:cs="Arial"/>
          <w:sz w:val="24"/>
          <w:szCs w:val="24"/>
        </w:rPr>
        <w:t>Article 114 TFEU.</w:t>
      </w:r>
    </w:p>
    <w:p w:rsidR="008A50AC" w:rsidRPr="00877B52" w:rsidRDefault="008A50AC" w:rsidP="003D12C5">
      <w:pPr>
        <w:rPr>
          <w:rFonts w:ascii="Arial" w:hAnsi="Arial" w:cs="Arial"/>
          <w:spacing w:val="-3"/>
          <w:sz w:val="24"/>
          <w:szCs w:val="24"/>
          <w:lang w:eastAsia="en-GB"/>
        </w:rPr>
      </w:pPr>
      <w:r w:rsidRPr="00877B52">
        <w:rPr>
          <w:rFonts w:ascii="Arial" w:hAnsi="Arial" w:cs="Arial"/>
          <w:spacing w:val="-3"/>
          <w:sz w:val="24"/>
          <w:szCs w:val="24"/>
          <w:lang w:eastAsia="en-GB"/>
        </w:rPr>
        <w:tab/>
        <w:t>ii.</w:t>
      </w:r>
      <w:r w:rsidRPr="00877B52">
        <w:rPr>
          <w:rFonts w:ascii="Arial" w:hAnsi="Arial" w:cs="Arial"/>
          <w:spacing w:val="-3"/>
          <w:sz w:val="24"/>
          <w:szCs w:val="24"/>
          <w:lang w:eastAsia="en-GB"/>
        </w:rPr>
        <w:tab/>
      </w:r>
      <w:r w:rsidRPr="003D12C5">
        <w:rPr>
          <w:rFonts w:ascii="Arial" w:hAnsi="Arial" w:cs="Arial"/>
          <w:b/>
          <w:bCs/>
          <w:spacing w:val="-3"/>
          <w:sz w:val="24"/>
          <w:szCs w:val="24"/>
          <w:lang w:eastAsia="en-GB"/>
        </w:rPr>
        <w:t>European Parliament Procedure</w:t>
      </w:r>
      <w:r>
        <w:rPr>
          <w:rFonts w:ascii="Arial" w:hAnsi="Arial" w:cs="Arial"/>
          <w:spacing w:val="-3"/>
          <w:sz w:val="24"/>
          <w:szCs w:val="24"/>
          <w:lang w:eastAsia="en-GB"/>
        </w:rPr>
        <w:t xml:space="preserve"> - </w:t>
      </w:r>
      <w:r w:rsidRPr="003D12C5">
        <w:rPr>
          <w:rFonts w:ascii="Arial" w:hAnsi="Arial" w:cs="Arial"/>
          <w:sz w:val="24"/>
          <w:szCs w:val="24"/>
        </w:rPr>
        <w:t>Ordinary legislative procedur</w:t>
      </w:r>
      <w:r>
        <w:rPr>
          <w:rFonts w:ascii="Arial" w:hAnsi="Arial" w:cs="Arial"/>
          <w:sz w:val="24"/>
          <w:szCs w:val="24"/>
        </w:rPr>
        <w:t>e</w:t>
      </w:r>
    </w:p>
    <w:p w:rsidR="008A50AC" w:rsidRPr="003D12C5" w:rsidRDefault="008A50AC" w:rsidP="003D12C5">
      <w:pPr>
        <w:rPr>
          <w:rFonts w:ascii="Arial" w:hAnsi="Arial" w:cs="Arial"/>
          <w:sz w:val="24"/>
          <w:szCs w:val="24"/>
        </w:rPr>
      </w:pPr>
      <w:r w:rsidRPr="00877B52">
        <w:rPr>
          <w:rFonts w:ascii="Arial" w:hAnsi="Arial" w:cs="Arial"/>
          <w:spacing w:val="-3"/>
          <w:sz w:val="24"/>
          <w:szCs w:val="24"/>
          <w:lang w:eastAsia="en-GB"/>
        </w:rPr>
        <w:tab/>
        <w:t>iii.</w:t>
      </w:r>
      <w:r w:rsidRPr="00877B52">
        <w:rPr>
          <w:rFonts w:ascii="Arial" w:hAnsi="Arial" w:cs="Arial"/>
          <w:spacing w:val="-3"/>
          <w:sz w:val="24"/>
          <w:szCs w:val="24"/>
          <w:lang w:eastAsia="en-GB"/>
        </w:rPr>
        <w:tab/>
      </w:r>
      <w:r w:rsidRPr="003D12C5">
        <w:rPr>
          <w:rFonts w:ascii="Arial" w:hAnsi="Arial" w:cs="Arial"/>
          <w:b/>
          <w:bCs/>
          <w:spacing w:val="-3"/>
          <w:sz w:val="24"/>
          <w:szCs w:val="24"/>
          <w:lang w:eastAsia="en-GB"/>
        </w:rPr>
        <w:t>Voting procedure</w:t>
      </w:r>
      <w:r>
        <w:rPr>
          <w:rFonts w:ascii="Arial" w:hAnsi="Arial" w:cs="Arial"/>
          <w:spacing w:val="-3"/>
          <w:sz w:val="24"/>
          <w:szCs w:val="24"/>
          <w:lang w:eastAsia="en-GB"/>
        </w:rPr>
        <w:t xml:space="preserve"> - </w:t>
      </w:r>
      <w:r>
        <w:rPr>
          <w:rFonts w:ascii="Arial" w:hAnsi="Arial" w:cs="Arial"/>
          <w:sz w:val="24"/>
          <w:szCs w:val="24"/>
        </w:rPr>
        <w:t>Qualified majority voting</w:t>
      </w:r>
    </w:p>
    <w:p w:rsidR="008A50AC" w:rsidRPr="00877B52" w:rsidRDefault="008A50AC" w:rsidP="00877B52">
      <w:pPr>
        <w:numPr>
          <w:ilvl w:val="0"/>
          <w:numId w:val="5"/>
        </w:numPr>
        <w:tabs>
          <w:tab w:val="left" w:pos="0"/>
        </w:tabs>
        <w:suppressAutoHyphens/>
        <w:spacing w:after="0" w:line="240" w:lineRule="auto"/>
        <w:rPr>
          <w:rFonts w:ascii="Arial" w:hAnsi="Arial" w:cs="Arial"/>
          <w:spacing w:val="-3"/>
          <w:sz w:val="24"/>
          <w:szCs w:val="24"/>
          <w:lang w:eastAsia="en-GB"/>
        </w:rPr>
      </w:pPr>
      <w:r w:rsidRPr="003D12C5">
        <w:rPr>
          <w:rFonts w:ascii="Arial" w:hAnsi="Arial" w:cs="Arial"/>
          <w:b/>
          <w:bCs/>
          <w:spacing w:val="-3"/>
          <w:sz w:val="24"/>
          <w:szCs w:val="24"/>
          <w:lang w:eastAsia="en-GB"/>
        </w:rPr>
        <w:t>Impact on United Kingdom Law</w:t>
      </w:r>
      <w:r>
        <w:rPr>
          <w:rFonts w:ascii="Arial" w:hAnsi="Arial" w:cs="Arial"/>
          <w:spacing w:val="-3"/>
          <w:sz w:val="24"/>
          <w:szCs w:val="24"/>
          <w:lang w:eastAsia="en-GB"/>
        </w:rPr>
        <w:t xml:space="preserve"> – The proposed Regulation would be directly applicable in the UK.  It is likely that some consequential amendments would need to be made to UK legislation.</w:t>
      </w:r>
    </w:p>
    <w:p w:rsidR="008A50AC" w:rsidRPr="00877B52" w:rsidRDefault="008A50AC" w:rsidP="00877B52">
      <w:pPr>
        <w:tabs>
          <w:tab w:val="left" w:pos="0"/>
        </w:tabs>
        <w:suppressAutoHyphens/>
        <w:spacing w:after="0" w:line="240" w:lineRule="auto"/>
        <w:ind w:left="720"/>
        <w:rPr>
          <w:rFonts w:ascii="Arial" w:hAnsi="Arial" w:cs="Arial"/>
          <w:spacing w:val="-3"/>
          <w:sz w:val="24"/>
          <w:szCs w:val="24"/>
          <w:lang w:eastAsia="en-GB"/>
        </w:rPr>
      </w:pPr>
    </w:p>
    <w:p w:rsidR="008A50AC" w:rsidRPr="00877B52" w:rsidRDefault="008A50AC" w:rsidP="00877B52">
      <w:pPr>
        <w:numPr>
          <w:ilvl w:val="0"/>
          <w:numId w:val="5"/>
        </w:numPr>
        <w:tabs>
          <w:tab w:val="left" w:pos="0"/>
        </w:tabs>
        <w:suppressAutoHyphens/>
        <w:spacing w:after="0" w:line="240" w:lineRule="auto"/>
        <w:rPr>
          <w:rFonts w:ascii="Arial" w:hAnsi="Arial" w:cs="Arial"/>
          <w:spacing w:val="-3"/>
          <w:sz w:val="24"/>
          <w:szCs w:val="24"/>
          <w:lang w:eastAsia="en-GB"/>
        </w:rPr>
      </w:pPr>
      <w:r w:rsidRPr="003D12C5">
        <w:rPr>
          <w:rFonts w:ascii="Arial" w:hAnsi="Arial" w:cs="Arial"/>
          <w:b/>
          <w:bCs/>
          <w:sz w:val="24"/>
          <w:szCs w:val="24"/>
          <w:lang w:eastAsia="en-GB"/>
        </w:rPr>
        <w:t>Application to Gibraltar</w:t>
      </w:r>
      <w:r>
        <w:rPr>
          <w:rFonts w:ascii="Arial" w:hAnsi="Arial" w:cs="Arial"/>
          <w:sz w:val="24"/>
          <w:szCs w:val="24"/>
          <w:lang w:eastAsia="en-GB"/>
        </w:rPr>
        <w:t xml:space="preserve"> – Applies to Gibraltar</w:t>
      </w:r>
    </w:p>
    <w:p w:rsidR="008A50AC" w:rsidRPr="00877B52" w:rsidRDefault="008A50AC" w:rsidP="00877B52">
      <w:pPr>
        <w:tabs>
          <w:tab w:val="left" w:pos="0"/>
        </w:tabs>
        <w:suppressAutoHyphens/>
        <w:spacing w:after="0" w:line="240" w:lineRule="auto"/>
        <w:ind w:left="720"/>
        <w:rPr>
          <w:rFonts w:ascii="Arial" w:hAnsi="Arial" w:cs="Arial"/>
          <w:i/>
          <w:iCs/>
          <w:spacing w:val="-3"/>
          <w:sz w:val="24"/>
          <w:szCs w:val="24"/>
          <w:lang w:eastAsia="en-GB"/>
        </w:rPr>
      </w:pPr>
    </w:p>
    <w:p w:rsidR="008A50AC" w:rsidRPr="00877B52" w:rsidRDefault="008A50AC" w:rsidP="008C3D3D">
      <w:pPr>
        <w:tabs>
          <w:tab w:val="left" w:pos="0"/>
        </w:tabs>
        <w:suppressAutoHyphens/>
        <w:spacing w:after="0" w:line="240" w:lineRule="auto"/>
        <w:ind w:left="720"/>
        <w:rPr>
          <w:rFonts w:ascii="Arial" w:hAnsi="Arial" w:cs="Arial"/>
          <w:spacing w:val="-3"/>
          <w:sz w:val="24"/>
          <w:szCs w:val="24"/>
          <w:lang w:eastAsia="en-GB"/>
        </w:rPr>
      </w:pPr>
      <w:r w:rsidRPr="00877B52">
        <w:rPr>
          <w:rFonts w:ascii="Arial" w:hAnsi="Arial" w:cs="Arial"/>
          <w:spacing w:val="-3"/>
          <w:sz w:val="24"/>
          <w:szCs w:val="24"/>
          <w:lang w:eastAsia="en-GB"/>
        </w:rPr>
        <w:t>vi.</w:t>
      </w:r>
      <w:r w:rsidRPr="00877B52">
        <w:rPr>
          <w:rFonts w:ascii="Arial" w:hAnsi="Arial" w:cs="Arial"/>
          <w:spacing w:val="-3"/>
          <w:sz w:val="24"/>
          <w:szCs w:val="24"/>
          <w:lang w:eastAsia="en-GB"/>
        </w:rPr>
        <w:tab/>
      </w:r>
      <w:r w:rsidRPr="003D12C5">
        <w:rPr>
          <w:rFonts w:ascii="Arial" w:hAnsi="Arial" w:cs="Arial"/>
          <w:b/>
          <w:bCs/>
          <w:spacing w:val="-3"/>
          <w:sz w:val="24"/>
          <w:szCs w:val="24"/>
          <w:lang w:eastAsia="en-GB"/>
        </w:rPr>
        <w:t>Fundamental rights analysis</w:t>
      </w:r>
      <w:r>
        <w:rPr>
          <w:rFonts w:ascii="Arial" w:hAnsi="Arial" w:cs="Arial"/>
          <w:spacing w:val="-3"/>
          <w:sz w:val="24"/>
          <w:szCs w:val="24"/>
          <w:lang w:eastAsia="en-GB"/>
        </w:rPr>
        <w:t xml:space="preserve"> – We do not consider that the proposal raises any fundamental rights issues.</w:t>
      </w:r>
    </w:p>
    <w:p w:rsidR="008A50AC" w:rsidRPr="00877B52" w:rsidRDefault="008A50AC" w:rsidP="00877B52">
      <w:pPr>
        <w:tabs>
          <w:tab w:val="left" w:pos="0"/>
        </w:tabs>
        <w:suppressAutoHyphens/>
        <w:spacing w:after="0" w:line="240" w:lineRule="auto"/>
        <w:rPr>
          <w:rFonts w:ascii="Arial" w:hAnsi="Arial" w:cs="Arial"/>
          <w:spacing w:val="-3"/>
          <w:sz w:val="24"/>
          <w:szCs w:val="24"/>
          <w:lang w:eastAsia="en-GB"/>
        </w:rPr>
      </w:pPr>
    </w:p>
    <w:p w:rsidR="008A50AC" w:rsidRPr="00877B52" w:rsidRDefault="008A50AC" w:rsidP="00877B52">
      <w:pPr>
        <w:tabs>
          <w:tab w:val="left" w:pos="0"/>
        </w:tabs>
        <w:suppressAutoHyphens/>
        <w:spacing w:after="0" w:line="240" w:lineRule="auto"/>
        <w:rPr>
          <w:rFonts w:ascii="Arial" w:hAnsi="Arial" w:cs="Arial"/>
          <w:b/>
          <w:bCs/>
          <w:spacing w:val="-3"/>
          <w:sz w:val="24"/>
          <w:szCs w:val="24"/>
          <w:lang w:eastAsia="en-GB"/>
        </w:rPr>
      </w:pPr>
      <w:r w:rsidRPr="00106683">
        <w:rPr>
          <w:rFonts w:ascii="Arial" w:hAnsi="Arial" w:cs="Arial"/>
          <w:b/>
          <w:bCs/>
          <w:spacing w:val="-3"/>
          <w:sz w:val="24"/>
          <w:szCs w:val="24"/>
          <w:lang w:eastAsia="en-GB"/>
        </w:rPr>
        <w:t>APPLICATION TO THE EUROPEAN ECONOMIC AREA</w:t>
      </w:r>
    </w:p>
    <w:p w:rsidR="008A50AC" w:rsidRPr="00877B52" w:rsidRDefault="008A50AC" w:rsidP="00877B52">
      <w:pPr>
        <w:tabs>
          <w:tab w:val="left" w:pos="0"/>
        </w:tabs>
        <w:suppressAutoHyphens/>
        <w:spacing w:after="0" w:line="240" w:lineRule="auto"/>
        <w:rPr>
          <w:rFonts w:ascii="Arial" w:hAnsi="Arial" w:cs="Arial"/>
          <w:spacing w:val="-3"/>
          <w:sz w:val="24"/>
          <w:szCs w:val="24"/>
          <w:lang w:eastAsia="en-GB"/>
        </w:rPr>
      </w:pPr>
    </w:p>
    <w:p w:rsidR="008A50AC" w:rsidRDefault="008A50AC" w:rsidP="008C3D3D">
      <w:pPr>
        <w:numPr>
          <w:ilvl w:val="1"/>
          <w:numId w:val="9"/>
        </w:numPr>
        <w:tabs>
          <w:tab w:val="left" w:pos="0"/>
        </w:tabs>
        <w:suppressAutoHyphens/>
        <w:spacing w:after="0" w:line="240" w:lineRule="auto"/>
        <w:rPr>
          <w:rFonts w:ascii="Arial" w:hAnsi="Arial" w:cs="Arial"/>
          <w:spacing w:val="-3"/>
          <w:sz w:val="24"/>
          <w:szCs w:val="24"/>
          <w:lang w:eastAsia="en-GB"/>
        </w:rPr>
      </w:pPr>
      <w:r>
        <w:rPr>
          <w:rFonts w:ascii="Arial" w:hAnsi="Arial" w:cs="Arial"/>
          <w:spacing w:val="-3"/>
          <w:sz w:val="24"/>
          <w:szCs w:val="24"/>
          <w:lang w:eastAsia="en-GB"/>
        </w:rPr>
        <w:t xml:space="preserve"> </w:t>
      </w:r>
      <w:r w:rsidRPr="00851E72">
        <w:rPr>
          <w:rFonts w:ascii="Arial" w:hAnsi="Arial" w:cs="Arial"/>
          <w:spacing w:val="-3"/>
          <w:sz w:val="24"/>
          <w:szCs w:val="24"/>
          <w:lang w:eastAsia="en-GB"/>
        </w:rPr>
        <w:t>The proposed Regulation will be applicable in the EEA</w:t>
      </w:r>
    </w:p>
    <w:p w:rsidR="00E47342" w:rsidRDefault="00E47342" w:rsidP="00E47342">
      <w:pPr>
        <w:tabs>
          <w:tab w:val="left" w:pos="0"/>
        </w:tabs>
        <w:suppressAutoHyphens/>
        <w:spacing w:after="0" w:line="240" w:lineRule="auto"/>
        <w:rPr>
          <w:rFonts w:ascii="Arial" w:hAnsi="Arial" w:cs="Arial"/>
          <w:spacing w:val="-3"/>
          <w:sz w:val="24"/>
          <w:szCs w:val="24"/>
          <w:lang w:eastAsia="en-GB"/>
        </w:rPr>
      </w:pPr>
    </w:p>
    <w:p w:rsidR="00E47342" w:rsidRPr="00E47342" w:rsidRDefault="00E47342" w:rsidP="00E47342">
      <w:pPr>
        <w:tabs>
          <w:tab w:val="left" w:pos="0"/>
        </w:tabs>
        <w:suppressAutoHyphens/>
        <w:spacing w:after="0" w:line="240" w:lineRule="auto"/>
        <w:rPr>
          <w:rFonts w:ascii="Arial" w:hAnsi="Arial" w:cs="Arial"/>
          <w:b/>
          <w:bCs/>
          <w:spacing w:val="-3"/>
          <w:sz w:val="24"/>
          <w:szCs w:val="24"/>
          <w:lang w:eastAsia="en-GB"/>
        </w:rPr>
      </w:pPr>
      <w:r w:rsidRPr="00877B52">
        <w:rPr>
          <w:rFonts w:ascii="Arial" w:hAnsi="Arial" w:cs="Arial"/>
          <w:b/>
          <w:bCs/>
          <w:spacing w:val="-3"/>
          <w:sz w:val="24"/>
          <w:szCs w:val="24"/>
          <w:lang w:eastAsia="en-GB"/>
        </w:rPr>
        <w:t>SUBSIDIARITY</w:t>
      </w:r>
    </w:p>
    <w:p w:rsidR="00E47342" w:rsidRDefault="00E47342" w:rsidP="00E47342">
      <w:pPr>
        <w:tabs>
          <w:tab w:val="left" w:pos="0"/>
        </w:tabs>
        <w:suppressAutoHyphens/>
        <w:spacing w:after="0" w:line="240" w:lineRule="auto"/>
        <w:rPr>
          <w:rFonts w:ascii="Arial" w:hAnsi="Arial" w:cs="Arial"/>
          <w:spacing w:val="-3"/>
          <w:sz w:val="24"/>
          <w:szCs w:val="24"/>
          <w:lang w:eastAsia="en-GB"/>
        </w:rPr>
      </w:pPr>
    </w:p>
    <w:p w:rsidR="008A50AC" w:rsidRPr="009515AA" w:rsidRDefault="009515AA" w:rsidP="009515AA">
      <w:pPr>
        <w:numPr>
          <w:ilvl w:val="1"/>
          <w:numId w:val="9"/>
        </w:numPr>
        <w:tabs>
          <w:tab w:val="left" w:pos="0"/>
        </w:tabs>
        <w:suppressAutoHyphens/>
        <w:spacing w:after="0" w:line="240" w:lineRule="auto"/>
        <w:rPr>
          <w:rFonts w:ascii="Arial" w:hAnsi="Arial" w:cs="Arial"/>
          <w:spacing w:val="-3"/>
          <w:sz w:val="24"/>
          <w:szCs w:val="24"/>
          <w:lang w:eastAsia="en-GB"/>
        </w:rPr>
      </w:pPr>
      <w:r>
        <w:rPr>
          <w:rFonts w:ascii="Arial" w:hAnsi="Arial" w:cs="Arial"/>
          <w:spacing w:val="-3"/>
          <w:sz w:val="24"/>
          <w:szCs w:val="24"/>
          <w:lang w:eastAsia="en-GB"/>
        </w:rPr>
        <w:t xml:space="preserve"> </w:t>
      </w:r>
      <w:r w:rsidRPr="00287848">
        <w:rPr>
          <w:rFonts w:ascii="Arial" w:hAnsi="Arial" w:cs="Arial"/>
          <w:spacing w:val="-3"/>
          <w:sz w:val="24"/>
          <w:szCs w:val="24"/>
          <w:lang w:eastAsia="en-GB"/>
        </w:rPr>
        <w:t>In the accompanying Impact Assessment (</w:t>
      </w:r>
      <w:proofErr w:type="spellStart"/>
      <w:r w:rsidRPr="00287848">
        <w:rPr>
          <w:rFonts w:ascii="Arial" w:hAnsi="Arial" w:cs="Arial"/>
          <w:spacing w:val="-3"/>
          <w:sz w:val="24"/>
          <w:szCs w:val="24"/>
          <w:lang w:eastAsia="en-GB"/>
        </w:rPr>
        <w:t>para</w:t>
      </w:r>
      <w:proofErr w:type="spellEnd"/>
      <w:r w:rsidRPr="00287848">
        <w:rPr>
          <w:rFonts w:ascii="Arial" w:hAnsi="Arial" w:cs="Arial"/>
          <w:spacing w:val="-3"/>
          <w:sz w:val="24"/>
          <w:szCs w:val="24"/>
          <w:lang w:eastAsia="en-GB"/>
        </w:rPr>
        <w:t xml:space="preserve"> 6.1) it is noted that the general objective of the Regulation is  “to complete the Single Market for electronic communication services to ensure that: citizens and businesses have the right to access electronic communications services irrespective of from where they are provided in the Union, without being hampered by cross-border restrictions and unjustified additional costs; and providers of electronic communications services and networks have the right to operate their networks and provide services irrespective of where the company is established or its customers are situated in the Union.”</w:t>
      </w:r>
      <w:r>
        <w:rPr>
          <w:rFonts w:ascii="Arial" w:hAnsi="Arial" w:cs="Arial"/>
          <w:spacing w:val="-3"/>
          <w:sz w:val="24"/>
          <w:szCs w:val="24"/>
          <w:lang w:eastAsia="en-GB"/>
        </w:rPr>
        <w:t xml:space="preserve">  </w:t>
      </w:r>
      <w:r>
        <w:rPr>
          <w:rFonts w:ascii="Arial" w:hAnsi="Arial" w:cs="Arial"/>
          <w:sz w:val="24"/>
          <w:szCs w:val="24"/>
        </w:rPr>
        <w:t xml:space="preserve">It would seem correct </w:t>
      </w:r>
      <w:r w:rsidRPr="00287848">
        <w:rPr>
          <w:rFonts w:ascii="Arial" w:hAnsi="Arial" w:cs="Arial"/>
          <w:sz w:val="24"/>
          <w:szCs w:val="24"/>
        </w:rPr>
        <w:t xml:space="preserve">that this objective could </w:t>
      </w:r>
      <w:r>
        <w:rPr>
          <w:rFonts w:ascii="Arial" w:hAnsi="Arial" w:cs="Arial"/>
          <w:sz w:val="24"/>
          <w:szCs w:val="24"/>
        </w:rPr>
        <w:t xml:space="preserve">not </w:t>
      </w:r>
      <w:r w:rsidRPr="00287848">
        <w:rPr>
          <w:rFonts w:ascii="Arial" w:hAnsi="Arial" w:cs="Arial"/>
          <w:sz w:val="24"/>
          <w:szCs w:val="24"/>
        </w:rPr>
        <w:t>be sufficiently achieved other than action by the EU, rather than Member States</w:t>
      </w:r>
      <w:r>
        <w:rPr>
          <w:rFonts w:ascii="Arial" w:hAnsi="Arial" w:cs="Arial"/>
          <w:sz w:val="24"/>
          <w:szCs w:val="24"/>
        </w:rPr>
        <w:t>, and</w:t>
      </w:r>
      <w:r w:rsidRPr="00287848">
        <w:rPr>
          <w:rFonts w:ascii="Arial" w:hAnsi="Arial" w:cs="Arial"/>
          <w:sz w:val="24"/>
          <w:szCs w:val="24"/>
        </w:rPr>
        <w:t xml:space="preserve"> </w:t>
      </w:r>
      <w:r>
        <w:rPr>
          <w:rFonts w:ascii="Arial" w:hAnsi="Arial" w:cs="Arial"/>
          <w:sz w:val="24"/>
          <w:szCs w:val="24"/>
        </w:rPr>
        <w:t>t</w:t>
      </w:r>
      <w:r w:rsidRPr="00287848">
        <w:rPr>
          <w:rFonts w:ascii="Arial" w:hAnsi="Arial" w:cs="Arial"/>
          <w:sz w:val="24"/>
          <w:szCs w:val="24"/>
        </w:rPr>
        <w:t>herefore the proposal</w:t>
      </w:r>
      <w:r>
        <w:rPr>
          <w:rFonts w:ascii="Arial" w:hAnsi="Arial" w:cs="Arial"/>
          <w:sz w:val="24"/>
          <w:szCs w:val="24"/>
        </w:rPr>
        <w:t xml:space="preserve"> complies legally with the </w:t>
      </w:r>
      <w:r w:rsidRPr="00287848">
        <w:rPr>
          <w:rFonts w:ascii="Arial" w:hAnsi="Arial" w:cs="Arial"/>
          <w:sz w:val="24"/>
          <w:szCs w:val="24"/>
        </w:rPr>
        <w:t>subsidiarity</w:t>
      </w:r>
      <w:r>
        <w:rPr>
          <w:rFonts w:ascii="Arial" w:hAnsi="Arial" w:cs="Arial"/>
          <w:sz w:val="24"/>
          <w:szCs w:val="24"/>
        </w:rPr>
        <w:t xml:space="preserve"> requirement in Article 5(3) TEU</w:t>
      </w:r>
      <w:r w:rsidRPr="00287848">
        <w:rPr>
          <w:rFonts w:ascii="Arial" w:hAnsi="Arial" w:cs="Arial"/>
          <w:sz w:val="24"/>
          <w:szCs w:val="24"/>
        </w:rPr>
        <w:t>.</w:t>
      </w:r>
      <w:r>
        <w:rPr>
          <w:rFonts w:ascii="Arial" w:hAnsi="Arial" w:cs="Arial"/>
          <w:sz w:val="24"/>
          <w:szCs w:val="24"/>
        </w:rPr>
        <w:t xml:space="preserve"> We are nevertheless concerned that the harmonisation involved with certain elements of the proposals, specifically in relation to regulation of providers and spectrum, is excessive. This is discussed in the following sections.</w:t>
      </w:r>
    </w:p>
    <w:p w:rsidR="008A50AC" w:rsidRPr="00877B52" w:rsidRDefault="008A50AC" w:rsidP="00877B52">
      <w:pPr>
        <w:tabs>
          <w:tab w:val="left" w:pos="0"/>
        </w:tabs>
        <w:suppressAutoHyphens/>
        <w:spacing w:after="0" w:line="240" w:lineRule="auto"/>
        <w:rPr>
          <w:rFonts w:ascii="Arial" w:hAnsi="Arial" w:cs="Arial"/>
          <w:spacing w:val="-3"/>
          <w:sz w:val="24"/>
          <w:szCs w:val="24"/>
          <w:lang w:eastAsia="en-GB"/>
        </w:rPr>
      </w:pPr>
    </w:p>
    <w:p w:rsidR="008A50AC" w:rsidRDefault="008A50AC" w:rsidP="00877B52">
      <w:pPr>
        <w:tabs>
          <w:tab w:val="left" w:pos="0"/>
        </w:tabs>
        <w:suppressAutoHyphens/>
        <w:spacing w:after="0" w:line="240" w:lineRule="auto"/>
        <w:rPr>
          <w:rFonts w:ascii="Arial" w:hAnsi="Arial" w:cs="Arial"/>
          <w:b/>
          <w:bCs/>
          <w:spacing w:val="-3"/>
          <w:sz w:val="24"/>
          <w:szCs w:val="24"/>
          <w:lang w:eastAsia="en-GB"/>
        </w:rPr>
      </w:pPr>
      <w:r w:rsidRPr="00877B52">
        <w:rPr>
          <w:rFonts w:ascii="Arial" w:hAnsi="Arial" w:cs="Arial"/>
          <w:b/>
          <w:bCs/>
          <w:spacing w:val="-3"/>
          <w:sz w:val="24"/>
          <w:szCs w:val="24"/>
          <w:lang w:eastAsia="en-GB"/>
        </w:rPr>
        <w:t>POLICY IMPLICATIONS</w:t>
      </w:r>
    </w:p>
    <w:p w:rsidR="009915FF" w:rsidRDefault="009915FF" w:rsidP="009915FF">
      <w:pPr>
        <w:tabs>
          <w:tab w:val="left" w:pos="0"/>
        </w:tabs>
        <w:suppressAutoHyphens/>
        <w:spacing w:after="0" w:line="240" w:lineRule="auto"/>
        <w:rPr>
          <w:rFonts w:ascii="Arial" w:hAnsi="Arial" w:cs="Arial"/>
          <w:spacing w:val="-3"/>
          <w:sz w:val="24"/>
          <w:szCs w:val="24"/>
          <w:lang w:eastAsia="en-GB"/>
        </w:rPr>
      </w:pPr>
    </w:p>
    <w:p w:rsidR="009915FF" w:rsidRPr="009915FF" w:rsidRDefault="009915FF" w:rsidP="00CC2DBB">
      <w:pPr>
        <w:pStyle w:val="ListParagraph"/>
        <w:numPr>
          <w:ilvl w:val="1"/>
          <w:numId w:val="9"/>
        </w:numPr>
        <w:spacing w:line="240" w:lineRule="auto"/>
        <w:ind w:left="357" w:hanging="357"/>
        <w:rPr>
          <w:rFonts w:ascii="Arial" w:hAnsi="Arial" w:cs="Arial"/>
          <w:spacing w:val="-3"/>
          <w:sz w:val="24"/>
          <w:szCs w:val="24"/>
          <w:lang w:eastAsia="en-GB"/>
        </w:rPr>
      </w:pPr>
      <w:r w:rsidRPr="009915FF">
        <w:rPr>
          <w:rFonts w:ascii="Arial" w:hAnsi="Arial" w:cs="Arial"/>
          <w:spacing w:val="-3"/>
          <w:sz w:val="24"/>
          <w:szCs w:val="24"/>
          <w:lang w:eastAsia="en-GB"/>
        </w:rPr>
        <w:t>The package</w:t>
      </w:r>
      <w:r w:rsidR="00BF0A6D">
        <w:rPr>
          <w:rFonts w:ascii="Arial" w:hAnsi="Arial" w:cs="Arial"/>
          <w:spacing w:val="-3"/>
          <w:sz w:val="24"/>
          <w:szCs w:val="24"/>
          <w:lang w:eastAsia="en-GB"/>
        </w:rPr>
        <w:t>’s aims do</w:t>
      </w:r>
      <w:r w:rsidRPr="009915FF">
        <w:rPr>
          <w:rFonts w:ascii="Arial" w:hAnsi="Arial" w:cs="Arial"/>
          <w:spacing w:val="-3"/>
          <w:sz w:val="24"/>
          <w:szCs w:val="24"/>
          <w:lang w:eastAsia="en-GB"/>
        </w:rPr>
        <w:t xml:space="preserve"> generally align with UK’s in terms of the completing the telecoms single market and how this would contribute towards the creation of the digital single market.  However, whilst there is an alignment in terms of aims and there are some opportunities in terms of the spreading of good practise from the UK across the EU, the issue of </w:t>
      </w:r>
      <w:r w:rsidR="00827BC1">
        <w:rPr>
          <w:rFonts w:ascii="Arial" w:hAnsi="Arial" w:cs="Arial"/>
          <w:spacing w:val="-3"/>
          <w:sz w:val="24"/>
          <w:szCs w:val="24"/>
          <w:lang w:eastAsia="en-GB"/>
        </w:rPr>
        <w:t xml:space="preserve">any net </w:t>
      </w:r>
      <w:r w:rsidRPr="009915FF">
        <w:rPr>
          <w:rFonts w:ascii="Arial" w:hAnsi="Arial" w:cs="Arial"/>
          <w:spacing w:val="-3"/>
          <w:sz w:val="24"/>
          <w:szCs w:val="24"/>
          <w:lang w:eastAsia="en-GB"/>
        </w:rPr>
        <w:t>economic benefits to</w:t>
      </w:r>
      <w:r w:rsidR="00827BC1">
        <w:rPr>
          <w:rFonts w:ascii="Arial" w:hAnsi="Arial" w:cs="Arial"/>
          <w:spacing w:val="-3"/>
          <w:sz w:val="24"/>
          <w:szCs w:val="24"/>
          <w:lang w:eastAsia="en-GB"/>
        </w:rPr>
        <w:t xml:space="preserve"> the EU market</w:t>
      </w:r>
      <w:r w:rsidR="00967EC5">
        <w:rPr>
          <w:rFonts w:ascii="Arial" w:hAnsi="Arial" w:cs="Arial"/>
          <w:spacing w:val="-3"/>
          <w:sz w:val="24"/>
          <w:szCs w:val="24"/>
          <w:lang w:eastAsia="en-GB"/>
        </w:rPr>
        <w:t xml:space="preserve"> from both the package in its entirety and each individual element </w:t>
      </w:r>
      <w:r w:rsidR="00827BC1">
        <w:rPr>
          <w:rFonts w:ascii="Arial" w:hAnsi="Arial" w:cs="Arial"/>
          <w:spacing w:val="-3"/>
          <w:sz w:val="24"/>
          <w:szCs w:val="24"/>
          <w:lang w:eastAsia="en-GB"/>
        </w:rPr>
        <w:t>remains unproven.</w:t>
      </w:r>
      <w:r w:rsidR="00967EC5">
        <w:rPr>
          <w:rFonts w:ascii="Arial" w:hAnsi="Arial" w:cs="Arial"/>
          <w:spacing w:val="-3"/>
          <w:sz w:val="24"/>
          <w:szCs w:val="24"/>
          <w:lang w:eastAsia="en-GB"/>
        </w:rPr>
        <w:t xml:space="preserve"> This situation requires further analysis and this nuance HMG’s position as negotiations progress and elements of the package evolve.</w:t>
      </w:r>
    </w:p>
    <w:p w:rsidR="009915FF" w:rsidRPr="009915FF" w:rsidRDefault="009915FF" w:rsidP="009915FF">
      <w:pPr>
        <w:numPr>
          <w:ilvl w:val="1"/>
          <w:numId w:val="9"/>
        </w:numPr>
        <w:tabs>
          <w:tab w:val="left" w:pos="0"/>
        </w:tabs>
        <w:suppressAutoHyphens/>
        <w:spacing w:after="0" w:line="240" w:lineRule="auto"/>
        <w:rPr>
          <w:rFonts w:ascii="Arial" w:hAnsi="Arial" w:cs="Arial"/>
          <w:spacing w:val="-3"/>
          <w:sz w:val="24"/>
          <w:szCs w:val="24"/>
          <w:lang w:eastAsia="en-GB"/>
        </w:rPr>
      </w:pPr>
      <w:r w:rsidRPr="000F2274">
        <w:rPr>
          <w:rFonts w:ascii="Arial" w:hAnsi="Arial" w:cs="Arial"/>
          <w:spacing w:val="-3"/>
          <w:sz w:val="24"/>
          <w:szCs w:val="24"/>
          <w:lang w:eastAsia="en-GB"/>
        </w:rPr>
        <w:t>The</w:t>
      </w:r>
      <w:r>
        <w:rPr>
          <w:rFonts w:ascii="Arial" w:hAnsi="Arial" w:cs="Arial"/>
          <w:spacing w:val="-3"/>
          <w:sz w:val="24"/>
          <w:szCs w:val="24"/>
          <w:lang w:eastAsia="en-GB"/>
        </w:rPr>
        <w:t xml:space="preserve"> following paragraphs cover the policy implications for each strand of the Regulation, with each</w:t>
      </w:r>
      <w:r w:rsidR="00967EC5">
        <w:rPr>
          <w:rFonts w:ascii="Arial" w:hAnsi="Arial" w:cs="Arial"/>
          <w:spacing w:val="-3"/>
          <w:sz w:val="24"/>
          <w:szCs w:val="24"/>
          <w:lang w:eastAsia="en-GB"/>
        </w:rPr>
        <w:t xml:space="preserve"> heading cross referencing</w:t>
      </w:r>
      <w:r w:rsidRPr="000F2274">
        <w:rPr>
          <w:rFonts w:ascii="Arial" w:hAnsi="Arial" w:cs="Arial"/>
          <w:spacing w:val="-3"/>
          <w:sz w:val="24"/>
          <w:szCs w:val="24"/>
          <w:lang w:eastAsia="en-GB"/>
        </w:rPr>
        <w:t xml:space="preserve"> where in the Regulation each proposal sits.</w:t>
      </w:r>
    </w:p>
    <w:p w:rsidR="008A50AC" w:rsidRDefault="008A50AC" w:rsidP="008C3D3D">
      <w:pPr>
        <w:tabs>
          <w:tab w:val="left" w:pos="0"/>
        </w:tabs>
        <w:suppressAutoHyphens/>
        <w:spacing w:after="0" w:line="240" w:lineRule="auto"/>
        <w:rPr>
          <w:rFonts w:ascii="Arial" w:hAnsi="Arial" w:cs="Arial"/>
          <w:spacing w:val="-3"/>
          <w:sz w:val="24"/>
          <w:szCs w:val="24"/>
          <w:lang w:eastAsia="en-GB"/>
        </w:rPr>
      </w:pPr>
    </w:p>
    <w:p w:rsidR="008A50AC" w:rsidRDefault="008A50AC" w:rsidP="008C3D3D">
      <w:pPr>
        <w:tabs>
          <w:tab w:val="left" w:pos="0"/>
        </w:tabs>
        <w:suppressAutoHyphens/>
        <w:spacing w:after="0" w:line="240" w:lineRule="auto"/>
        <w:rPr>
          <w:rFonts w:ascii="Arial" w:hAnsi="Arial" w:cs="Arial"/>
          <w:b/>
          <w:bCs/>
          <w:spacing w:val="-3"/>
          <w:sz w:val="24"/>
          <w:szCs w:val="24"/>
          <w:lang w:eastAsia="en-GB"/>
        </w:rPr>
      </w:pPr>
      <w:r w:rsidRPr="00106683">
        <w:rPr>
          <w:rFonts w:ascii="Arial" w:hAnsi="Arial" w:cs="Arial"/>
          <w:b/>
          <w:bCs/>
          <w:spacing w:val="-3"/>
          <w:sz w:val="24"/>
          <w:szCs w:val="24"/>
          <w:lang w:eastAsia="en-GB"/>
        </w:rPr>
        <w:t>Single EU Authorisation &amp; Regulation of Providers (Chapter II – Articles 3 to 7)</w:t>
      </w:r>
    </w:p>
    <w:p w:rsidR="005904C5" w:rsidRPr="005904C5" w:rsidRDefault="005904C5" w:rsidP="005904C5">
      <w:pPr>
        <w:tabs>
          <w:tab w:val="left" w:pos="0"/>
        </w:tabs>
        <w:suppressAutoHyphens/>
        <w:spacing w:after="0" w:line="240" w:lineRule="auto"/>
        <w:rPr>
          <w:rFonts w:ascii="Arial" w:hAnsi="Arial" w:cs="Arial"/>
          <w:spacing w:val="-3"/>
          <w:sz w:val="24"/>
          <w:szCs w:val="24"/>
          <w:lang w:eastAsia="en-GB"/>
        </w:rPr>
      </w:pPr>
    </w:p>
    <w:p w:rsidR="000F2274" w:rsidRDefault="000F2274" w:rsidP="000F2274">
      <w:pPr>
        <w:numPr>
          <w:ilvl w:val="1"/>
          <w:numId w:val="9"/>
        </w:numPr>
        <w:tabs>
          <w:tab w:val="left" w:pos="0"/>
        </w:tabs>
        <w:suppressAutoHyphens/>
        <w:spacing w:after="0" w:line="240" w:lineRule="auto"/>
        <w:rPr>
          <w:rFonts w:ascii="Arial" w:hAnsi="Arial" w:cs="Arial"/>
          <w:spacing w:val="-3"/>
          <w:sz w:val="24"/>
          <w:szCs w:val="24"/>
          <w:lang w:eastAsia="en-GB"/>
        </w:rPr>
      </w:pPr>
      <w:r>
        <w:rPr>
          <w:rFonts w:ascii="Arial" w:hAnsi="Arial" w:cs="Arial"/>
          <w:spacing w:val="-3"/>
          <w:sz w:val="24"/>
          <w:szCs w:val="24"/>
          <w:lang w:eastAsia="en-GB"/>
        </w:rPr>
        <w:t>Despite the</w:t>
      </w:r>
      <w:r w:rsidR="008B7A21" w:rsidRPr="008B7A21">
        <w:rPr>
          <w:rFonts w:ascii="Arial" w:hAnsi="Arial" w:cs="Arial"/>
          <w:spacing w:val="-3"/>
          <w:sz w:val="24"/>
          <w:szCs w:val="24"/>
          <w:lang w:eastAsia="en-GB"/>
        </w:rPr>
        <w:t xml:space="preserve"> existing Authorisation Directive (adopted in N</w:t>
      </w:r>
      <w:r>
        <w:rPr>
          <w:rFonts w:ascii="Arial" w:hAnsi="Arial" w:cs="Arial"/>
          <w:spacing w:val="-3"/>
          <w:sz w:val="24"/>
          <w:szCs w:val="24"/>
          <w:lang w:eastAsia="en-GB"/>
        </w:rPr>
        <w:t xml:space="preserve">ovember 2009) not </w:t>
      </w:r>
      <w:r w:rsidR="008B7A21" w:rsidRPr="008B7A21">
        <w:rPr>
          <w:rFonts w:ascii="Arial" w:hAnsi="Arial" w:cs="Arial"/>
          <w:spacing w:val="-3"/>
          <w:sz w:val="24"/>
          <w:szCs w:val="24"/>
          <w:lang w:eastAsia="en-GB"/>
        </w:rPr>
        <w:t>allow</w:t>
      </w:r>
      <w:r>
        <w:rPr>
          <w:rFonts w:ascii="Arial" w:hAnsi="Arial" w:cs="Arial"/>
          <w:spacing w:val="-3"/>
          <w:sz w:val="24"/>
          <w:szCs w:val="24"/>
          <w:lang w:eastAsia="en-GB"/>
        </w:rPr>
        <w:t>ing</w:t>
      </w:r>
      <w:r w:rsidR="008B7A21" w:rsidRPr="008B7A21">
        <w:rPr>
          <w:rFonts w:ascii="Arial" w:hAnsi="Arial" w:cs="Arial"/>
          <w:spacing w:val="-3"/>
          <w:sz w:val="24"/>
          <w:szCs w:val="24"/>
          <w:lang w:eastAsia="en-GB"/>
        </w:rPr>
        <w:t xml:space="preserve"> NRAs to require authorisations as a conditio</w:t>
      </w:r>
      <w:r w:rsidR="005904C5">
        <w:rPr>
          <w:rFonts w:ascii="Arial" w:hAnsi="Arial" w:cs="Arial"/>
          <w:spacing w:val="-3"/>
          <w:sz w:val="24"/>
          <w:szCs w:val="24"/>
          <w:lang w:eastAsia="en-GB"/>
        </w:rPr>
        <w:t>n of</w:t>
      </w:r>
      <w:r>
        <w:rPr>
          <w:rFonts w:ascii="Arial" w:hAnsi="Arial" w:cs="Arial"/>
          <w:spacing w:val="-3"/>
          <w:sz w:val="24"/>
          <w:szCs w:val="24"/>
          <w:lang w:eastAsia="en-GB"/>
        </w:rPr>
        <w:t xml:space="preserve"> operation</w:t>
      </w:r>
      <w:r w:rsidR="005904C5">
        <w:rPr>
          <w:rFonts w:ascii="Arial" w:hAnsi="Arial" w:cs="Arial"/>
          <w:spacing w:val="-3"/>
          <w:sz w:val="24"/>
          <w:szCs w:val="24"/>
          <w:lang w:eastAsia="en-GB"/>
        </w:rPr>
        <w:t xml:space="preserve">, </w:t>
      </w:r>
      <w:r w:rsidR="008B7A21" w:rsidRPr="008B7A21">
        <w:rPr>
          <w:rFonts w:ascii="Arial" w:hAnsi="Arial" w:cs="Arial"/>
          <w:spacing w:val="-3"/>
          <w:sz w:val="24"/>
          <w:szCs w:val="24"/>
          <w:lang w:eastAsia="en-GB"/>
        </w:rPr>
        <w:t>all Member States require such notification</w:t>
      </w:r>
      <w:r>
        <w:rPr>
          <w:rFonts w:ascii="Arial" w:hAnsi="Arial" w:cs="Arial"/>
          <w:spacing w:val="-3"/>
          <w:sz w:val="24"/>
          <w:szCs w:val="24"/>
          <w:lang w:eastAsia="en-GB"/>
        </w:rPr>
        <w:t xml:space="preserve"> (with two exceptions: Denmark and the UK)</w:t>
      </w:r>
      <w:r w:rsidR="008B7A21" w:rsidRPr="008B7A21">
        <w:rPr>
          <w:rFonts w:ascii="Arial" w:hAnsi="Arial" w:cs="Arial"/>
          <w:spacing w:val="-3"/>
          <w:sz w:val="24"/>
          <w:szCs w:val="24"/>
          <w:lang w:eastAsia="en-GB"/>
        </w:rPr>
        <w:t>.</w:t>
      </w:r>
      <w:r>
        <w:rPr>
          <w:rFonts w:ascii="Arial" w:hAnsi="Arial" w:cs="Arial"/>
          <w:spacing w:val="-3"/>
          <w:sz w:val="24"/>
          <w:szCs w:val="24"/>
          <w:lang w:eastAsia="en-GB"/>
        </w:rPr>
        <w:t xml:space="preserve">  </w:t>
      </w:r>
      <w:r w:rsidR="008B7A21" w:rsidRPr="000F2274">
        <w:rPr>
          <w:rFonts w:ascii="Arial" w:hAnsi="Arial" w:cs="Arial"/>
          <w:spacing w:val="-3"/>
          <w:sz w:val="24"/>
          <w:szCs w:val="24"/>
          <w:lang w:eastAsia="en-GB"/>
        </w:rPr>
        <w:t>The main value of the</w:t>
      </w:r>
      <w:r w:rsidR="00BB3AAE" w:rsidRPr="000F2274">
        <w:rPr>
          <w:rFonts w:ascii="Arial" w:hAnsi="Arial" w:cs="Arial"/>
          <w:spacing w:val="-3"/>
          <w:sz w:val="24"/>
          <w:szCs w:val="24"/>
          <w:lang w:eastAsia="en-GB"/>
        </w:rPr>
        <w:t xml:space="preserve"> single authorisation is stated as</w:t>
      </w:r>
      <w:r w:rsidR="008B7A21" w:rsidRPr="000F2274">
        <w:rPr>
          <w:rFonts w:ascii="Arial" w:hAnsi="Arial" w:cs="Arial"/>
          <w:spacing w:val="-3"/>
          <w:sz w:val="24"/>
          <w:szCs w:val="24"/>
          <w:lang w:eastAsia="en-GB"/>
        </w:rPr>
        <w:t xml:space="preserve"> encouraging investment in the provision of pan-European services and reducing the unnecessary additional costs that providers of such services may currently bear, compared to local operators.  </w:t>
      </w:r>
    </w:p>
    <w:p w:rsidR="000F2274" w:rsidRDefault="000F2274" w:rsidP="000F2274">
      <w:pPr>
        <w:tabs>
          <w:tab w:val="left" w:pos="0"/>
        </w:tabs>
        <w:suppressAutoHyphens/>
        <w:spacing w:after="0" w:line="240" w:lineRule="auto"/>
        <w:rPr>
          <w:rFonts w:ascii="Arial" w:hAnsi="Arial" w:cs="Arial"/>
          <w:spacing w:val="-3"/>
          <w:sz w:val="24"/>
          <w:szCs w:val="24"/>
          <w:lang w:eastAsia="en-GB"/>
        </w:rPr>
      </w:pPr>
    </w:p>
    <w:p w:rsidR="008B7A21" w:rsidRPr="000F2274" w:rsidRDefault="000F2274" w:rsidP="000F2274">
      <w:pPr>
        <w:numPr>
          <w:ilvl w:val="1"/>
          <w:numId w:val="9"/>
        </w:numPr>
        <w:tabs>
          <w:tab w:val="left" w:pos="0"/>
        </w:tabs>
        <w:suppressAutoHyphens/>
        <w:spacing w:after="0" w:line="240" w:lineRule="auto"/>
        <w:rPr>
          <w:rFonts w:ascii="Arial" w:hAnsi="Arial" w:cs="Arial"/>
          <w:spacing w:val="-3"/>
          <w:sz w:val="24"/>
          <w:szCs w:val="24"/>
          <w:lang w:eastAsia="en-GB"/>
        </w:rPr>
      </w:pPr>
      <w:r>
        <w:rPr>
          <w:rFonts w:ascii="Arial" w:hAnsi="Arial" w:cs="Arial"/>
          <w:spacing w:val="-3"/>
          <w:sz w:val="24"/>
          <w:szCs w:val="24"/>
          <w:lang w:eastAsia="en-GB"/>
        </w:rPr>
        <w:t>Nevertheless, HMG does not</w:t>
      </w:r>
      <w:r w:rsidR="008B7A21" w:rsidRPr="000F2274">
        <w:rPr>
          <w:rFonts w:ascii="Arial" w:hAnsi="Arial" w:cs="Arial"/>
          <w:spacing w:val="-3"/>
          <w:sz w:val="24"/>
          <w:szCs w:val="24"/>
          <w:lang w:eastAsia="en-GB"/>
        </w:rPr>
        <w:t xml:space="preserve"> believe that the resource currently associated with national notification and compliance has hitherto been a material obstacle to pan-European operations.  The single authorisation cannot substitute for addressing ineffective or inconsistent regulation.  Industry, while expressing a positive view in terms of costs reduction, does not see this as a complete answer to pan-European working.</w:t>
      </w:r>
      <w:r>
        <w:rPr>
          <w:rFonts w:ascii="Arial" w:hAnsi="Arial" w:cs="Arial"/>
          <w:spacing w:val="-3"/>
          <w:sz w:val="24"/>
          <w:szCs w:val="24"/>
          <w:lang w:eastAsia="en-GB"/>
        </w:rPr>
        <w:t xml:space="preserve"> Ironically, the administrative burden for operators in the UK and Denmark would increase radically.</w:t>
      </w:r>
    </w:p>
    <w:p w:rsidR="00BB3AAE" w:rsidRDefault="00BB3AAE" w:rsidP="00BB3AAE">
      <w:pPr>
        <w:tabs>
          <w:tab w:val="left" w:pos="0"/>
        </w:tabs>
        <w:suppressAutoHyphens/>
        <w:spacing w:after="0" w:line="240" w:lineRule="auto"/>
        <w:rPr>
          <w:rFonts w:ascii="Arial" w:hAnsi="Arial" w:cs="Arial"/>
          <w:spacing w:val="-3"/>
          <w:sz w:val="24"/>
          <w:szCs w:val="24"/>
          <w:lang w:eastAsia="en-GB"/>
        </w:rPr>
      </w:pPr>
    </w:p>
    <w:p w:rsidR="00BB3AAE" w:rsidRPr="00BB3AAE" w:rsidRDefault="00BB3AAE" w:rsidP="00BB3AAE">
      <w:pPr>
        <w:numPr>
          <w:ilvl w:val="1"/>
          <w:numId w:val="9"/>
        </w:numPr>
        <w:tabs>
          <w:tab w:val="left" w:pos="0"/>
        </w:tabs>
        <w:suppressAutoHyphens/>
        <w:spacing w:after="0" w:line="240" w:lineRule="auto"/>
        <w:rPr>
          <w:rFonts w:ascii="Arial" w:hAnsi="Arial" w:cs="Arial"/>
          <w:spacing w:val="-3"/>
          <w:sz w:val="24"/>
          <w:szCs w:val="24"/>
          <w:lang w:eastAsia="en-GB"/>
        </w:rPr>
      </w:pPr>
      <w:r>
        <w:rPr>
          <w:rFonts w:ascii="Arial" w:hAnsi="Arial" w:cs="Arial"/>
          <w:spacing w:val="-3"/>
          <w:sz w:val="24"/>
          <w:szCs w:val="24"/>
          <w:lang w:eastAsia="en-GB"/>
        </w:rPr>
        <w:t>Additionally, the</w:t>
      </w:r>
      <w:r w:rsidRPr="001A2329">
        <w:rPr>
          <w:rFonts w:ascii="Arial" w:hAnsi="Arial" w:cs="Arial"/>
          <w:spacing w:val="-3"/>
          <w:sz w:val="24"/>
          <w:szCs w:val="24"/>
          <w:lang w:eastAsia="en-GB"/>
        </w:rPr>
        <w:t xml:space="preserve"> introduction of a pan-European enforcement regime would require a fundamental change to Ofcom’s legal duties and powers, currently focused on the interests of UK consumers, raising issues of jurisdiction and competence.  </w:t>
      </w:r>
    </w:p>
    <w:p w:rsidR="00BB3AAE" w:rsidRPr="008B7A21" w:rsidRDefault="00BB3AAE" w:rsidP="00BB3AAE">
      <w:pPr>
        <w:tabs>
          <w:tab w:val="left" w:pos="0"/>
        </w:tabs>
        <w:suppressAutoHyphens/>
        <w:spacing w:after="0" w:line="240" w:lineRule="auto"/>
        <w:rPr>
          <w:rFonts w:ascii="Arial" w:hAnsi="Arial" w:cs="Arial"/>
          <w:spacing w:val="-3"/>
          <w:sz w:val="24"/>
          <w:szCs w:val="24"/>
          <w:lang w:eastAsia="en-GB"/>
        </w:rPr>
      </w:pPr>
    </w:p>
    <w:p w:rsidR="008A50AC" w:rsidRDefault="000F2274" w:rsidP="00796A4F">
      <w:pPr>
        <w:numPr>
          <w:ilvl w:val="1"/>
          <w:numId w:val="9"/>
        </w:numPr>
        <w:tabs>
          <w:tab w:val="left" w:pos="0"/>
        </w:tabs>
        <w:suppressAutoHyphens/>
        <w:spacing w:after="0" w:line="240" w:lineRule="auto"/>
        <w:rPr>
          <w:rFonts w:ascii="Arial" w:hAnsi="Arial" w:cs="Arial"/>
          <w:spacing w:val="-3"/>
          <w:sz w:val="24"/>
          <w:szCs w:val="24"/>
          <w:lang w:eastAsia="en-GB"/>
        </w:rPr>
      </w:pPr>
      <w:r w:rsidRPr="00967EC5">
        <w:rPr>
          <w:rFonts w:ascii="Arial" w:hAnsi="Arial" w:cs="Arial"/>
          <w:spacing w:val="-3"/>
          <w:sz w:val="24"/>
          <w:szCs w:val="24"/>
          <w:lang w:eastAsia="en-GB"/>
        </w:rPr>
        <w:t xml:space="preserve">Whilst </w:t>
      </w:r>
      <w:r w:rsidR="005904C5" w:rsidRPr="00967EC5">
        <w:rPr>
          <w:rFonts w:ascii="Arial" w:hAnsi="Arial" w:cs="Arial"/>
          <w:spacing w:val="-3"/>
          <w:sz w:val="24"/>
          <w:szCs w:val="24"/>
          <w:lang w:eastAsia="en-GB"/>
        </w:rPr>
        <w:t>HMG</w:t>
      </w:r>
      <w:r w:rsidR="008B7A21" w:rsidRPr="00967EC5">
        <w:rPr>
          <w:rFonts w:ascii="Arial" w:hAnsi="Arial" w:cs="Arial"/>
          <w:spacing w:val="-3"/>
          <w:sz w:val="24"/>
          <w:szCs w:val="24"/>
          <w:lang w:eastAsia="en-GB"/>
        </w:rPr>
        <w:t xml:space="preserve"> supports the goal of eliminating unreasonable obstacles to pan</w:t>
      </w:r>
      <w:r w:rsidRPr="00967EC5">
        <w:rPr>
          <w:rFonts w:ascii="Arial" w:hAnsi="Arial" w:cs="Arial"/>
          <w:spacing w:val="-3"/>
          <w:sz w:val="24"/>
          <w:szCs w:val="24"/>
          <w:lang w:eastAsia="en-GB"/>
        </w:rPr>
        <w:t>-European service provision,</w:t>
      </w:r>
      <w:r w:rsidR="008B7A21" w:rsidRPr="00967EC5">
        <w:rPr>
          <w:rFonts w:ascii="Arial" w:hAnsi="Arial" w:cs="Arial"/>
          <w:spacing w:val="-3"/>
          <w:sz w:val="24"/>
          <w:szCs w:val="24"/>
          <w:lang w:eastAsia="en-GB"/>
        </w:rPr>
        <w:t xml:space="preserve"> there are risks that such a change could introduce delays in the monitoring, assessment, and enforcement of compliance with regulatory obligations, to the detriment to consumers and comp</w:t>
      </w:r>
      <w:r w:rsidR="00967EC5">
        <w:rPr>
          <w:rFonts w:ascii="Arial" w:hAnsi="Arial" w:cs="Arial"/>
          <w:spacing w:val="-3"/>
          <w:sz w:val="24"/>
          <w:szCs w:val="24"/>
          <w:lang w:eastAsia="en-GB"/>
        </w:rPr>
        <w:t>eting operators.  There is a clear risk that</w:t>
      </w:r>
      <w:r w:rsidR="008B7A21" w:rsidRPr="00967EC5">
        <w:rPr>
          <w:rFonts w:ascii="Arial" w:hAnsi="Arial" w:cs="Arial"/>
          <w:spacing w:val="-3"/>
          <w:sz w:val="24"/>
          <w:szCs w:val="24"/>
          <w:lang w:eastAsia="en-GB"/>
        </w:rPr>
        <w:t xml:space="preserve"> any savings from changes to the notification process will be minimal and might be out-weighed by </w:t>
      </w:r>
      <w:r w:rsidR="00967EC5">
        <w:rPr>
          <w:rFonts w:ascii="Arial" w:hAnsi="Arial" w:cs="Arial"/>
          <w:spacing w:val="-3"/>
          <w:sz w:val="24"/>
          <w:szCs w:val="24"/>
          <w:lang w:eastAsia="en-GB"/>
        </w:rPr>
        <w:t xml:space="preserve">the potential negative outcomes and so </w:t>
      </w:r>
      <w:r w:rsidR="00745EDF">
        <w:rPr>
          <w:rFonts w:ascii="Arial" w:hAnsi="Arial" w:cs="Arial"/>
          <w:spacing w:val="-3"/>
          <w:sz w:val="24"/>
          <w:szCs w:val="24"/>
          <w:lang w:eastAsia="en-GB"/>
        </w:rPr>
        <w:t xml:space="preserve">full </w:t>
      </w:r>
      <w:r w:rsidR="00967EC5">
        <w:rPr>
          <w:rFonts w:ascii="Arial" w:hAnsi="Arial" w:cs="Arial"/>
          <w:spacing w:val="-3"/>
          <w:sz w:val="24"/>
          <w:szCs w:val="24"/>
          <w:lang w:eastAsia="en-GB"/>
        </w:rPr>
        <w:t>support cannot be given until these concerns are addressed.</w:t>
      </w:r>
    </w:p>
    <w:p w:rsidR="00967EC5" w:rsidRPr="00967EC5" w:rsidRDefault="00967EC5" w:rsidP="00967EC5">
      <w:pPr>
        <w:tabs>
          <w:tab w:val="left" w:pos="0"/>
        </w:tabs>
        <w:suppressAutoHyphens/>
        <w:spacing w:after="0" w:line="240" w:lineRule="auto"/>
        <w:rPr>
          <w:rFonts w:ascii="Arial" w:hAnsi="Arial" w:cs="Arial"/>
          <w:spacing w:val="-3"/>
          <w:sz w:val="24"/>
          <w:szCs w:val="24"/>
          <w:lang w:eastAsia="en-GB"/>
        </w:rPr>
      </w:pPr>
    </w:p>
    <w:p w:rsidR="008A50AC" w:rsidRDefault="008A50AC" w:rsidP="00796A4F">
      <w:pPr>
        <w:tabs>
          <w:tab w:val="left" w:pos="0"/>
        </w:tabs>
        <w:suppressAutoHyphens/>
        <w:spacing w:after="0" w:line="240" w:lineRule="auto"/>
        <w:rPr>
          <w:rFonts w:ascii="Arial" w:hAnsi="Arial" w:cs="Arial"/>
          <w:b/>
          <w:bCs/>
          <w:spacing w:val="-3"/>
          <w:sz w:val="24"/>
          <w:szCs w:val="24"/>
          <w:lang w:eastAsia="en-GB"/>
        </w:rPr>
      </w:pPr>
      <w:r w:rsidRPr="00106683">
        <w:rPr>
          <w:rFonts w:ascii="Arial" w:hAnsi="Arial" w:cs="Arial"/>
          <w:b/>
          <w:bCs/>
          <w:spacing w:val="-3"/>
          <w:sz w:val="24"/>
          <w:szCs w:val="24"/>
          <w:lang w:eastAsia="en-GB"/>
        </w:rPr>
        <w:t>Coordination of Use of Radio Spectrum (Chapter III – Articles 8 to 16)</w:t>
      </w:r>
    </w:p>
    <w:p w:rsidR="00CE738C" w:rsidRPr="00CE738C" w:rsidRDefault="00CE738C" w:rsidP="00CE738C">
      <w:pPr>
        <w:tabs>
          <w:tab w:val="left" w:pos="0"/>
        </w:tabs>
        <w:suppressAutoHyphens/>
        <w:spacing w:after="0" w:line="240" w:lineRule="auto"/>
        <w:rPr>
          <w:rFonts w:ascii="Arial" w:hAnsi="Arial" w:cs="Arial"/>
          <w:spacing w:val="-3"/>
          <w:sz w:val="24"/>
          <w:szCs w:val="24"/>
          <w:lang w:eastAsia="en-GB"/>
        </w:rPr>
      </w:pPr>
    </w:p>
    <w:p w:rsidR="00CE738C" w:rsidRPr="00CE738C" w:rsidRDefault="00CE738C" w:rsidP="00CE738C">
      <w:pPr>
        <w:numPr>
          <w:ilvl w:val="1"/>
          <w:numId w:val="9"/>
        </w:numPr>
        <w:tabs>
          <w:tab w:val="left" w:pos="0"/>
        </w:tabs>
        <w:suppressAutoHyphens/>
        <w:spacing w:after="0" w:line="240" w:lineRule="auto"/>
        <w:rPr>
          <w:rFonts w:ascii="Arial" w:hAnsi="Arial" w:cs="Arial"/>
          <w:spacing w:val="-3"/>
          <w:sz w:val="24"/>
          <w:szCs w:val="24"/>
          <w:lang w:eastAsia="en-GB"/>
        </w:rPr>
      </w:pPr>
      <w:r w:rsidRPr="00CE738C">
        <w:rPr>
          <w:rFonts w:ascii="Arial" w:hAnsi="Arial" w:cs="Arial"/>
          <w:spacing w:val="-3"/>
          <w:sz w:val="24"/>
          <w:szCs w:val="24"/>
          <w:lang w:eastAsia="en-GB"/>
        </w:rPr>
        <w:t xml:space="preserve">The proposals on </w:t>
      </w:r>
      <w:r w:rsidR="00A66012">
        <w:rPr>
          <w:rFonts w:ascii="Arial" w:hAnsi="Arial" w:cs="Arial"/>
          <w:spacing w:val="-3"/>
          <w:sz w:val="24"/>
          <w:szCs w:val="24"/>
          <w:lang w:eastAsia="en-GB"/>
        </w:rPr>
        <w:t>spectrum do</w:t>
      </w:r>
      <w:r w:rsidR="00D3138D">
        <w:rPr>
          <w:rFonts w:ascii="Arial" w:hAnsi="Arial" w:cs="Arial"/>
          <w:spacing w:val="-3"/>
          <w:sz w:val="24"/>
          <w:szCs w:val="24"/>
          <w:lang w:eastAsia="en-GB"/>
        </w:rPr>
        <w:t xml:space="preserve"> pose some </w:t>
      </w:r>
      <w:r w:rsidR="00A66012">
        <w:rPr>
          <w:rFonts w:ascii="Arial" w:hAnsi="Arial" w:cs="Arial"/>
          <w:spacing w:val="-3"/>
          <w:sz w:val="24"/>
          <w:szCs w:val="24"/>
          <w:lang w:eastAsia="en-GB"/>
        </w:rPr>
        <w:t xml:space="preserve">serious </w:t>
      </w:r>
      <w:r w:rsidR="00D3138D">
        <w:rPr>
          <w:rFonts w:ascii="Arial" w:hAnsi="Arial" w:cs="Arial"/>
          <w:spacing w:val="-3"/>
          <w:sz w:val="24"/>
          <w:szCs w:val="24"/>
          <w:lang w:eastAsia="en-GB"/>
        </w:rPr>
        <w:t>concerns for HMG</w:t>
      </w:r>
      <w:r w:rsidRPr="00CE738C">
        <w:rPr>
          <w:rFonts w:ascii="Arial" w:hAnsi="Arial" w:cs="Arial"/>
          <w:spacing w:val="-3"/>
          <w:sz w:val="24"/>
          <w:szCs w:val="24"/>
          <w:lang w:eastAsia="en-GB"/>
        </w:rPr>
        <w:t>, in particular the idea of the Commission supervision of national plans for spectrum assignments, including the timing. This would represent a shift in competence from national regulators, which we would not want to see. The Commission would be able to mandate the (re-</w:t>
      </w:r>
      <w:r>
        <w:rPr>
          <w:rFonts w:ascii="Arial" w:hAnsi="Arial" w:cs="Arial"/>
          <w:spacing w:val="-3"/>
          <w:sz w:val="24"/>
          <w:szCs w:val="24"/>
          <w:lang w:eastAsia="en-GB"/>
        </w:rPr>
        <w:t xml:space="preserve">) </w:t>
      </w:r>
      <w:r w:rsidRPr="00CE738C">
        <w:rPr>
          <w:rFonts w:ascii="Arial" w:hAnsi="Arial" w:cs="Arial"/>
          <w:spacing w:val="-3"/>
          <w:sz w:val="24"/>
          <w:szCs w:val="24"/>
          <w:lang w:eastAsia="en-GB"/>
        </w:rPr>
        <w:t xml:space="preserve">assignment of spectrum for wireless broadband through EU harmonised procedures and timetables. Quite how this would work is not clear as spectrum is not solely “wireless broadband spectrum”. The Commission proposals give a power of veto over national draft decisions on spectrum assignment procedures and licence conditions if it considers they would damage the internal market. </w:t>
      </w:r>
    </w:p>
    <w:p w:rsidR="00CE738C" w:rsidRPr="00CE738C" w:rsidRDefault="00CE738C" w:rsidP="00CE738C">
      <w:pPr>
        <w:tabs>
          <w:tab w:val="left" w:pos="0"/>
        </w:tabs>
        <w:suppressAutoHyphens/>
        <w:spacing w:after="0" w:line="240" w:lineRule="auto"/>
        <w:rPr>
          <w:rFonts w:ascii="Arial" w:hAnsi="Arial" w:cs="Arial"/>
          <w:spacing w:val="-3"/>
          <w:sz w:val="24"/>
          <w:szCs w:val="24"/>
          <w:lang w:eastAsia="en-GB"/>
        </w:rPr>
      </w:pPr>
    </w:p>
    <w:p w:rsidR="00CE738C" w:rsidRDefault="00D3138D" w:rsidP="00CE738C">
      <w:pPr>
        <w:numPr>
          <w:ilvl w:val="1"/>
          <w:numId w:val="9"/>
        </w:numPr>
        <w:tabs>
          <w:tab w:val="left" w:pos="0"/>
        </w:tabs>
        <w:suppressAutoHyphens/>
        <w:spacing w:after="0" w:line="240" w:lineRule="auto"/>
        <w:rPr>
          <w:rFonts w:ascii="Arial" w:hAnsi="Arial" w:cs="Arial"/>
          <w:spacing w:val="-3"/>
          <w:sz w:val="24"/>
          <w:szCs w:val="24"/>
          <w:lang w:eastAsia="en-GB"/>
        </w:rPr>
      </w:pPr>
      <w:r>
        <w:rPr>
          <w:rFonts w:ascii="Arial" w:hAnsi="Arial" w:cs="Arial"/>
          <w:spacing w:val="-3"/>
          <w:sz w:val="24"/>
          <w:szCs w:val="24"/>
          <w:lang w:eastAsia="en-GB"/>
        </w:rPr>
        <w:t>HMG is</w:t>
      </w:r>
      <w:r w:rsidR="00CE738C" w:rsidRPr="00CE738C">
        <w:rPr>
          <w:rFonts w:ascii="Arial" w:hAnsi="Arial" w:cs="Arial"/>
          <w:spacing w:val="-3"/>
          <w:sz w:val="24"/>
          <w:szCs w:val="24"/>
          <w:lang w:eastAsia="en-GB"/>
        </w:rPr>
        <w:t xml:space="preserve"> therefore concerned about the proposals as drafted. The value of spectrum to Member States’ economy</w:t>
      </w:r>
      <w:r w:rsidR="0030173F">
        <w:rPr>
          <w:rFonts w:ascii="Arial" w:hAnsi="Arial" w:cs="Arial"/>
          <w:spacing w:val="-3"/>
          <w:sz w:val="24"/>
          <w:szCs w:val="24"/>
          <w:lang w:eastAsia="en-GB"/>
        </w:rPr>
        <w:t>, and ability to manage the process of allocation within a coordinated framework</w:t>
      </w:r>
      <w:r w:rsidR="00CE738C" w:rsidRPr="00CE738C">
        <w:rPr>
          <w:rFonts w:ascii="Arial" w:hAnsi="Arial" w:cs="Arial"/>
          <w:spacing w:val="-3"/>
          <w:sz w:val="24"/>
          <w:szCs w:val="24"/>
          <w:lang w:eastAsia="en-GB"/>
        </w:rPr>
        <w:t xml:space="preserve"> is well documented.  A recent study put the value to the UK economy at over £50bn</w:t>
      </w:r>
      <w:r w:rsidR="006E1D19">
        <w:rPr>
          <w:rFonts w:ascii="Arial" w:hAnsi="Arial" w:cs="Arial"/>
          <w:spacing w:val="-3"/>
          <w:sz w:val="24"/>
          <w:szCs w:val="24"/>
          <w:lang w:eastAsia="en-GB"/>
        </w:rPr>
        <w:t>.  We are concerned that</w:t>
      </w:r>
      <w:r w:rsidR="00CE738C" w:rsidRPr="00CE738C">
        <w:rPr>
          <w:rFonts w:ascii="Arial" w:hAnsi="Arial" w:cs="Arial"/>
          <w:spacing w:val="-3"/>
          <w:sz w:val="24"/>
          <w:szCs w:val="24"/>
          <w:lang w:eastAsia="en-GB"/>
        </w:rPr>
        <w:t xml:space="preserve"> the Commission would be</w:t>
      </w:r>
      <w:r w:rsidR="006E1D19">
        <w:rPr>
          <w:rFonts w:ascii="Arial" w:hAnsi="Arial" w:cs="Arial"/>
          <w:spacing w:val="-3"/>
          <w:sz w:val="24"/>
          <w:szCs w:val="24"/>
          <w:lang w:eastAsia="en-GB"/>
        </w:rPr>
        <w:t xml:space="preserve"> extending its competence into matters that are</w:t>
      </w:r>
      <w:r w:rsidR="00CE738C" w:rsidRPr="00CE738C">
        <w:rPr>
          <w:rFonts w:ascii="Arial" w:hAnsi="Arial" w:cs="Arial"/>
          <w:spacing w:val="-3"/>
          <w:sz w:val="24"/>
          <w:szCs w:val="24"/>
          <w:lang w:eastAsia="en-GB"/>
        </w:rPr>
        <w:t xml:space="preserve"> currently a national responsibility. At the same time we believe that there are tools open to the Commission to deliver a more effective single market that are not being deployed.</w:t>
      </w:r>
      <w:r w:rsidR="00CE738C">
        <w:rPr>
          <w:rFonts w:ascii="Arial" w:hAnsi="Arial" w:cs="Arial"/>
          <w:spacing w:val="-3"/>
          <w:sz w:val="24"/>
          <w:szCs w:val="24"/>
          <w:lang w:eastAsia="en-GB"/>
        </w:rPr>
        <w:t xml:space="preserve">  </w:t>
      </w:r>
      <w:r w:rsidR="00CE738C" w:rsidRPr="00CE738C">
        <w:rPr>
          <w:rFonts w:ascii="Arial" w:hAnsi="Arial" w:cs="Arial"/>
          <w:spacing w:val="-3"/>
          <w:sz w:val="24"/>
          <w:szCs w:val="24"/>
          <w:lang w:eastAsia="en-GB"/>
        </w:rPr>
        <w:t xml:space="preserve">A pan-EU rollout of 4G mobile broadband services would have an immediate positive impact on the European economy and would be more effective than further harmonisation of rules on spectrum auctions. The Commission has not taken action with its existing powers to expedite the allocation of spectrum for 4G service in Member States that have not yet done so. </w:t>
      </w:r>
    </w:p>
    <w:p w:rsidR="00CE738C" w:rsidRDefault="00CE738C" w:rsidP="00CE738C">
      <w:pPr>
        <w:tabs>
          <w:tab w:val="left" w:pos="0"/>
        </w:tabs>
        <w:suppressAutoHyphens/>
        <w:spacing w:after="0" w:line="240" w:lineRule="auto"/>
        <w:rPr>
          <w:rFonts w:ascii="Arial" w:hAnsi="Arial" w:cs="Arial"/>
          <w:spacing w:val="-3"/>
          <w:sz w:val="24"/>
          <w:szCs w:val="24"/>
          <w:lang w:eastAsia="en-GB"/>
        </w:rPr>
      </w:pPr>
    </w:p>
    <w:p w:rsidR="008A50AC" w:rsidRPr="00CE738C" w:rsidRDefault="00CE738C" w:rsidP="00CE738C">
      <w:pPr>
        <w:numPr>
          <w:ilvl w:val="1"/>
          <w:numId w:val="9"/>
        </w:numPr>
        <w:tabs>
          <w:tab w:val="left" w:pos="0"/>
        </w:tabs>
        <w:suppressAutoHyphens/>
        <w:spacing w:after="0" w:line="240" w:lineRule="auto"/>
        <w:rPr>
          <w:rFonts w:ascii="Arial" w:hAnsi="Arial" w:cs="Arial"/>
          <w:spacing w:val="-3"/>
          <w:sz w:val="24"/>
          <w:szCs w:val="24"/>
          <w:lang w:eastAsia="en-GB"/>
        </w:rPr>
      </w:pPr>
      <w:r w:rsidRPr="00CE738C">
        <w:rPr>
          <w:rFonts w:ascii="Arial" w:hAnsi="Arial" w:cs="Arial"/>
          <w:spacing w:val="-3"/>
          <w:sz w:val="24"/>
          <w:szCs w:val="24"/>
          <w:lang w:eastAsia="en-GB"/>
        </w:rPr>
        <w:t>There are also alternatives to the proposal which could work without the need to take control, such as the wider use of the Radio Spectrum Policy Group to develop harmonised technical conditions and issue guidance on licence fees and durations. If the RSPG were invited to develop best practice guidelines of which Member States could be required to take utmost account, the poor auction design we have seen in other Member States might be addressed, without affecting Member States whose auctions are sufficiently well designed.</w:t>
      </w:r>
    </w:p>
    <w:p w:rsidR="008A50AC" w:rsidRDefault="008A50AC" w:rsidP="00796A4F">
      <w:pPr>
        <w:tabs>
          <w:tab w:val="left" w:pos="0"/>
        </w:tabs>
        <w:suppressAutoHyphens/>
        <w:spacing w:after="0" w:line="240" w:lineRule="auto"/>
        <w:rPr>
          <w:rFonts w:ascii="Arial" w:hAnsi="Arial" w:cs="Arial"/>
          <w:spacing w:val="-3"/>
          <w:sz w:val="24"/>
          <w:szCs w:val="24"/>
          <w:lang w:eastAsia="en-GB"/>
        </w:rPr>
      </w:pPr>
    </w:p>
    <w:p w:rsidR="008A50AC" w:rsidRDefault="008A50AC" w:rsidP="00796A4F">
      <w:pPr>
        <w:tabs>
          <w:tab w:val="left" w:pos="0"/>
        </w:tabs>
        <w:suppressAutoHyphens/>
        <w:spacing w:after="0" w:line="240" w:lineRule="auto"/>
        <w:rPr>
          <w:rFonts w:ascii="Arial" w:hAnsi="Arial" w:cs="Arial"/>
          <w:b/>
          <w:bCs/>
          <w:spacing w:val="-3"/>
          <w:sz w:val="24"/>
          <w:szCs w:val="24"/>
          <w:lang w:eastAsia="en-GB"/>
        </w:rPr>
      </w:pPr>
      <w:r w:rsidRPr="00106683">
        <w:rPr>
          <w:rFonts w:ascii="Arial" w:hAnsi="Arial" w:cs="Arial"/>
          <w:b/>
          <w:bCs/>
          <w:spacing w:val="-3"/>
          <w:sz w:val="24"/>
          <w:szCs w:val="24"/>
          <w:lang w:eastAsia="en-GB"/>
        </w:rPr>
        <w:t>European Virtual Access Products (Chapter III – Articles 17 – 20)</w:t>
      </w:r>
    </w:p>
    <w:p w:rsidR="00021BD8" w:rsidRDefault="00021BD8" w:rsidP="00021BD8">
      <w:pPr>
        <w:tabs>
          <w:tab w:val="left" w:pos="0"/>
        </w:tabs>
        <w:suppressAutoHyphens/>
        <w:spacing w:after="0" w:line="240" w:lineRule="auto"/>
        <w:rPr>
          <w:rFonts w:ascii="Arial" w:hAnsi="Arial" w:cs="Arial"/>
          <w:bCs/>
          <w:spacing w:val="-3"/>
          <w:sz w:val="24"/>
          <w:szCs w:val="24"/>
          <w:lang w:eastAsia="en-GB"/>
        </w:rPr>
      </w:pPr>
    </w:p>
    <w:p w:rsidR="00021BD8" w:rsidRDefault="00021BD8" w:rsidP="00021BD8">
      <w:pPr>
        <w:pStyle w:val="ListParagraph"/>
        <w:numPr>
          <w:ilvl w:val="1"/>
          <w:numId w:val="9"/>
        </w:numPr>
        <w:tabs>
          <w:tab w:val="left" w:pos="0"/>
        </w:tabs>
        <w:suppressAutoHyphens/>
        <w:spacing w:after="0" w:line="240" w:lineRule="auto"/>
        <w:rPr>
          <w:rFonts w:ascii="Arial" w:hAnsi="Arial" w:cs="Arial"/>
          <w:bCs/>
          <w:spacing w:val="-3"/>
          <w:sz w:val="24"/>
          <w:szCs w:val="24"/>
          <w:lang w:eastAsia="en-GB"/>
        </w:rPr>
      </w:pPr>
      <w:r w:rsidRPr="00021BD8">
        <w:rPr>
          <w:rFonts w:ascii="Arial" w:hAnsi="Arial" w:cs="Arial"/>
          <w:bCs/>
          <w:spacing w:val="-3"/>
          <w:sz w:val="24"/>
          <w:szCs w:val="24"/>
          <w:lang w:eastAsia="en-GB"/>
        </w:rPr>
        <w:t>Access services to enable pan-European provision for business customers are</w:t>
      </w:r>
      <w:r w:rsidR="00D3138D">
        <w:rPr>
          <w:rFonts w:ascii="Arial" w:hAnsi="Arial" w:cs="Arial"/>
          <w:bCs/>
          <w:spacing w:val="-3"/>
          <w:sz w:val="24"/>
          <w:szCs w:val="24"/>
          <w:lang w:eastAsia="en-GB"/>
        </w:rPr>
        <w:t xml:space="preserve"> variable across the EU and HMG believes this</w:t>
      </w:r>
      <w:r w:rsidRPr="00021BD8">
        <w:rPr>
          <w:rFonts w:ascii="Arial" w:hAnsi="Arial" w:cs="Arial"/>
          <w:bCs/>
          <w:spacing w:val="-3"/>
          <w:sz w:val="24"/>
          <w:szCs w:val="24"/>
          <w:lang w:eastAsia="en-GB"/>
        </w:rPr>
        <w:t xml:space="preserve"> issue should be addressed.  However, it is important to ensure that the scope of the proposals reflect the scope of the problem identified. </w:t>
      </w:r>
    </w:p>
    <w:p w:rsidR="00D3138D" w:rsidRPr="00D3138D" w:rsidRDefault="00D3138D" w:rsidP="00D3138D">
      <w:pPr>
        <w:tabs>
          <w:tab w:val="left" w:pos="0"/>
        </w:tabs>
        <w:suppressAutoHyphens/>
        <w:spacing w:after="0" w:line="240" w:lineRule="auto"/>
        <w:rPr>
          <w:rFonts w:ascii="Arial" w:hAnsi="Arial" w:cs="Arial"/>
          <w:bCs/>
          <w:spacing w:val="-3"/>
          <w:sz w:val="24"/>
          <w:szCs w:val="24"/>
          <w:lang w:eastAsia="en-GB"/>
        </w:rPr>
      </w:pPr>
    </w:p>
    <w:p w:rsidR="00021BD8" w:rsidRPr="00021BD8" w:rsidRDefault="00021BD8" w:rsidP="00021BD8">
      <w:pPr>
        <w:pStyle w:val="ListParagraph"/>
        <w:numPr>
          <w:ilvl w:val="1"/>
          <w:numId w:val="9"/>
        </w:numPr>
        <w:tabs>
          <w:tab w:val="left" w:pos="0"/>
        </w:tabs>
        <w:suppressAutoHyphens/>
        <w:spacing w:after="0" w:line="240" w:lineRule="auto"/>
        <w:rPr>
          <w:rFonts w:ascii="Arial" w:hAnsi="Arial" w:cs="Arial"/>
          <w:bCs/>
          <w:spacing w:val="-3"/>
          <w:sz w:val="24"/>
          <w:szCs w:val="24"/>
          <w:lang w:eastAsia="en-GB"/>
        </w:rPr>
      </w:pPr>
      <w:r w:rsidRPr="00021BD8">
        <w:rPr>
          <w:rFonts w:ascii="Arial" w:hAnsi="Arial" w:cs="Arial"/>
          <w:bCs/>
          <w:spacing w:val="-3"/>
          <w:sz w:val="24"/>
          <w:szCs w:val="24"/>
          <w:lang w:eastAsia="en-GB"/>
        </w:rPr>
        <w:t>With this proposa</w:t>
      </w:r>
      <w:r w:rsidR="00D3138D">
        <w:rPr>
          <w:rFonts w:ascii="Arial" w:hAnsi="Arial" w:cs="Arial"/>
          <w:bCs/>
          <w:spacing w:val="-3"/>
          <w:sz w:val="24"/>
          <w:szCs w:val="24"/>
          <w:lang w:eastAsia="en-GB"/>
        </w:rPr>
        <w:t>l, the Commission is seeking to</w:t>
      </w:r>
      <w:r w:rsidRPr="00021BD8">
        <w:rPr>
          <w:rFonts w:ascii="Arial" w:hAnsi="Arial" w:cs="Arial"/>
          <w:bCs/>
          <w:spacing w:val="-3"/>
          <w:sz w:val="24"/>
          <w:szCs w:val="24"/>
          <w:lang w:eastAsia="en-GB"/>
        </w:rPr>
        <w:t xml:space="preserve"> encourage the availability of standardised European access products t</w:t>
      </w:r>
      <w:r w:rsidR="00D3138D">
        <w:rPr>
          <w:rFonts w:ascii="Arial" w:hAnsi="Arial" w:cs="Arial"/>
          <w:bCs/>
          <w:spacing w:val="-3"/>
          <w:sz w:val="24"/>
          <w:szCs w:val="24"/>
          <w:lang w:eastAsia="en-GB"/>
        </w:rPr>
        <w:t>o be offered by SMP operators; in the UK’s instance BT.</w:t>
      </w:r>
      <w:r w:rsidRPr="00021BD8">
        <w:rPr>
          <w:rFonts w:ascii="Arial" w:hAnsi="Arial" w:cs="Arial"/>
          <w:bCs/>
          <w:spacing w:val="-3"/>
          <w:sz w:val="24"/>
          <w:szCs w:val="24"/>
          <w:lang w:eastAsia="en-GB"/>
        </w:rPr>
        <w:t xml:space="preserve">  The Commission is also prescribing the minimum parameters of such produc</w:t>
      </w:r>
      <w:r w:rsidR="00D3138D">
        <w:rPr>
          <w:rFonts w:ascii="Arial" w:hAnsi="Arial" w:cs="Arial"/>
          <w:bCs/>
          <w:spacing w:val="-3"/>
          <w:sz w:val="24"/>
          <w:szCs w:val="24"/>
          <w:lang w:eastAsia="en-GB"/>
        </w:rPr>
        <w:t>ts</w:t>
      </w:r>
      <w:r w:rsidRPr="00021BD8">
        <w:rPr>
          <w:rFonts w:ascii="Arial" w:hAnsi="Arial" w:cs="Arial"/>
          <w:bCs/>
          <w:spacing w:val="-3"/>
          <w:sz w:val="24"/>
          <w:szCs w:val="24"/>
          <w:lang w:eastAsia="en-GB"/>
        </w:rPr>
        <w:t xml:space="preserve"> in an annex to the Regulation. In addition, the Commission is proposing to have a veto over NRA decisions on access remedies for pan-European operators.</w:t>
      </w:r>
    </w:p>
    <w:p w:rsidR="00021BD8" w:rsidRDefault="00021BD8" w:rsidP="00021BD8">
      <w:pPr>
        <w:tabs>
          <w:tab w:val="left" w:pos="0"/>
        </w:tabs>
        <w:suppressAutoHyphens/>
        <w:spacing w:after="0" w:line="240" w:lineRule="auto"/>
        <w:rPr>
          <w:rFonts w:ascii="Arial" w:hAnsi="Arial" w:cs="Arial"/>
          <w:bCs/>
          <w:spacing w:val="-3"/>
          <w:sz w:val="24"/>
          <w:szCs w:val="24"/>
          <w:lang w:eastAsia="en-GB"/>
        </w:rPr>
      </w:pPr>
    </w:p>
    <w:p w:rsidR="00021BD8" w:rsidRPr="00021BD8" w:rsidRDefault="00021BD8" w:rsidP="00021BD8">
      <w:pPr>
        <w:pStyle w:val="ListParagraph"/>
        <w:numPr>
          <w:ilvl w:val="1"/>
          <w:numId w:val="9"/>
        </w:numPr>
        <w:tabs>
          <w:tab w:val="left" w:pos="0"/>
        </w:tabs>
        <w:suppressAutoHyphens/>
        <w:spacing w:after="0" w:line="240" w:lineRule="auto"/>
        <w:rPr>
          <w:rFonts w:ascii="Arial" w:hAnsi="Arial" w:cs="Arial"/>
          <w:bCs/>
          <w:spacing w:val="-3"/>
          <w:sz w:val="24"/>
          <w:szCs w:val="24"/>
          <w:lang w:eastAsia="en-GB"/>
        </w:rPr>
      </w:pPr>
      <w:r w:rsidRPr="00021BD8">
        <w:rPr>
          <w:rFonts w:ascii="Arial" w:hAnsi="Arial" w:cs="Arial"/>
          <w:bCs/>
          <w:spacing w:val="-3"/>
          <w:sz w:val="24"/>
          <w:szCs w:val="24"/>
          <w:lang w:eastAsia="en-GB"/>
        </w:rPr>
        <w:t xml:space="preserve">UK operators will have a potential advantage when engaging in the new measures since they already operate in the UK.  Ofcom was the first NRA to introduce Virtual Unbundled Local Access (VULA) and, in principle, welcomes the Commission’s adoption of VULA. </w:t>
      </w:r>
    </w:p>
    <w:p w:rsidR="00021BD8" w:rsidRDefault="00021BD8" w:rsidP="00021BD8">
      <w:pPr>
        <w:tabs>
          <w:tab w:val="left" w:pos="0"/>
        </w:tabs>
        <w:suppressAutoHyphens/>
        <w:spacing w:after="0" w:line="240" w:lineRule="auto"/>
        <w:rPr>
          <w:rFonts w:ascii="Arial" w:hAnsi="Arial" w:cs="Arial"/>
          <w:bCs/>
          <w:spacing w:val="-3"/>
          <w:sz w:val="24"/>
          <w:szCs w:val="24"/>
          <w:lang w:eastAsia="en-GB"/>
        </w:rPr>
      </w:pPr>
    </w:p>
    <w:p w:rsidR="00021BD8" w:rsidRPr="00D3138D" w:rsidRDefault="00D3138D" w:rsidP="00D3138D">
      <w:pPr>
        <w:pStyle w:val="ListParagraph"/>
        <w:numPr>
          <w:ilvl w:val="1"/>
          <w:numId w:val="9"/>
        </w:numPr>
        <w:tabs>
          <w:tab w:val="left" w:pos="0"/>
        </w:tabs>
        <w:suppressAutoHyphens/>
        <w:spacing w:after="0" w:line="240" w:lineRule="auto"/>
        <w:rPr>
          <w:rFonts w:ascii="Arial" w:hAnsi="Arial" w:cs="Arial"/>
          <w:bCs/>
          <w:spacing w:val="-3"/>
          <w:sz w:val="24"/>
          <w:szCs w:val="24"/>
          <w:lang w:eastAsia="en-GB"/>
        </w:rPr>
      </w:pPr>
      <w:r>
        <w:rPr>
          <w:rFonts w:ascii="Arial" w:hAnsi="Arial" w:cs="Arial"/>
          <w:bCs/>
          <w:spacing w:val="-3"/>
          <w:sz w:val="24"/>
          <w:szCs w:val="24"/>
          <w:lang w:eastAsia="en-GB"/>
        </w:rPr>
        <w:t>However, HMG</w:t>
      </w:r>
      <w:r w:rsidR="00021BD8" w:rsidRPr="00021BD8">
        <w:rPr>
          <w:rFonts w:ascii="Arial" w:hAnsi="Arial" w:cs="Arial"/>
          <w:bCs/>
          <w:spacing w:val="-3"/>
          <w:sz w:val="24"/>
          <w:szCs w:val="24"/>
          <w:lang w:eastAsia="en-GB"/>
        </w:rPr>
        <w:t xml:space="preserve"> believe</w:t>
      </w:r>
      <w:r>
        <w:rPr>
          <w:rFonts w:ascii="Arial" w:hAnsi="Arial" w:cs="Arial"/>
          <w:bCs/>
          <w:spacing w:val="-3"/>
          <w:sz w:val="24"/>
          <w:szCs w:val="24"/>
          <w:lang w:eastAsia="en-GB"/>
        </w:rPr>
        <w:t>s</w:t>
      </w:r>
      <w:r w:rsidR="00021BD8" w:rsidRPr="00021BD8">
        <w:rPr>
          <w:rFonts w:ascii="Arial" w:hAnsi="Arial" w:cs="Arial"/>
          <w:bCs/>
          <w:spacing w:val="-3"/>
          <w:sz w:val="24"/>
          <w:szCs w:val="24"/>
          <w:lang w:eastAsia="en-GB"/>
        </w:rPr>
        <w:t xml:space="preserve"> that the Commission will not succeed in ensuring the provision of </w:t>
      </w:r>
      <w:r w:rsidR="00021BD8" w:rsidRPr="00D3138D">
        <w:rPr>
          <w:rFonts w:ascii="Arial" w:hAnsi="Arial" w:cs="Arial"/>
          <w:bCs/>
          <w:spacing w:val="-3"/>
          <w:sz w:val="24"/>
          <w:szCs w:val="24"/>
          <w:lang w:eastAsia="en-GB"/>
        </w:rPr>
        <w:t>harmonised products merely by prescribing the key parameters, as in the current prop</w:t>
      </w:r>
      <w:r w:rsidRPr="00D3138D">
        <w:rPr>
          <w:rFonts w:ascii="Arial" w:hAnsi="Arial" w:cs="Arial"/>
          <w:bCs/>
          <w:spacing w:val="-3"/>
          <w:sz w:val="24"/>
          <w:szCs w:val="24"/>
          <w:lang w:eastAsia="en-GB"/>
        </w:rPr>
        <w:t>osal. HMG</w:t>
      </w:r>
      <w:r w:rsidR="00021BD8" w:rsidRPr="00D3138D">
        <w:rPr>
          <w:rFonts w:ascii="Arial" w:hAnsi="Arial" w:cs="Arial"/>
          <w:bCs/>
          <w:spacing w:val="-3"/>
          <w:sz w:val="24"/>
          <w:szCs w:val="24"/>
          <w:lang w:eastAsia="en-GB"/>
        </w:rPr>
        <w:t xml:space="preserve"> consider</w:t>
      </w:r>
      <w:r w:rsidRPr="00D3138D">
        <w:rPr>
          <w:rFonts w:ascii="Arial" w:hAnsi="Arial" w:cs="Arial"/>
          <w:bCs/>
          <w:spacing w:val="-3"/>
          <w:sz w:val="24"/>
          <w:szCs w:val="24"/>
          <w:lang w:eastAsia="en-GB"/>
        </w:rPr>
        <w:t>s</w:t>
      </w:r>
      <w:r w:rsidR="00021BD8" w:rsidRPr="00D3138D">
        <w:rPr>
          <w:rFonts w:ascii="Arial" w:hAnsi="Arial" w:cs="Arial"/>
          <w:bCs/>
          <w:spacing w:val="-3"/>
          <w:sz w:val="24"/>
          <w:szCs w:val="24"/>
          <w:lang w:eastAsia="en-GB"/>
        </w:rPr>
        <w:t xml:space="preserve"> that the parameters are too high level to guarantee harmonised products</w:t>
      </w:r>
      <w:r w:rsidR="00EE23DA">
        <w:rPr>
          <w:rFonts w:ascii="Arial" w:hAnsi="Arial" w:cs="Arial"/>
          <w:bCs/>
          <w:spacing w:val="-3"/>
          <w:sz w:val="24"/>
          <w:szCs w:val="24"/>
          <w:lang w:eastAsia="en-GB"/>
        </w:rPr>
        <w:t>.  A</w:t>
      </w:r>
      <w:r>
        <w:rPr>
          <w:rFonts w:ascii="Arial" w:hAnsi="Arial" w:cs="Arial"/>
          <w:bCs/>
          <w:spacing w:val="-3"/>
          <w:sz w:val="24"/>
          <w:szCs w:val="24"/>
          <w:lang w:eastAsia="en-GB"/>
        </w:rPr>
        <w:t xml:space="preserve"> solution would be for </w:t>
      </w:r>
      <w:r w:rsidR="00021BD8" w:rsidRPr="00D3138D">
        <w:rPr>
          <w:rFonts w:ascii="Arial" w:hAnsi="Arial" w:cs="Arial"/>
          <w:bCs/>
          <w:spacing w:val="-3"/>
          <w:sz w:val="24"/>
          <w:szCs w:val="24"/>
          <w:lang w:eastAsia="en-GB"/>
        </w:rPr>
        <w:t xml:space="preserve">BEREC </w:t>
      </w:r>
      <w:r>
        <w:rPr>
          <w:rFonts w:ascii="Arial" w:hAnsi="Arial" w:cs="Arial"/>
          <w:bCs/>
          <w:spacing w:val="-3"/>
          <w:sz w:val="24"/>
          <w:szCs w:val="24"/>
          <w:lang w:eastAsia="en-GB"/>
        </w:rPr>
        <w:t>to develop</w:t>
      </w:r>
      <w:r w:rsidR="00021BD8" w:rsidRPr="00D3138D">
        <w:rPr>
          <w:rFonts w:ascii="Arial" w:hAnsi="Arial" w:cs="Arial"/>
          <w:bCs/>
          <w:spacing w:val="-3"/>
          <w:sz w:val="24"/>
          <w:szCs w:val="24"/>
          <w:lang w:eastAsia="en-GB"/>
        </w:rPr>
        <w:t xml:space="preserve"> minimum reference offers in greater detail, in close consultation with industry</w:t>
      </w:r>
      <w:r>
        <w:rPr>
          <w:rFonts w:ascii="Arial" w:hAnsi="Arial" w:cs="Arial"/>
          <w:bCs/>
          <w:spacing w:val="-3"/>
          <w:sz w:val="24"/>
          <w:szCs w:val="24"/>
          <w:lang w:eastAsia="en-GB"/>
        </w:rPr>
        <w:t>,</w:t>
      </w:r>
      <w:r w:rsidR="00021BD8" w:rsidRPr="00D3138D">
        <w:rPr>
          <w:rFonts w:ascii="Arial" w:hAnsi="Arial" w:cs="Arial"/>
          <w:bCs/>
          <w:spacing w:val="-3"/>
          <w:sz w:val="24"/>
          <w:szCs w:val="24"/>
          <w:lang w:eastAsia="en-GB"/>
        </w:rPr>
        <w:t xml:space="preserve"> in order to ensure they refl</w:t>
      </w:r>
      <w:r w:rsidR="00967EC5">
        <w:rPr>
          <w:rFonts w:ascii="Arial" w:hAnsi="Arial" w:cs="Arial"/>
          <w:bCs/>
          <w:spacing w:val="-3"/>
          <w:sz w:val="24"/>
          <w:szCs w:val="24"/>
          <w:lang w:eastAsia="en-GB"/>
        </w:rPr>
        <w:t>ect operators’ commercial needs</w:t>
      </w:r>
      <w:r w:rsidR="00021BD8" w:rsidRPr="00D3138D">
        <w:rPr>
          <w:rFonts w:ascii="Arial" w:hAnsi="Arial" w:cs="Arial"/>
          <w:bCs/>
          <w:spacing w:val="-3"/>
          <w:sz w:val="24"/>
          <w:szCs w:val="24"/>
          <w:lang w:eastAsia="en-GB"/>
        </w:rPr>
        <w:t xml:space="preserve">. </w:t>
      </w:r>
    </w:p>
    <w:p w:rsidR="00021BD8" w:rsidRDefault="00021BD8" w:rsidP="00021BD8">
      <w:pPr>
        <w:tabs>
          <w:tab w:val="left" w:pos="0"/>
        </w:tabs>
        <w:suppressAutoHyphens/>
        <w:spacing w:after="0" w:line="240" w:lineRule="auto"/>
        <w:rPr>
          <w:rFonts w:ascii="Arial" w:hAnsi="Arial" w:cs="Arial"/>
          <w:bCs/>
          <w:spacing w:val="-3"/>
          <w:sz w:val="24"/>
          <w:szCs w:val="24"/>
          <w:lang w:eastAsia="en-GB"/>
        </w:rPr>
      </w:pPr>
    </w:p>
    <w:p w:rsidR="008A50AC" w:rsidRPr="00D3138D" w:rsidRDefault="00021BD8" w:rsidP="00DF2F86">
      <w:pPr>
        <w:pStyle w:val="ListParagraph"/>
        <w:numPr>
          <w:ilvl w:val="1"/>
          <w:numId w:val="9"/>
        </w:numPr>
        <w:tabs>
          <w:tab w:val="left" w:pos="0"/>
        </w:tabs>
        <w:suppressAutoHyphens/>
        <w:spacing w:after="0" w:line="240" w:lineRule="auto"/>
        <w:rPr>
          <w:rFonts w:ascii="Arial" w:hAnsi="Arial" w:cs="Arial"/>
          <w:spacing w:val="-3"/>
          <w:sz w:val="24"/>
          <w:szCs w:val="24"/>
          <w:lang w:eastAsia="en-GB"/>
        </w:rPr>
      </w:pPr>
      <w:r w:rsidRPr="00D3138D">
        <w:rPr>
          <w:rFonts w:ascii="Arial" w:hAnsi="Arial" w:cs="Arial"/>
          <w:bCs/>
          <w:spacing w:val="-3"/>
          <w:sz w:val="24"/>
          <w:szCs w:val="24"/>
          <w:lang w:eastAsia="en-GB"/>
        </w:rPr>
        <w:t xml:space="preserve">A veto on remedies constitutes a significant transfer of power from NRAs to the Commission, and </w:t>
      </w:r>
      <w:r w:rsidR="00D3138D">
        <w:rPr>
          <w:rFonts w:ascii="Arial" w:hAnsi="Arial" w:cs="Arial"/>
          <w:bCs/>
          <w:spacing w:val="-3"/>
          <w:sz w:val="24"/>
          <w:szCs w:val="24"/>
          <w:lang w:eastAsia="en-GB"/>
        </w:rPr>
        <w:t xml:space="preserve">we do not believe that </w:t>
      </w:r>
      <w:r w:rsidRPr="00D3138D">
        <w:rPr>
          <w:rFonts w:ascii="Arial" w:hAnsi="Arial" w:cs="Arial"/>
          <w:bCs/>
          <w:spacing w:val="-3"/>
          <w:sz w:val="24"/>
          <w:szCs w:val="24"/>
          <w:lang w:eastAsia="en-GB"/>
        </w:rPr>
        <w:t>the Commission has not made a case for this</w:t>
      </w:r>
      <w:r w:rsidR="00D3138D">
        <w:rPr>
          <w:rFonts w:ascii="Arial" w:hAnsi="Arial" w:cs="Arial"/>
          <w:bCs/>
          <w:spacing w:val="-3"/>
          <w:sz w:val="24"/>
          <w:szCs w:val="24"/>
          <w:lang w:eastAsia="en-GB"/>
        </w:rPr>
        <w:t xml:space="preserve"> power</w:t>
      </w:r>
      <w:r w:rsidRPr="00D3138D">
        <w:rPr>
          <w:rFonts w:ascii="Arial" w:hAnsi="Arial" w:cs="Arial"/>
          <w:bCs/>
          <w:spacing w:val="-3"/>
          <w:sz w:val="24"/>
          <w:szCs w:val="24"/>
          <w:lang w:eastAsia="en-GB"/>
        </w:rPr>
        <w:t xml:space="preserve">. One real risk of a veto on remedies is that NRAs will be prevented from being innovative. </w:t>
      </w:r>
      <w:r w:rsidR="00D3138D">
        <w:rPr>
          <w:rFonts w:ascii="Arial" w:hAnsi="Arial" w:cs="Arial"/>
          <w:bCs/>
          <w:spacing w:val="-3"/>
          <w:sz w:val="24"/>
          <w:szCs w:val="24"/>
          <w:lang w:eastAsia="en-GB"/>
        </w:rPr>
        <w:t>HMG therefore does not support this</w:t>
      </w:r>
      <w:r w:rsidR="00EE23DA">
        <w:rPr>
          <w:rFonts w:ascii="Arial" w:hAnsi="Arial" w:cs="Arial"/>
          <w:bCs/>
          <w:spacing w:val="-3"/>
          <w:sz w:val="24"/>
          <w:szCs w:val="24"/>
          <w:lang w:eastAsia="en-GB"/>
        </w:rPr>
        <w:t xml:space="preserve"> element of the</w:t>
      </w:r>
      <w:r w:rsidR="00D3138D">
        <w:rPr>
          <w:rFonts w:ascii="Arial" w:hAnsi="Arial" w:cs="Arial"/>
          <w:bCs/>
          <w:spacing w:val="-3"/>
          <w:sz w:val="24"/>
          <w:szCs w:val="24"/>
          <w:lang w:eastAsia="en-GB"/>
        </w:rPr>
        <w:t xml:space="preserve"> proposal.</w:t>
      </w:r>
    </w:p>
    <w:p w:rsidR="00E30D4A" w:rsidRDefault="00E30D4A" w:rsidP="00DF2F86">
      <w:pPr>
        <w:tabs>
          <w:tab w:val="left" w:pos="0"/>
        </w:tabs>
        <w:suppressAutoHyphens/>
        <w:spacing w:after="0" w:line="240" w:lineRule="auto"/>
        <w:rPr>
          <w:rFonts w:ascii="Arial" w:hAnsi="Arial" w:cs="Arial"/>
          <w:b/>
          <w:bCs/>
          <w:spacing w:val="-3"/>
          <w:sz w:val="24"/>
          <w:szCs w:val="24"/>
          <w:lang w:eastAsia="en-GB"/>
        </w:rPr>
      </w:pPr>
    </w:p>
    <w:p w:rsidR="00E30D4A" w:rsidRDefault="00E30D4A" w:rsidP="00E30D4A">
      <w:pPr>
        <w:pStyle w:val="NormalWeb"/>
        <w:shd w:val="clear" w:color="auto" w:fill="FEFAEB"/>
        <w:ind w:left="0"/>
        <w:rPr>
          <w:rFonts w:ascii="Arial" w:hAnsi="Arial" w:cs="Arial"/>
          <w:b/>
          <w:bCs/>
          <w:spacing w:val="-3"/>
          <w:sz w:val="24"/>
          <w:szCs w:val="24"/>
        </w:rPr>
      </w:pPr>
      <w:r w:rsidRPr="00106683">
        <w:rPr>
          <w:rFonts w:ascii="Arial" w:hAnsi="Arial" w:cs="Arial"/>
          <w:b/>
          <w:bCs/>
          <w:spacing w:val="-3"/>
          <w:sz w:val="24"/>
          <w:szCs w:val="24"/>
        </w:rPr>
        <w:t>Costs of ‘International’ (intra-EU) Voice-calls and SMS (Chapter IV – Article 21(3))</w:t>
      </w:r>
    </w:p>
    <w:p w:rsidR="00E30D4A" w:rsidRPr="00D663DB" w:rsidRDefault="00E30D4A" w:rsidP="00E30D4A">
      <w:pPr>
        <w:pStyle w:val="NormalWeb"/>
        <w:numPr>
          <w:ilvl w:val="1"/>
          <w:numId w:val="9"/>
        </w:numPr>
        <w:shd w:val="clear" w:color="auto" w:fill="FEFAEB"/>
        <w:rPr>
          <w:rFonts w:ascii="Arial" w:hAnsi="Arial" w:cs="Arial"/>
          <w:spacing w:val="-3"/>
          <w:sz w:val="24"/>
          <w:szCs w:val="24"/>
        </w:rPr>
      </w:pPr>
      <w:r w:rsidRPr="00D663DB">
        <w:rPr>
          <w:rFonts w:ascii="Arial" w:hAnsi="Arial" w:cs="Arial"/>
          <w:spacing w:val="-3"/>
          <w:sz w:val="24"/>
          <w:szCs w:val="24"/>
        </w:rPr>
        <w:t>Significant price differences continue to exist, both for fixed and mobile communications, between domestic voice and SMS communications and those terminating in another M</w:t>
      </w:r>
      <w:r w:rsidR="00D3138D">
        <w:rPr>
          <w:rFonts w:ascii="Arial" w:hAnsi="Arial" w:cs="Arial"/>
          <w:spacing w:val="-3"/>
          <w:sz w:val="24"/>
          <w:szCs w:val="24"/>
        </w:rPr>
        <w:t xml:space="preserve">ember </w:t>
      </w:r>
      <w:r w:rsidRPr="00D663DB">
        <w:rPr>
          <w:rFonts w:ascii="Arial" w:hAnsi="Arial" w:cs="Arial"/>
          <w:spacing w:val="-3"/>
          <w:sz w:val="24"/>
          <w:szCs w:val="24"/>
        </w:rPr>
        <w:t>S</w:t>
      </w:r>
      <w:r w:rsidR="00D3138D">
        <w:rPr>
          <w:rFonts w:ascii="Arial" w:hAnsi="Arial" w:cs="Arial"/>
          <w:spacing w:val="-3"/>
          <w:sz w:val="24"/>
          <w:szCs w:val="24"/>
        </w:rPr>
        <w:t>tate</w:t>
      </w:r>
      <w:r w:rsidRPr="00D663DB">
        <w:rPr>
          <w:rFonts w:ascii="Arial" w:hAnsi="Arial" w:cs="Arial"/>
          <w:spacing w:val="-3"/>
          <w:sz w:val="24"/>
          <w:szCs w:val="24"/>
        </w:rPr>
        <w:t>. While there are variations between countries, operators and tariff packages, and between mobile and fixe</w:t>
      </w:r>
      <w:r w:rsidR="00EE23DA">
        <w:rPr>
          <w:rFonts w:ascii="Arial" w:hAnsi="Arial" w:cs="Arial"/>
          <w:spacing w:val="-3"/>
          <w:sz w:val="24"/>
          <w:szCs w:val="24"/>
        </w:rPr>
        <w:t>d services</w:t>
      </w:r>
      <w:r w:rsidRPr="00D663DB">
        <w:rPr>
          <w:rFonts w:ascii="Arial" w:hAnsi="Arial" w:cs="Arial"/>
          <w:spacing w:val="-3"/>
          <w:sz w:val="24"/>
          <w:szCs w:val="24"/>
        </w:rPr>
        <w:t xml:space="preserve">. </w:t>
      </w:r>
    </w:p>
    <w:p w:rsidR="00E30D4A" w:rsidRPr="00E30D4A" w:rsidRDefault="00D3138D" w:rsidP="00E30D4A">
      <w:pPr>
        <w:pStyle w:val="NormalWeb"/>
        <w:numPr>
          <w:ilvl w:val="1"/>
          <w:numId w:val="9"/>
        </w:numPr>
        <w:shd w:val="clear" w:color="auto" w:fill="FEFAEB"/>
        <w:rPr>
          <w:rFonts w:ascii="Arial" w:hAnsi="Arial" w:cs="Arial"/>
          <w:b/>
          <w:bCs/>
          <w:spacing w:val="-3"/>
          <w:sz w:val="24"/>
          <w:szCs w:val="24"/>
        </w:rPr>
      </w:pPr>
      <w:r>
        <w:rPr>
          <w:rFonts w:ascii="Arial" w:hAnsi="Arial" w:cs="Arial"/>
          <w:spacing w:val="-3"/>
          <w:sz w:val="24"/>
          <w:szCs w:val="24"/>
        </w:rPr>
        <w:t>HMG</w:t>
      </w:r>
      <w:r w:rsidR="00E30D4A" w:rsidRPr="001A2419">
        <w:rPr>
          <w:rFonts w:ascii="Arial" w:hAnsi="Arial" w:cs="Arial"/>
          <w:spacing w:val="-3"/>
          <w:sz w:val="24"/>
          <w:szCs w:val="24"/>
        </w:rPr>
        <w:t xml:space="preserve"> is generally supportive of this measure, provided any significant retail tariff differences between domestic fixed long-distance communications and fixed communications terminating in another M</w:t>
      </w:r>
      <w:r>
        <w:rPr>
          <w:rFonts w:ascii="Arial" w:hAnsi="Arial" w:cs="Arial"/>
          <w:spacing w:val="-3"/>
          <w:sz w:val="24"/>
          <w:szCs w:val="24"/>
        </w:rPr>
        <w:t xml:space="preserve">ember </w:t>
      </w:r>
      <w:r w:rsidR="00E30D4A" w:rsidRPr="001A2419">
        <w:rPr>
          <w:rFonts w:ascii="Arial" w:hAnsi="Arial" w:cs="Arial"/>
          <w:spacing w:val="-3"/>
          <w:sz w:val="24"/>
          <w:szCs w:val="24"/>
        </w:rPr>
        <w:t>S</w:t>
      </w:r>
      <w:r>
        <w:rPr>
          <w:rFonts w:ascii="Arial" w:hAnsi="Arial" w:cs="Arial"/>
          <w:spacing w:val="-3"/>
          <w:sz w:val="24"/>
          <w:szCs w:val="24"/>
        </w:rPr>
        <w:t>tate</w:t>
      </w:r>
      <w:r w:rsidR="00E30D4A" w:rsidRPr="001A2419">
        <w:rPr>
          <w:rFonts w:ascii="Arial" w:hAnsi="Arial" w:cs="Arial"/>
          <w:spacing w:val="-3"/>
          <w:sz w:val="24"/>
          <w:szCs w:val="24"/>
        </w:rPr>
        <w:t xml:space="preserve"> are justified by reference to objective criteria.  Retail tariffs for international mobile communications should not exceed the euro-voice and euro-SMS tariffs for regulated roaming calls and SMS messages, respectively, provided for in Regulation (EU) No 531/2012; unless justified by reference to objective criteria.  Such criteria may include additional costs and a reasonable related margin.  </w:t>
      </w:r>
    </w:p>
    <w:p w:rsidR="00E30D4A" w:rsidRDefault="00E30D4A" w:rsidP="00DF2F86">
      <w:pPr>
        <w:tabs>
          <w:tab w:val="left" w:pos="0"/>
        </w:tabs>
        <w:suppressAutoHyphens/>
        <w:spacing w:after="0" w:line="240" w:lineRule="auto"/>
        <w:rPr>
          <w:rFonts w:ascii="Arial" w:hAnsi="Arial" w:cs="Arial"/>
          <w:b/>
          <w:bCs/>
          <w:spacing w:val="-3"/>
          <w:sz w:val="24"/>
          <w:szCs w:val="24"/>
          <w:lang w:eastAsia="en-GB"/>
        </w:rPr>
      </w:pPr>
    </w:p>
    <w:p w:rsidR="008A50AC" w:rsidRDefault="008A50AC" w:rsidP="00DF2F86">
      <w:pPr>
        <w:tabs>
          <w:tab w:val="left" w:pos="0"/>
        </w:tabs>
        <w:suppressAutoHyphens/>
        <w:spacing w:after="0" w:line="240" w:lineRule="auto"/>
        <w:rPr>
          <w:rFonts w:ascii="Arial" w:hAnsi="Arial" w:cs="Arial"/>
          <w:b/>
          <w:bCs/>
          <w:spacing w:val="-3"/>
          <w:sz w:val="24"/>
          <w:szCs w:val="24"/>
          <w:lang w:eastAsia="en-GB"/>
        </w:rPr>
      </w:pPr>
      <w:r w:rsidRPr="00106683">
        <w:rPr>
          <w:rFonts w:ascii="Arial" w:hAnsi="Arial" w:cs="Arial"/>
          <w:b/>
          <w:bCs/>
          <w:spacing w:val="-3"/>
          <w:sz w:val="24"/>
          <w:szCs w:val="24"/>
          <w:lang w:eastAsia="en-GB"/>
        </w:rPr>
        <w:lastRenderedPageBreak/>
        <w:t>Open Internet Access , Traffic Management, Safeguards for Quality of Service, and Transparency and Publication of Information (Chapter IV – Articles 23 – 25)</w:t>
      </w:r>
    </w:p>
    <w:p w:rsidR="008A50AC" w:rsidRDefault="008A50AC" w:rsidP="00DF2F86">
      <w:pPr>
        <w:tabs>
          <w:tab w:val="left" w:pos="0"/>
        </w:tabs>
        <w:suppressAutoHyphens/>
        <w:spacing w:after="0" w:line="240" w:lineRule="auto"/>
        <w:rPr>
          <w:rFonts w:ascii="Arial" w:hAnsi="Arial" w:cs="Arial"/>
          <w:b/>
          <w:bCs/>
          <w:spacing w:val="-3"/>
          <w:sz w:val="24"/>
          <w:szCs w:val="24"/>
          <w:lang w:eastAsia="en-GB"/>
        </w:rPr>
      </w:pPr>
    </w:p>
    <w:p w:rsidR="000C0171" w:rsidRPr="000C0171" w:rsidRDefault="000C0171" w:rsidP="000C0171">
      <w:pPr>
        <w:numPr>
          <w:ilvl w:val="1"/>
          <w:numId w:val="9"/>
        </w:numPr>
        <w:tabs>
          <w:tab w:val="left" w:pos="0"/>
        </w:tabs>
        <w:suppressAutoHyphens/>
        <w:spacing w:after="0" w:line="240" w:lineRule="auto"/>
        <w:rPr>
          <w:rFonts w:ascii="Arial" w:hAnsi="Arial" w:cs="Arial"/>
          <w:spacing w:val="-3"/>
          <w:sz w:val="24"/>
          <w:szCs w:val="24"/>
          <w:lang w:eastAsia="en-GB"/>
        </w:rPr>
      </w:pPr>
      <w:r w:rsidRPr="000C0171">
        <w:rPr>
          <w:rFonts w:ascii="Arial" w:hAnsi="Arial" w:cs="Arial"/>
          <w:spacing w:val="-3"/>
          <w:sz w:val="24"/>
          <w:szCs w:val="24"/>
          <w:lang w:eastAsia="en-GB"/>
        </w:rPr>
        <w:t>Traffic management is often necessary in order for</w:t>
      </w:r>
      <w:r w:rsidR="00FB4BE3">
        <w:rPr>
          <w:rFonts w:ascii="Arial" w:hAnsi="Arial" w:cs="Arial"/>
          <w:spacing w:val="-3"/>
          <w:sz w:val="24"/>
          <w:szCs w:val="24"/>
          <w:lang w:eastAsia="en-GB"/>
        </w:rPr>
        <w:t xml:space="preserve"> Internet Service Providers (ISP)</w:t>
      </w:r>
      <w:r w:rsidRPr="000C0171">
        <w:rPr>
          <w:rFonts w:ascii="Arial" w:hAnsi="Arial" w:cs="Arial"/>
          <w:spacing w:val="-3"/>
          <w:sz w:val="24"/>
          <w:szCs w:val="24"/>
          <w:lang w:eastAsia="en-GB"/>
        </w:rPr>
        <w:t xml:space="preserve"> to manage congestion on its network and ensure all users receive a good level of service.</w:t>
      </w:r>
      <w:r w:rsidR="00FB4BE3">
        <w:rPr>
          <w:rFonts w:ascii="Arial" w:hAnsi="Arial" w:cs="Arial"/>
          <w:spacing w:val="-3"/>
          <w:sz w:val="24"/>
          <w:szCs w:val="24"/>
          <w:lang w:eastAsia="en-GB"/>
        </w:rPr>
        <w:t xml:space="preserve">  HMG supports an open I</w:t>
      </w:r>
      <w:r w:rsidRPr="000C0171">
        <w:rPr>
          <w:rFonts w:ascii="Arial" w:hAnsi="Arial" w:cs="Arial"/>
          <w:spacing w:val="-3"/>
          <w:sz w:val="24"/>
          <w:szCs w:val="24"/>
          <w:lang w:eastAsia="en-GB"/>
        </w:rPr>
        <w:t xml:space="preserve">nternet, and to that end, agrees with the aims and objectives of the proposals.  However, </w:t>
      </w:r>
      <w:r w:rsidR="00FB4BE3">
        <w:rPr>
          <w:rFonts w:ascii="Arial" w:hAnsi="Arial" w:cs="Arial"/>
          <w:spacing w:val="-3"/>
          <w:sz w:val="24"/>
          <w:szCs w:val="24"/>
          <w:lang w:eastAsia="en-GB"/>
        </w:rPr>
        <w:t xml:space="preserve">HMG </w:t>
      </w:r>
      <w:r w:rsidRPr="000C0171">
        <w:rPr>
          <w:rFonts w:ascii="Arial" w:hAnsi="Arial" w:cs="Arial"/>
          <w:spacing w:val="-3"/>
          <w:sz w:val="24"/>
          <w:szCs w:val="24"/>
          <w:lang w:eastAsia="en-GB"/>
        </w:rPr>
        <w:t xml:space="preserve">believes that this can be achieved through self-regulation, and that transparency of traffic management policies employed by ISPs is the key driver for this.  There is no evidence to date of consumer harm caused by traffic management policies, as market forces have been effective in ensuring consumers have choice.  </w:t>
      </w:r>
    </w:p>
    <w:p w:rsidR="00ED1794" w:rsidRPr="00C57088" w:rsidRDefault="00ED1794" w:rsidP="000C0171">
      <w:pPr>
        <w:tabs>
          <w:tab w:val="left" w:pos="0"/>
        </w:tabs>
        <w:suppressAutoHyphens/>
        <w:spacing w:after="0" w:line="240" w:lineRule="auto"/>
        <w:rPr>
          <w:rFonts w:ascii="Arial" w:hAnsi="Arial" w:cs="Arial"/>
          <w:b/>
          <w:spacing w:val="-3"/>
          <w:sz w:val="24"/>
          <w:szCs w:val="24"/>
          <w:lang w:eastAsia="en-GB"/>
        </w:rPr>
      </w:pPr>
    </w:p>
    <w:p w:rsidR="008A50AC" w:rsidRPr="00D3138D" w:rsidRDefault="00D3138D" w:rsidP="00D3138D">
      <w:pPr>
        <w:numPr>
          <w:ilvl w:val="1"/>
          <w:numId w:val="9"/>
        </w:numPr>
        <w:tabs>
          <w:tab w:val="left" w:pos="0"/>
        </w:tabs>
        <w:suppressAutoHyphens/>
        <w:spacing w:after="0" w:line="240" w:lineRule="auto"/>
        <w:rPr>
          <w:rFonts w:ascii="Arial" w:hAnsi="Arial" w:cs="Arial"/>
          <w:spacing w:val="-3"/>
          <w:sz w:val="24"/>
          <w:szCs w:val="24"/>
          <w:lang w:eastAsia="en-GB"/>
        </w:rPr>
      </w:pPr>
      <w:r>
        <w:rPr>
          <w:rFonts w:ascii="Arial" w:hAnsi="Arial" w:cs="Arial"/>
          <w:spacing w:val="-3"/>
          <w:sz w:val="24"/>
          <w:szCs w:val="24"/>
          <w:lang w:eastAsia="en-GB"/>
        </w:rPr>
        <w:t>Regarding Quality of Service, s</w:t>
      </w:r>
      <w:r w:rsidR="000C0171" w:rsidRPr="000C0171">
        <w:rPr>
          <w:rFonts w:ascii="Arial" w:hAnsi="Arial" w:cs="Arial"/>
          <w:spacing w:val="-3"/>
          <w:sz w:val="24"/>
          <w:szCs w:val="24"/>
          <w:lang w:eastAsia="en-GB"/>
        </w:rPr>
        <w:t>pecialised services are not prevalent in the UK market currently, although these are developing.  We have concerns with the current proposals, as whilst the type of traffic management described is technically feasible, as yet there are no agreed standards and we have con</w:t>
      </w:r>
      <w:r w:rsidR="00EE23DA">
        <w:rPr>
          <w:rFonts w:ascii="Arial" w:hAnsi="Arial" w:cs="Arial"/>
          <w:spacing w:val="-3"/>
          <w:sz w:val="24"/>
          <w:szCs w:val="24"/>
          <w:lang w:eastAsia="en-GB"/>
        </w:rPr>
        <w:t>cerns that the Commission</w:t>
      </w:r>
      <w:r w:rsidR="000C0171" w:rsidRPr="000C0171">
        <w:rPr>
          <w:rFonts w:ascii="Arial" w:hAnsi="Arial" w:cs="Arial"/>
          <w:spacing w:val="-3"/>
          <w:sz w:val="24"/>
          <w:szCs w:val="24"/>
          <w:lang w:eastAsia="en-GB"/>
        </w:rPr>
        <w:t xml:space="preserve"> are proposing to regulate in this area until there is an evidence of need or a</w:t>
      </w:r>
      <w:r>
        <w:rPr>
          <w:rFonts w:ascii="Arial" w:hAnsi="Arial" w:cs="Arial"/>
          <w:spacing w:val="-3"/>
          <w:sz w:val="24"/>
          <w:szCs w:val="24"/>
          <w:lang w:eastAsia="en-GB"/>
        </w:rPr>
        <w:t>greed technical standards.</w:t>
      </w:r>
    </w:p>
    <w:p w:rsidR="008A50AC" w:rsidRDefault="008A50AC" w:rsidP="00DF2F86">
      <w:pPr>
        <w:tabs>
          <w:tab w:val="left" w:pos="0"/>
        </w:tabs>
        <w:suppressAutoHyphens/>
        <w:spacing w:after="0" w:line="240" w:lineRule="auto"/>
        <w:rPr>
          <w:rFonts w:ascii="Arial" w:hAnsi="Arial" w:cs="Arial"/>
          <w:b/>
          <w:bCs/>
          <w:spacing w:val="-3"/>
          <w:sz w:val="24"/>
          <w:szCs w:val="24"/>
          <w:lang w:eastAsia="en-GB"/>
        </w:rPr>
      </w:pPr>
    </w:p>
    <w:p w:rsidR="008A50AC" w:rsidRDefault="008A50AC" w:rsidP="00DF2F86">
      <w:pPr>
        <w:tabs>
          <w:tab w:val="left" w:pos="0"/>
        </w:tabs>
        <w:suppressAutoHyphens/>
        <w:spacing w:after="0" w:line="240" w:lineRule="auto"/>
        <w:rPr>
          <w:rFonts w:ascii="Arial" w:hAnsi="Arial" w:cs="Arial"/>
          <w:b/>
          <w:bCs/>
          <w:spacing w:val="-3"/>
          <w:sz w:val="24"/>
          <w:szCs w:val="24"/>
          <w:lang w:eastAsia="en-GB"/>
        </w:rPr>
      </w:pPr>
      <w:r w:rsidRPr="00106683">
        <w:rPr>
          <w:rFonts w:ascii="Arial" w:hAnsi="Arial" w:cs="Arial"/>
          <w:b/>
          <w:bCs/>
          <w:spacing w:val="-3"/>
          <w:sz w:val="24"/>
          <w:szCs w:val="24"/>
          <w:lang w:eastAsia="en-GB"/>
        </w:rPr>
        <w:t>Information Requirements for Contracts (Chapter IV – Article  26)</w:t>
      </w:r>
    </w:p>
    <w:p w:rsidR="008A50AC" w:rsidRDefault="008A50AC" w:rsidP="00DF2F86">
      <w:pPr>
        <w:tabs>
          <w:tab w:val="left" w:pos="0"/>
        </w:tabs>
        <w:suppressAutoHyphens/>
        <w:spacing w:after="0" w:line="240" w:lineRule="auto"/>
        <w:rPr>
          <w:rFonts w:ascii="Arial" w:hAnsi="Arial" w:cs="Arial"/>
          <w:b/>
          <w:bCs/>
          <w:spacing w:val="-3"/>
          <w:sz w:val="24"/>
          <w:szCs w:val="24"/>
          <w:lang w:eastAsia="en-GB"/>
        </w:rPr>
      </w:pPr>
    </w:p>
    <w:p w:rsidR="00D91AA9" w:rsidRPr="009E0751" w:rsidRDefault="008A50AC" w:rsidP="00D91AA9">
      <w:pPr>
        <w:numPr>
          <w:ilvl w:val="1"/>
          <w:numId w:val="9"/>
        </w:numPr>
        <w:tabs>
          <w:tab w:val="left" w:pos="0"/>
        </w:tabs>
        <w:suppressAutoHyphens/>
        <w:spacing w:after="0" w:line="240" w:lineRule="auto"/>
        <w:rPr>
          <w:rFonts w:ascii="Arial" w:hAnsi="Arial" w:cs="Arial"/>
          <w:bCs/>
          <w:spacing w:val="-3"/>
          <w:sz w:val="24"/>
          <w:szCs w:val="24"/>
          <w:lang w:eastAsia="en-GB"/>
        </w:rPr>
      </w:pPr>
      <w:r>
        <w:rPr>
          <w:rFonts w:ascii="Arial" w:hAnsi="Arial" w:cs="Arial"/>
          <w:b/>
          <w:bCs/>
          <w:spacing w:val="-3"/>
          <w:sz w:val="24"/>
          <w:szCs w:val="24"/>
          <w:lang w:eastAsia="en-GB"/>
        </w:rPr>
        <w:t xml:space="preserve"> </w:t>
      </w:r>
      <w:r w:rsidR="00D91AA9" w:rsidRPr="009E0751">
        <w:rPr>
          <w:rFonts w:ascii="Arial" w:hAnsi="Arial" w:cs="Arial"/>
          <w:bCs/>
          <w:spacing w:val="-3"/>
          <w:sz w:val="24"/>
          <w:szCs w:val="24"/>
          <w:lang w:eastAsia="en-GB"/>
        </w:rPr>
        <w:t>The Consumer Rights Directive</w:t>
      </w:r>
      <w:r w:rsidR="009E0751">
        <w:rPr>
          <w:rFonts w:ascii="Arial" w:hAnsi="Arial" w:cs="Arial"/>
          <w:bCs/>
          <w:spacing w:val="-3"/>
          <w:sz w:val="24"/>
          <w:szCs w:val="24"/>
          <w:lang w:eastAsia="en-GB"/>
        </w:rPr>
        <w:t xml:space="preserve"> (CRD)</w:t>
      </w:r>
      <w:r w:rsidR="00D91AA9" w:rsidRPr="009E0751">
        <w:rPr>
          <w:rFonts w:ascii="Arial" w:hAnsi="Arial" w:cs="Arial"/>
          <w:bCs/>
          <w:spacing w:val="-3"/>
          <w:sz w:val="24"/>
          <w:szCs w:val="24"/>
          <w:lang w:eastAsia="en-GB"/>
        </w:rPr>
        <w:t xml:space="preserve"> currently seeks to provide clarity and consistency in terms of information </w:t>
      </w:r>
      <w:r w:rsidR="009E0751">
        <w:rPr>
          <w:rFonts w:ascii="Arial" w:hAnsi="Arial" w:cs="Arial"/>
          <w:bCs/>
          <w:spacing w:val="-3"/>
          <w:sz w:val="24"/>
          <w:szCs w:val="24"/>
          <w:lang w:eastAsia="en-GB"/>
        </w:rPr>
        <w:t>to be provided to consumers and</w:t>
      </w:r>
      <w:r w:rsidR="00D91AA9" w:rsidRPr="009E0751">
        <w:rPr>
          <w:rFonts w:ascii="Arial" w:hAnsi="Arial" w:cs="Arial"/>
          <w:bCs/>
          <w:spacing w:val="-3"/>
          <w:sz w:val="24"/>
          <w:szCs w:val="24"/>
          <w:lang w:eastAsia="en-GB"/>
        </w:rPr>
        <w:t xml:space="preserve"> the available rights and remedies where the services are not satisfactory or problematic. </w:t>
      </w:r>
    </w:p>
    <w:p w:rsidR="009E0751" w:rsidRPr="00D91AA9" w:rsidRDefault="009E0751" w:rsidP="009E0751">
      <w:pPr>
        <w:tabs>
          <w:tab w:val="left" w:pos="0"/>
        </w:tabs>
        <w:suppressAutoHyphens/>
        <w:spacing w:after="0" w:line="240" w:lineRule="auto"/>
        <w:rPr>
          <w:rFonts w:ascii="Arial" w:hAnsi="Arial" w:cs="Arial"/>
          <w:b/>
          <w:bCs/>
          <w:spacing w:val="-3"/>
          <w:sz w:val="24"/>
          <w:szCs w:val="24"/>
          <w:lang w:eastAsia="en-GB"/>
        </w:rPr>
      </w:pPr>
    </w:p>
    <w:p w:rsidR="009E0751" w:rsidRDefault="009E0751" w:rsidP="009E0751">
      <w:pPr>
        <w:numPr>
          <w:ilvl w:val="1"/>
          <w:numId w:val="9"/>
        </w:numPr>
        <w:tabs>
          <w:tab w:val="left" w:pos="0"/>
        </w:tabs>
        <w:suppressAutoHyphens/>
        <w:spacing w:after="0" w:line="240" w:lineRule="auto"/>
        <w:rPr>
          <w:rFonts w:ascii="Arial" w:hAnsi="Arial" w:cs="Arial"/>
          <w:spacing w:val="-3"/>
          <w:sz w:val="24"/>
          <w:szCs w:val="24"/>
          <w:lang w:eastAsia="en-GB"/>
        </w:rPr>
      </w:pPr>
      <w:r w:rsidRPr="009E0751">
        <w:rPr>
          <w:rFonts w:ascii="Arial" w:hAnsi="Arial" w:cs="Arial"/>
          <w:bCs/>
          <w:spacing w:val="-3"/>
          <w:sz w:val="24"/>
          <w:szCs w:val="24"/>
          <w:lang w:eastAsia="en-GB"/>
        </w:rPr>
        <w:t>That Directive also</w:t>
      </w:r>
      <w:r w:rsidR="00D91AA9" w:rsidRPr="009E0751">
        <w:rPr>
          <w:rFonts w:ascii="Arial" w:hAnsi="Arial" w:cs="Arial"/>
          <w:bCs/>
          <w:spacing w:val="-3"/>
          <w:sz w:val="24"/>
          <w:szCs w:val="24"/>
          <w:lang w:eastAsia="en-GB"/>
        </w:rPr>
        <w:t xml:space="preserve"> requires that the trader sets out the main characteristics</w:t>
      </w:r>
      <w:r w:rsidRPr="009E0751">
        <w:rPr>
          <w:rFonts w:ascii="Arial" w:hAnsi="Arial" w:cs="Arial"/>
          <w:bCs/>
          <w:spacing w:val="-3"/>
          <w:sz w:val="24"/>
          <w:szCs w:val="24"/>
          <w:lang w:eastAsia="en-GB"/>
        </w:rPr>
        <w:t>.  However, the proposed</w:t>
      </w:r>
      <w:r w:rsidR="00D91AA9" w:rsidRPr="009E0751">
        <w:rPr>
          <w:rFonts w:ascii="Arial" w:hAnsi="Arial" w:cs="Arial"/>
          <w:bCs/>
          <w:spacing w:val="-3"/>
          <w:sz w:val="24"/>
          <w:szCs w:val="24"/>
          <w:lang w:eastAsia="en-GB"/>
        </w:rPr>
        <w:t xml:space="preserve"> Regulation is prescriptive about what must be given.</w:t>
      </w:r>
      <w:r w:rsidRPr="009E0751">
        <w:rPr>
          <w:rFonts w:ascii="Arial" w:hAnsi="Arial" w:cs="Arial"/>
          <w:bCs/>
          <w:spacing w:val="-3"/>
          <w:sz w:val="24"/>
          <w:szCs w:val="24"/>
          <w:lang w:eastAsia="en-GB"/>
        </w:rPr>
        <w:t xml:space="preserve"> Further, the</w:t>
      </w:r>
      <w:r w:rsidR="00D91AA9" w:rsidRPr="009E0751">
        <w:rPr>
          <w:rFonts w:ascii="Arial" w:hAnsi="Arial" w:cs="Arial"/>
          <w:bCs/>
          <w:spacing w:val="-3"/>
          <w:sz w:val="24"/>
          <w:szCs w:val="24"/>
          <w:lang w:eastAsia="en-GB"/>
        </w:rPr>
        <w:t xml:space="preserve"> CRD is still being implemented so this raises the question of whether such a prescriptive approach is needed at this stage.</w:t>
      </w:r>
    </w:p>
    <w:p w:rsidR="009E0751" w:rsidRDefault="009E0751" w:rsidP="009E0751">
      <w:pPr>
        <w:tabs>
          <w:tab w:val="left" w:pos="0"/>
        </w:tabs>
        <w:suppressAutoHyphens/>
        <w:spacing w:after="0" w:line="240" w:lineRule="auto"/>
        <w:rPr>
          <w:rFonts w:ascii="Arial" w:hAnsi="Arial" w:cs="Arial"/>
          <w:spacing w:val="-3"/>
          <w:sz w:val="24"/>
          <w:szCs w:val="24"/>
          <w:lang w:eastAsia="en-GB"/>
        </w:rPr>
      </w:pPr>
    </w:p>
    <w:p w:rsidR="009E0751" w:rsidRPr="009E0751" w:rsidRDefault="009E0751" w:rsidP="009E0751">
      <w:pPr>
        <w:numPr>
          <w:ilvl w:val="1"/>
          <w:numId w:val="9"/>
        </w:numPr>
        <w:tabs>
          <w:tab w:val="left" w:pos="0"/>
        </w:tabs>
        <w:suppressAutoHyphens/>
        <w:spacing w:after="0" w:line="240" w:lineRule="auto"/>
        <w:rPr>
          <w:rFonts w:ascii="Arial" w:hAnsi="Arial" w:cs="Arial"/>
          <w:spacing w:val="-3"/>
          <w:sz w:val="24"/>
          <w:szCs w:val="24"/>
          <w:lang w:eastAsia="en-GB"/>
        </w:rPr>
      </w:pPr>
      <w:r>
        <w:rPr>
          <w:rFonts w:ascii="Arial" w:hAnsi="Arial" w:cs="Arial"/>
          <w:spacing w:val="-3"/>
          <w:sz w:val="24"/>
          <w:szCs w:val="24"/>
          <w:lang w:eastAsia="en-GB"/>
        </w:rPr>
        <w:t xml:space="preserve">As such, HMG fully supports the principle of consumers being enabled to make informed choices about goods and services and believes this is an indicator of a healthy and properly functioning market. However, HMG would seek to avoid onerous requirements being place on businesses and consumers being provided with information that is not relevant to their needs. </w:t>
      </w:r>
    </w:p>
    <w:p w:rsidR="008A50AC" w:rsidRDefault="008A50AC" w:rsidP="00101958">
      <w:pPr>
        <w:tabs>
          <w:tab w:val="left" w:pos="0"/>
        </w:tabs>
        <w:suppressAutoHyphens/>
        <w:spacing w:after="0" w:line="240" w:lineRule="auto"/>
        <w:rPr>
          <w:rFonts w:ascii="Arial" w:hAnsi="Arial" w:cs="Arial"/>
          <w:spacing w:val="-3"/>
          <w:sz w:val="24"/>
          <w:szCs w:val="24"/>
          <w:lang w:eastAsia="en-GB"/>
        </w:rPr>
      </w:pPr>
    </w:p>
    <w:p w:rsidR="008A50AC" w:rsidRDefault="008A50AC" w:rsidP="00101958">
      <w:pPr>
        <w:tabs>
          <w:tab w:val="left" w:pos="0"/>
        </w:tabs>
        <w:suppressAutoHyphens/>
        <w:spacing w:after="0" w:line="240" w:lineRule="auto"/>
        <w:rPr>
          <w:rFonts w:ascii="Arial" w:hAnsi="Arial" w:cs="Arial"/>
          <w:b/>
          <w:bCs/>
          <w:spacing w:val="-3"/>
          <w:sz w:val="24"/>
          <w:szCs w:val="24"/>
          <w:lang w:eastAsia="en-GB"/>
        </w:rPr>
      </w:pPr>
      <w:r w:rsidRPr="00106683">
        <w:rPr>
          <w:rFonts w:ascii="Arial" w:hAnsi="Arial" w:cs="Arial"/>
          <w:b/>
          <w:bCs/>
          <w:spacing w:val="-3"/>
          <w:sz w:val="24"/>
          <w:szCs w:val="24"/>
          <w:lang w:eastAsia="en-GB"/>
        </w:rPr>
        <w:t>Control of Consumption (Anti-Bill Shock Measures) (Chapter IV – Article 27)</w:t>
      </w:r>
    </w:p>
    <w:p w:rsidR="008A50AC" w:rsidRDefault="008A50AC" w:rsidP="00101958">
      <w:pPr>
        <w:tabs>
          <w:tab w:val="left" w:pos="0"/>
        </w:tabs>
        <w:suppressAutoHyphens/>
        <w:spacing w:after="0" w:line="240" w:lineRule="auto"/>
        <w:rPr>
          <w:rFonts w:ascii="Arial" w:hAnsi="Arial" w:cs="Arial"/>
          <w:b/>
          <w:bCs/>
          <w:spacing w:val="-3"/>
          <w:sz w:val="24"/>
          <w:szCs w:val="24"/>
          <w:lang w:eastAsia="en-GB"/>
        </w:rPr>
      </w:pPr>
    </w:p>
    <w:p w:rsidR="002B22BB" w:rsidRPr="002B22BB" w:rsidRDefault="008A50AC" w:rsidP="002B22BB">
      <w:pPr>
        <w:numPr>
          <w:ilvl w:val="1"/>
          <w:numId w:val="9"/>
        </w:numPr>
        <w:tabs>
          <w:tab w:val="left" w:pos="0"/>
        </w:tabs>
        <w:suppressAutoHyphens/>
        <w:spacing w:after="0" w:line="240" w:lineRule="auto"/>
        <w:rPr>
          <w:rFonts w:ascii="Arial" w:hAnsi="Arial" w:cs="Arial"/>
          <w:bCs/>
          <w:spacing w:val="-3"/>
          <w:sz w:val="24"/>
          <w:szCs w:val="24"/>
          <w:lang w:eastAsia="en-GB"/>
        </w:rPr>
      </w:pPr>
      <w:r>
        <w:rPr>
          <w:rFonts w:ascii="Arial" w:hAnsi="Arial" w:cs="Arial"/>
          <w:b/>
          <w:bCs/>
          <w:spacing w:val="-3"/>
          <w:sz w:val="24"/>
          <w:szCs w:val="24"/>
          <w:lang w:eastAsia="en-GB"/>
        </w:rPr>
        <w:t xml:space="preserve"> </w:t>
      </w:r>
      <w:r w:rsidR="002B22BB" w:rsidRPr="002B22BB">
        <w:rPr>
          <w:rFonts w:ascii="Arial" w:hAnsi="Arial" w:cs="Arial"/>
          <w:bCs/>
          <w:spacing w:val="-3"/>
          <w:sz w:val="24"/>
          <w:szCs w:val="24"/>
          <w:lang w:eastAsia="en-GB"/>
        </w:rPr>
        <w:t>Following publication of its strategy paper</w:t>
      </w:r>
      <w:r w:rsidR="00D91AA9">
        <w:rPr>
          <w:rStyle w:val="FootnoteReference"/>
          <w:rFonts w:ascii="Arial" w:hAnsi="Arial" w:cs="Arial"/>
          <w:bCs/>
          <w:spacing w:val="-3"/>
          <w:sz w:val="24"/>
          <w:szCs w:val="24"/>
          <w:lang w:eastAsia="en-GB"/>
        </w:rPr>
        <w:footnoteReference w:id="2"/>
      </w:r>
      <w:r w:rsidR="00BC5A5F">
        <w:rPr>
          <w:rFonts w:ascii="Arial" w:hAnsi="Arial" w:cs="Arial"/>
          <w:bCs/>
          <w:spacing w:val="-3"/>
          <w:sz w:val="24"/>
          <w:szCs w:val="24"/>
          <w:lang w:eastAsia="en-GB"/>
        </w:rPr>
        <w:t xml:space="preserve">, HMG </w:t>
      </w:r>
      <w:r w:rsidR="002B22BB" w:rsidRPr="002B22BB">
        <w:rPr>
          <w:rFonts w:ascii="Arial" w:hAnsi="Arial" w:cs="Arial"/>
          <w:bCs/>
          <w:spacing w:val="-3"/>
          <w:sz w:val="24"/>
          <w:szCs w:val="24"/>
          <w:lang w:eastAsia="en-GB"/>
        </w:rPr>
        <w:t xml:space="preserve">has, at this stage, opted not to legislate to require telecommunications providers to reduce the instances and impact of bill shock on consumers. However, we are very keen to see industry do more to prevent this increasing harm. </w:t>
      </w:r>
    </w:p>
    <w:p w:rsidR="002B22BB" w:rsidRPr="002B22BB" w:rsidRDefault="002B22BB" w:rsidP="002B22BB">
      <w:pPr>
        <w:tabs>
          <w:tab w:val="left" w:pos="0"/>
        </w:tabs>
        <w:suppressAutoHyphens/>
        <w:spacing w:after="0" w:line="240" w:lineRule="auto"/>
        <w:rPr>
          <w:rFonts w:ascii="Arial" w:hAnsi="Arial" w:cs="Arial"/>
          <w:bCs/>
          <w:spacing w:val="-3"/>
          <w:sz w:val="24"/>
          <w:szCs w:val="24"/>
          <w:lang w:eastAsia="en-GB"/>
        </w:rPr>
      </w:pPr>
    </w:p>
    <w:p w:rsidR="008A50AC" w:rsidRDefault="008A50AC" w:rsidP="00101958">
      <w:pPr>
        <w:tabs>
          <w:tab w:val="left" w:pos="0"/>
        </w:tabs>
        <w:suppressAutoHyphens/>
        <w:spacing w:after="0" w:line="240" w:lineRule="auto"/>
        <w:rPr>
          <w:rFonts w:ascii="Arial" w:hAnsi="Arial" w:cs="Arial"/>
          <w:b/>
          <w:bCs/>
          <w:spacing w:val="-3"/>
          <w:sz w:val="24"/>
          <w:szCs w:val="24"/>
          <w:lang w:eastAsia="en-GB"/>
        </w:rPr>
      </w:pPr>
      <w:r w:rsidRPr="00106683">
        <w:rPr>
          <w:rFonts w:ascii="Arial" w:hAnsi="Arial" w:cs="Arial"/>
          <w:b/>
          <w:bCs/>
          <w:spacing w:val="-3"/>
          <w:sz w:val="24"/>
          <w:szCs w:val="24"/>
          <w:lang w:eastAsia="en-GB"/>
        </w:rPr>
        <w:t>Contract Termination (Chapter IV – Article 28)</w:t>
      </w:r>
    </w:p>
    <w:p w:rsidR="00FB4BE3" w:rsidRPr="00FB4BE3" w:rsidRDefault="00FB4BE3" w:rsidP="00FB4BE3">
      <w:pPr>
        <w:tabs>
          <w:tab w:val="left" w:pos="0"/>
        </w:tabs>
        <w:suppressAutoHyphens/>
        <w:spacing w:after="0" w:line="240" w:lineRule="auto"/>
        <w:rPr>
          <w:rFonts w:ascii="Arial" w:hAnsi="Arial" w:cs="Arial"/>
          <w:b/>
          <w:bCs/>
          <w:spacing w:val="-3"/>
          <w:sz w:val="24"/>
          <w:szCs w:val="24"/>
          <w:lang w:eastAsia="en-GB"/>
        </w:rPr>
      </w:pPr>
    </w:p>
    <w:p w:rsidR="00E47342" w:rsidRDefault="00E47342" w:rsidP="00E47342">
      <w:pPr>
        <w:pStyle w:val="ListParagraph"/>
        <w:numPr>
          <w:ilvl w:val="1"/>
          <w:numId w:val="9"/>
        </w:numPr>
        <w:tabs>
          <w:tab w:val="left" w:pos="0"/>
        </w:tabs>
        <w:suppressAutoHyphens/>
        <w:spacing w:after="0" w:line="240" w:lineRule="auto"/>
        <w:rPr>
          <w:rFonts w:ascii="Arial" w:hAnsi="Arial" w:cs="Arial"/>
          <w:spacing w:val="-3"/>
          <w:sz w:val="24"/>
          <w:szCs w:val="24"/>
          <w:lang w:eastAsia="en-GB"/>
        </w:rPr>
      </w:pPr>
      <w:r>
        <w:rPr>
          <w:rFonts w:ascii="Arial" w:hAnsi="Arial" w:cs="Arial"/>
          <w:spacing w:val="-3"/>
          <w:sz w:val="24"/>
          <w:szCs w:val="24"/>
          <w:lang w:eastAsia="en-GB"/>
        </w:rPr>
        <w:lastRenderedPageBreak/>
        <w:t xml:space="preserve"> The proposals are</w:t>
      </w:r>
      <w:r w:rsidRPr="00E47342">
        <w:rPr>
          <w:rFonts w:ascii="Arial" w:hAnsi="Arial" w:cs="Arial"/>
          <w:spacing w:val="-3"/>
          <w:sz w:val="24"/>
          <w:szCs w:val="24"/>
          <w:lang w:eastAsia="en-GB"/>
        </w:rPr>
        <w:t xml:space="preserve"> in line with the Unfair Terms in Consumer Contracts D</w:t>
      </w:r>
      <w:r>
        <w:rPr>
          <w:rFonts w:ascii="Arial" w:hAnsi="Arial" w:cs="Arial"/>
          <w:spacing w:val="-3"/>
          <w:sz w:val="24"/>
          <w:szCs w:val="24"/>
          <w:lang w:eastAsia="en-GB"/>
        </w:rPr>
        <w:t xml:space="preserve">irective (CRD) , but are more detailed in nature.  </w:t>
      </w:r>
      <w:r w:rsidRPr="00E47342">
        <w:rPr>
          <w:rFonts w:ascii="Arial" w:hAnsi="Arial" w:cs="Arial"/>
          <w:spacing w:val="-3"/>
          <w:sz w:val="24"/>
          <w:szCs w:val="24"/>
          <w:lang w:eastAsia="en-GB"/>
        </w:rPr>
        <w:t>As such, the proposed text would effectively set out in legislation the principles of the CRD that binds the service provider to the quality of the services advertised.</w:t>
      </w:r>
    </w:p>
    <w:p w:rsidR="00E47342" w:rsidRPr="00E47342" w:rsidRDefault="00E47342" w:rsidP="00E47342">
      <w:pPr>
        <w:tabs>
          <w:tab w:val="left" w:pos="0"/>
        </w:tabs>
        <w:suppressAutoHyphens/>
        <w:spacing w:after="0" w:line="240" w:lineRule="auto"/>
        <w:rPr>
          <w:rFonts w:ascii="Arial" w:hAnsi="Arial" w:cs="Arial"/>
          <w:spacing w:val="-3"/>
          <w:sz w:val="24"/>
          <w:szCs w:val="24"/>
          <w:lang w:eastAsia="en-GB"/>
        </w:rPr>
      </w:pPr>
    </w:p>
    <w:p w:rsidR="008A50AC" w:rsidRPr="00E30D4A" w:rsidRDefault="00E47342" w:rsidP="00E47342">
      <w:pPr>
        <w:pStyle w:val="ListParagraph"/>
        <w:numPr>
          <w:ilvl w:val="1"/>
          <w:numId w:val="9"/>
        </w:numPr>
        <w:tabs>
          <w:tab w:val="left" w:pos="0"/>
        </w:tabs>
        <w:suppressAutoHyphens/>
        <w:spacing w:after="0" w:line="240" w:lineRule="auto"/>
        <w:rPr>
          <w:rFonts w:ascii="Arial" w:hAnsi="Arial" w:cs="Arial"/>
          <w:b/>
          <w:bCs/>
          <w:spacing w:val="-3"/>
          <w:sz w:val="24"/>
          <w:szCs w:val="24"/>
          <w:lang w:eastAsia="en-GB"/>
        </w:rPr>
      </w:pPr>
      <w:r>
        <w:rPr>
          <w:rFonts w:ascii="Arial" w:hAnsi="Arial" w:cs="Arial"/>
          <w:spacing w:val="-3"/>
          <w:sz w:val="24"/>
          <w:szCs w:val="24"/>
          <w:lang w:eastAsia="en-GB"/>
        </w:rPr>
        <w:t>Whilst HMG supports the principle behind the proposal, it may be necessary to examine the interplay b</w:t>
      </w:r>
      <w:r w:rsidR="00967EC5">
        <w:rPr>
          <w:rFonts w:ascii="Arial" w:hAnsi="Arial" w:cs="Arial"/>
          <w:spacing w:val="-3"/>
          <w:sz w:val="24"/>
          <w:szCs w:val="24"/>
          <w:lang w:eastAsia="en-GB"/>
        </w:rPr>
        <w:t>etween the proposal and the CRD before full support can be given.</w:t>
      </w:r>
    </w:p>
    <w:p w:rsidR="008A50AC" w:rsidRPr="00E30D4A" w:rsidRDefault="008A50AC" w:rsidP="00E30D4A">
      <w:pPr>
        <w:tabs>
          <w:tab w:val="left" w:pos="0"/>
        </w:tabs>
        <w:suppressAutoHyphens/>
        <w:spacing w:after="0" w:line="240" w:lineRule="auto"/>
        <w:rPr>
          <w:rFonts w:ascii="Arial" w:hAnsi="Arial" w:cs="Arial"/>
          <w:b/>
          <w:bCs/>
          <w:spacing w:val="-3"/>
          <w:sz w:val="24"/>
          <w:szCs w:val="24"/>
          <w:lang w:eastAsia="en-GB"/>
        </w:rPr>
      </w:pPr>
    </w:p>
    <w:p w:rsidR="008A50AC" w:rsidRDefault="008A50AC" w:rsidP="00101958">
      <w:pPr>
        <w:tabs>
          <w:tab w:val="left" w:pos="0"/>
        </w:tabs>
        <w:suppressAutoHyphens/>
        <w:spacing w:after="0" w:line="240" w:lineRule="auto"/>
        <w:rPr>
          <w:rFonts w:ascii="Arial" w:hAnsi="Arial" w:cs="Arial"/>
          <w:b/>
          <w:bCs/>
          <w:spacing w:val="-3"/>
          <w:sz w:val="24"/>
          <w:szCs w:val="24"/>
          <w:lang w:eastAsia="en-GB"/>
        </w:rPr>
      </w:pPr>
      <w:r w:rsidRPr="00106683">
        <w:rPr>
          <w:rFonts w:ascii="Arial" w:hAnsi="Arial" w:cs="Arial"/>
          <w:b/>
          <w:bCs/>
          <w:spacing w:val="-3"/>
          <w:sz w:val="24"/>
          <w:szCs w:val="24"/>
          <w:lang w:eastAsia="en-GB"/>
        </w:rPr>
        <w:t>Switching and Portability of Numbers (Chapter V – Article 30)</w:t>
      </w:r>
    </w:p>
    <w:p w:rsidR="008A50AC" w:rsidRDefault="008A50AC" w:rsidP="00101958">
      <w:pPr>
        <w:tabs>
          <w:tab w:val="left" w:pos="0"/>
        </w:tabs>
        <w:suppressAutoHyphens/>
        <w:spacing w:after="0" w:line="240" w:lineRule="auto"/>
        <w:rPr>
          <w:rFonts w:ascii="Arial" w:hAnsi="Arial" w:cs="Arial"/>
          <w:b/>
          <w:bCs/>
          <w:spacing w:val="-3"/>
          <w:sz w:val="24"/>
          <w:szCs w:val="24"/>
          <w:lang w:eastAsia="en-GB"/>
        </w:rPr>
      </w:pPr>
    </w:p>
    <w:p w:rsidR="00BC5A5F" w:rsidRPr="00BC5A5F" w:rsidRDefault="008A50AC" w:rsidP="00BC5A5F">
      <w:pPr>
        <w:numPr>
          <w:ilvl w:val="1"/>
          <w:numId w:val="9"/>
        </w:numPr>
        <w:tabs>
          <w:tab w:val="left" w:pos="0"/>
        </w:tabs>
        <w:suppressAutoHyphens/>
        <w:spacing w:after="0" w:line="240" w:lineRule="auto"/>
        <w:rPr>
          <w:rFonts w:ascii="Arial" w:hAnsi="Arial" w:cs="Arial"/>
          <w:b/>
          <w:bCs/>
          <w:spacing w:val="-3"/>
          <w:sz w:val="24"/>
          <w:szCs w:val="24"/>
          <w:lang w:eastAsia="en-GB"/>
        </w:rPr>
      </w:pPr>
      <w:r w:rsidRPr="00BC5A5F">
        <w:rPr>
          <w:rFonts w:ascii="Arial" w:hAnsi="Arial" w:cs="Arial"/>
          <w:bCs/>
          <w:spacing w:val="-3"/>
          <w:sz w:val="24"/>
          <w:szCs w:val="24"/>
          <w:lang w:eastAsia="en-GB"/>
        </w:rPr>
        <w:t xml:space="preserve"> </w:t>
      </w:r>
      <w:r w:rsidR="00BC5A5F" w:rsidRPr="00BC5A5F">
        <w:rPr>
          <w:rFonts w:ascii="Arial" w:hAnsi="Arial" w:cs="Arial"/>
          <w:bCs/>
          <w:spacing w:val="-3"/>
          <w:sz w:val="24"/>
          <w:szCs w:val="24"/>
          <w:lang w:eastAsia="en-GB"/>
        </w:rPr>
        <w:t>For the most part the proposals mirror existing mechanisms. However, Ar</w:t>
      </w:r>
      <w:r w:rsidR="00BC5A5F">
        <w:rPr>
          <w:rFonts w:ascii="Arial" w:hAnsi="Arial" w:cs="Arial"/>
          <w:bCs/>
          <w:spacing w:val="-3"/>
          <w:sz w:val="24"/>
          <w:szCs w:val="24"/>
          <w:lang w:eastAsia="en-GB"/>
        </w:rPr>
        <w:t>ticle 30 (4) of the proposed Regulation also proposes that</w:t>
      </w:r>
      <w:r w:rsidR="00BC5A5F" w:rsidRPr="00BC5A5F">
        <w:rPr>
          <w:rFonts w:ascii="Arial" w:hAnsi="Arial" w:cs="Arial"/>
          <w:bCs/>
          <w:spacing w:val="-3"/>
          <w:sz w:val="24"/>
          <w:szCs w:val="24"/>
          <w:lang w:eastAsia="en-GB"/>
        </w:rPr>
        <w:t xml:space="preserve"> “The receiving provider of electronic communications to the public shall lead the switching and porting process.” That is not how switching curren</w:t>
      </w:r>
      <w:r w:rsidR="00BC5A5F">
        <w:rPr>
          <w:rFonts w:ascii="Arial" w:hAnsi="Arial" w:cs="Arial"/>
          <w:bCs/>
          <w:spacing w:val="-3"/>
          <w:sz w:val="24"/>
          <w:szCs w:val="24"/>
          <w:lang w:eastAsia="en-GB"/>
        </w:rPr>
        <w:t xml:space="preserve">tly works universally in the UK, </w:t>
      </w:r>
      <w:r w:rsidR="00BC5A5F" w:rsidRPr="00BC5A5F">
        <w:rPr>
          <w:rFonts w:ascii="Arial" w:hAnsi="Arial" w:cs="Arial"/>
          <w:bCs/>
          <w:spacing w:val="-3"/>
          <w:sz w:val="24"/>
          <w:szCs w:val="24"/>
          <w:lang w:eastAsia="en-GB"/>
        </w:rPr>
        <w:t>and particularly not so in the mobile sector.</w:t>
      </w:r>
    </w:p>
    <w:p w:rsidR="00BC5A5F" w:rsidRPr="00BC5A5F" w:rsidRDefault="00BC5A5F" w:rsidP="00BC5A5F">
      <w:pPr>
        <w:tabs>
          <w:tab w:val="left" w:pos="0"/>
        </w:tabs>
        <w:suppressAutoHyphens/>
        <w:spacing w:after="0" w:line="240" w:lineRule="auto"/>
        <w:rPr>
          <w:rFonts w:ascii="Arial" w:hAnsi="Arial" w:cs="Arial"/>
          <w:b/>
          <w:bCs/>
          <w:spacing w:val="-3"/>
          <w:sz w:val="24"/>
          <w:szCs w:val="24"/>
          <w:lang w:eastAsia="en-GB"/>
        </w:rPr>
      </w:pPr>
    </w:p>
    <w:p w:rsidR="00BC5A5F" w:rsidRPr="00BC5A5F" w:rsidRDefault="00D91AA9" w:rsidP="00BC5A5F">
      <w:pPr>
        <w:numPr>
          <w:ilvl w:val="1"/>
          <w:numId w:val="9"/>
        </w:numPr>
        <w:tabs>
          <w:tab w:val="left" w:pos="0"/>
        </w:tabs>
        <w:suppressAutoHyphens/>
        <w:spacing w:after="0" w:line="240" w:lineRule="auto"/>
        <w:rPr>
          <w:rFonts w:ascii="Arial" w:hAnsi="Arial" w:cs="Arial"/>
          <w:bCs/>
          <w:spacing w:val="-3"/>
          <w:sz w:val="24"/>
          <w:szCs w:val="24"/>
          <w:lang w:eastAsia="en-GB"/>
        </w:rPr>
      </w:pPr>
      <w:r>
        <w:rPr>
          <w:rFonts w:ascii="Arial" w:hAnsi="Arial" w:cs="Arial"/>
          <w:bCs/>
          <w:spacing w:val="-3"/>
          <w:sz w:val="24"/>
          <w:szCs w:val="24"/>
          <w:lang w:eastAsia="en-GB"/>
        </w:rPr>
        <w:t>In its strategy paper</w:t>
      </w:r>
      <w:r>
        <w:rPr>
          <w:rStyle w:val="FootnoteReference"/>
          <w:rFonts w:ascii="Arial" w:hAnsi="Arial" w:cs="Arial"/>
          <w:bCs/>
          <w:spacing w:val="-3"/>
          <w:sz w:val="24"/>
          <w:szCs w:val="24"/>
          <w:lang w:eastAsia="en-GB"/>
        </w:rPr>
        <w:footnoteReference w:id="3"/>
      </w:r>
      <w:r>
        <w:rPr>
          <w:rFonts w:ascii="Arial" w:hAnsi="Arial" w:cs="Arial"/>
          <w:bCs/>
          <w:spacing w:val="-3"/>
          <w:sz w:val="24"/>
          <w:szCs w:val="24"/>
          <w:lang w:eastAsia="en-GB"/>
        </w:rPr>
        <w:t>,</w:t>
      </w:r>
      <w:r w:rsidR="00BC5A5F" w:rsidRPr="00BC5A5F">
        <w:rPr>
          <w:rFonts w:ascii="Arial" w:hAnsi="Arial" w:cs="Arial"/>
          <w:bCs/>
          <w:spacing w:val="-3"/>
          <w:sz w:val="24"/>
          <w:szCs w:val="24"/>
          <w:lang w:eastAsia="en-GB"/>
        </w:rPr>
        <w:t xml:space="preserve"> the Government set out its objectives to move to G</w:t>
      </w:r>
      <w:r w:rsidR="00BC5A5F">
        <w:rPr>
          <w:rFonts w:ascii="Arial" w:hAnsi="Arial" w:cs="Arial"/>
          <w:bCs/>
          <w:spacing w:val="-3"/>
          <w:sz w:val="24"/>
          <w:szCs w:val="24"/>
          <w:lang w:eastAsia="en-GB"/>
        </w:rPr>
        <w:t>aining Provider Led</w:t>
      </w:r>
      <w:r w:rsidR="00BC5A5F" w:rsidRPr="00BC5A5F">
        <w:rPr>
          <w:rFonts w:ascii="Arial" w:hAnsi="Arial" w:cs="Arial"/>
          <w:bCs/>
          <w:spacing w:val="-3"/>
          <w:sz w:val="24"/>
          <w:szCs w:val="24"/>
          <w:lang w:eastAsia="en-GB"/>
        </w:rPr>
        <w:t xml:space="preserve"> </w:t>
      </w:r>
      <w:r w:rsidR="00B907CF">
        <w:rPr>
          <w:rFonts w:ascii="Arial" w:hAnsi="Arial" w:cs="Arial"/>
          <w:bCs/>
          <w:spacing w:val="-3"/>
          <w:sz w:val="24"/>
          <w:szCs w:val="24"/>
          <w:lang w:eastAsia="en-GB"/>
        </w:rPr>
        <w:t xml:space="preserve">(GPL – the same as the </w:t>
      </w:r>
      <w:r>
        <w:rPr>
          <w:rFonts w:ascii="Arial" w:hAnsi="Arial" w:cs="Arial"/>
          <w:bCs/>
          <w:spacing w:val="-3"/>
          <w:sz w:val="24"/>
          <w:szCs w:val="24"/>
          <w:lang w:eastAsia="en-GB"/>
        </w:rPr>
        <w:t>‘</w:t>
      </w:r>
      <w:r w:rsidR="00B907CF">
        <w:rPr>
          <w:rFonts w:ascii="Arial" w:hAnsi="Arial" w:cs="Arial"/>
          <w:bCs/>
          <w:spacing w:val="-3"/>
          <w:sz w:val="24"/>
          <w:szCs w:val="24"/>
          <w:lang w:eastAsia="en-GB"/>
        </w:rPr>
        <w:t>receiving provider</w:t>
      </w:r>
      <w:r>
        <w:rPr>
          <w:rFonts w:ascii="Arial" w:hAnsi="Arial" w:cs="Arial"/>
          <w:bCs/>
          <w:spacing w:val="-3"/>
          <w:sz w:val="24"/>
          <w:szCs w:val="24"/>
          <w:lang w:eastAsia="en-GB"/>
        </w:rPr>
        <w:t>’ system</w:t>
      </w:r>
      <w:r w:rsidR="00B907CF">
        <w:rPr>
          <w:rFonts w:ascii="Arial" w:hAnsi="Arial" w:cs="Arial"/>
          <w:bCs/>
          <w:spacing w:val="-3"/>
          <w:sz w:val="24"/>
          <w:szCs w:val="24"/>
          <w:lang w:eastAsia="en-GB"/>
        </w:rPr>
        <w:t xml:space="preserve"> referenced in the Regulation) </w:t>
      </w:r>
      <w:r w:rsidR="00BC5A5F" w:rsidRPr="00BC5A5F">
        <w:rPr>
          <w:rFonts w:ascii="Arial" w:hAnsi="Arial" w:cs="Arial"/>
          <w:bCs/>
          <w:spacing w:val="-3"/>
          <w:sz w:val="24"/>
          <w:szCs w:val="24"/>
          <w:lang w:eastAsia="en-GB"/>
        </w:rPr>
        <w:t>processes for switching ‘across the board’, and to ensure consistent and effective experiences for consumers switching between bundles.</w:t>
      </w:r>
      <w:r w:rsidR="00BC5A5F">
        <w:rPr>
          <w:rFonts w:ascii="Arial" w:hAnsi="Arial" w:cs="Arial"/>
          <w:bCs/>
          <w:spacing w:val="-3"/>
          <w:sz w:val="24"/>
          <w:szCs w:val="24"/>
          <w:lang w:eastAsia="en-GB"/>
        </w:rPr>
        <w:t xml:space="preserve">  Further, </w:t>
      </w:r>
      <w:r w:rsidR="00BC5A5F" w:rsidRPr="00BC5A5F">
        <w:rPr>
          <w:rFonts w:ascii="Arial" w:hAnsi="Arial" w:cs="Arial"/>
          <w:bCs/>
          <w:spacing w:val="-3"/>
          <w:sz w:val="24"/>
          <w:szCs w:val="24"/>
          <w:lang w:eastAsia="en-GB"/>
        </w:rPr>
        <w:t>Ofcom undertook a strategic review of switching and porting in September 2010. This was aimed at identifying the key issues and problems with switching processes across fixed and mobile telecommunications, broadband and the pay TV sector. That review concluded “in principle, GPL systems are preferable to losing providing-led (LPL) systems when no legacy systems are in p</w:t>
      </w:r>
      <w:r w:rsidR="00B907CF">
        <w:rPr>
          <w:rFonts w:ascii="Arial" w:hAnsi="Arial" w:cs="Arial"/>
          <w:bCs/>
          <w:spacing w:val="-3"/>
          <w:sz w:val="24"/>
          <w:szCs w:val="24"/>
          <w:lang w:eastAsia="en-GB"/>
        </w:rPr>
        <w:t>lace”. However,</w:t>
      </w:r>
      <w:r w:rsidR="00BC5A5F" w:rsidRPr="00BC5A5F">
        <w:rPr>
          <w:rFonts w:ascii="Arial" w:hAnsi="Arial" w:cs="Arial"/>
          <w:bCs/>
          <w:spacing w:val="-3"/>
          <w:sz w:val="24"/>
          <w:szCs w:val="24"/>
          <w:lang w:eastAsia="en-GB"/>
        </w:rPr>
        <w:t xml:space="preserve"> switching and porting of mobile networks numbers is heavily dependent on legacy systems.</w:t>
      </w:r>
    </w:p>
    <w:p w:rsidR="00B907CF" w:rsidRPr="002C10EF" w:rsidRDefault="00BC5A5F" w:rsidP="00B907CF">
      <w:pPr>
        <w:tabs>
          <w:tab w:val="left" w:pos="0"/>
        </w:tabs>
        <w:suppressAutoHyphens/>
        <w:spacing w:after="0" w:line="240" w:lineRule="auto"/>
        <w:rPr>
          <w:rFonts w:ascii="Arial" w:hAnsi="Arial" w:cs="Arial"/>
          <w:b/>
          <w:bCs/>
          <w:spacing w:val="-3"/>
          <w:sz w:val="24"/>
          <w:szCs w:val="24"/>
          <w:lang w:eastAsia="en-GB"/>
        </w:rPr>
      </w:pPr>
      <w:r w:rsidRPr="00BC5A5F">
        <w:rPr>
          <w:rFonts w:ascii="Arial" w:hAnsi="Arial" w:cs="Arial"/>
          <w:b/>
          <w:bCs/>
          <w:spacing w:val="-3"/>
          <w:sz w:val="24"/>
          <w:szCs w:val="24"/>
          <w:lang w:eastAsia="en-GB"/>
        </w:rPr>
        <w:t xml:space="preserve"> </w:t>
      </w:r>
    </w:p>
    <w:p w:rsidR="00B907CF" w:rsidRPr="00B907CF" w:rsidRDefault="00B907CF" w:rsidP="00B907CF">
      <w:pPr>
        <w:numPr>
          <w:ilvl w:val="1"/>
          <w:numId w:val="9"/>
        </w:numPr>
        <w:tabs>
          <w:tab w:val="left" w:pos="0"/>
        </w:tabs>
        <w:suppressAutoHyphens/>
        <w:spacing w:after="0" w:line="240" w:lineRule="auto"/>
        <w:rPr>
          <w:rFonts w:ascii="Arial" w:hAnsi="Arial" w:cs="Arial"/>
          <w:bCs/>
          <w:spacing w:val="-3"/>
          <w:sz w:val="24"/>
          <w:szCs w:val="24"/>
          <w:lang w:eastAsia="en-GB"/>
        </w:rPr>
      </w:pPr>
      <w:r w:rsidRPr="00B907CF">
        <w:rPr>
          <w:rFonts w:ascii="Arial" w:hAnsi="Arial" w:cs="Arial"/>
          <w:bCs/>
          <w:spacing w:val="-3"/>
          <w:sz w:val="24"/>
          <w:szCs w:val="24"/>
          <w:lang w:eastAsia="en-GB"/>
        </w:rPr>
        <w:t>Therefore, HMG supports this proposal in principle but would seek to ensure that any changes do not disrupt our current plans for change nor i</w:t>
      </w:r>
      <w:r w:rsidR="00D91AA9">
        <w:rPr>
          <w:rFonts w:ascii="Arial" w:hAnsi="Arial" w:cs="Arial"/>
          <w:bCs/>
          <w:spacing w:val="-3"/>
          <w:sz w:val="24"/>
          <w:szCs w:val="24"/>
          <w:lang w:eastAsia="en-GB"/>
        </w:rPr>
        <w:t>ntroduce any further complexity or administrative burden.</w:t>
      </w:r>
    </w:p>
    <w:p w:rsidR="008A6FF8" w:rsidRDefault="008A6FF8" w:rsidP="00E30D4A">
      <w:pPr>
        <w:tabs>
          <w:tab w:val="left" w:pos="0"/>
        </w:tabs>
        <w:suppressAutoHyphens/>
        <w:spacing w:after="0" w:line="240" w:lineRule="auto"/>
        <w:rPr>
          <w:rFonts w:ascii="Arial" w:hAnsi="Arial" w:cs="Arial"/>
          <w:b/>
          <w:bCs/>
          <w:spacing w:val="-3"/>
          <w:sz w:val="24"/>
          <w:szCs w:val="24"/>
          <w:lang w:eastAsia="en-GB"/>
        </w:rPr>
      </w:pPr>
    </w:p>
    <w:p w:rsidR="00E30D4A" w:rsidRDefault="00E30D4A" w:rsidP="00E30D4A">
      <w:pPr>
        <w:tabs>
          <w:tab w:val="left" w:pos="0"/>
        </w:tabs>
        <w:suppressAutoHyphens/>
        <w:spacing w:after="0" w:line="240" w:lineRule="auto"/>
        <w:rPr>
          <w:rFonts w:ascii="Arial" w:hAnsi="Arial" w:cs="Arial"/>
          <w:b/>
          <w:bCs/>
          <w:spacing w:val="-3"/>
          <w:sz w:val="24"/>
          <w:szCs w:val="24"/>
          <w:lang w:eastAsia="en-GB"/>
        </w:rPr>
      </w:pPr>
      <w:r w:rsidRPr="00106683">
        <w:rPr>
          <w:rFonts w:ascii="Arial" w:hAnsi="Arial" w:cs="Arial"/>
          <w:b/>
          <w:bCs/>
          <w:spacing w:val="-3"/>
          <w:sz w:val="24"/>
          <w:szCs w:val="24"/>
          <w:lang w:eastAsia="en-GB"/>
        </w:rPr>
        <w:t>Market Analysis Procedures and Harmonisation (Chapter VI – Article 35)</w:t>
      </w:r>
    </w:p>
    <w:p w:rsidR="00E30D4A" w:rsidRDefault="00E30D4A" w:rsidP="00E30D4A">
      <w:pPr>
        <w:tabs>
          <w:tab w:val="left" w:pos="0"/>
        </w:tabs>
        <w:suppressAutoHyphens/>
        <w:spacing w:after="0" w:line="240" w:lineRule="auto"/>
        <w:rPr>
          <w:rFonts w:ascii="Arial" w:hAnsi="Arial" w:cs="Arial"/>
          <w:b/>
          <w:bCs/>
          <w:spacing w:val="-3"/>
          <w:sz w:val="24"/>
          <w:szCs w:val="24"/>
          <w:lang w:eastAsia="en-GB"/>
        </w:rPr>
      </w:pPr>
    </w:p>
    <w:p w:rsidR="00E30D4A" w:rsidRPr="0026472D" w:rsidRDefault="00FB4BE3" w:rsidP="00E30D4A">
      <w:pPr>
        <w:pStyle w:val="ListParagraph"/>
        <w:numPr>
          <w:ilvl w:val="1"/>
          <w:numId w:val="9"/>
        </w:numPr>
        <w:tabs>
          <w:tab w:val="left" w:pos="0"/>
        </w:tabs>
        <w:suppressAutoHyphens/>
        <w:spacing w:after="0" w:line="240" w:lineRule="auto"/>
        <w:rPr>
          <w:rFonts w:ascii="Arial" w:hAnsi="Arial" w:cs="Arial"/>
          <w:bCs/>
          <w:spacing w:val="-3"/>
          <w:sz w:val="24"/>
          <w:szCs w:val="24"/>
          <w:lang w:eastAsia="en-GB"/>
        </w:rPr>
      </w:pPr>
      <w:r>
        <w:rPr>
          <w:rFonts w:ascii="Arial" w:hAnsi="Arial" w:cs="Arial"/>
          <w:bCs/>
          <w:spacing w:val="-3"/>
          <w:sz w:val="24"/>
          <w:szCs w:val="24"/>
          <w:lang w:eastAsia="en-GB"/>
        </w:rPr>
        <w:t>Regarding market analysis procedures, the</w:t>
      </w:r>
      <w:r w:rsidR="00E30D4A" w:rsidRPr="0026472D">
        <w:rPr>
          <w:rFonts w:ascii="Arial" w:hAnsi="Arial" w:cs="Arial"/>
          <w:bCs/>
          <w:spacing w:val="-3"/>
          <w:sz w:val="24"/>
          <w:szCs w:val="24"/>
          <w:lang w:eastAsia="en-GB"/>
        </w:rPr>
        <w:t xml:space="preserve"> Commission is proposing to change the scope of the current </w:t>
      </w:r>
      <w:r>
        <w:rPr>
          <w:rFonts w:ascii="Arial" w:hAnsi="Arial" w:cs="Arial"/>
          <w:bCs/>
          <w:spacing w:val="-3"/>
          <w:sz w:val="24"/>
          <w:szCs w:val="24"/>
          <w:lang w:eastAsia="en-GB"/>
        </w:rPr>
        <w:t>‘</w:t>
      </w:r>
      <w:r w:rsidR="00E30D4A" w:rsidRPr="0026472D">
        <w:rPr>
          <w:rFonts w:ascii="Arial" w:hAnsi="Arial" w:cs="Arial"/>
          <w:bCs/>
          <w:spacing w:val="-3"/>
          <w:sz w:val="24"/>
          <w:szCs w:val="24"/>
          <w:lang w:eastAsia="en-GB"/>
        </w:rPr>
        <w:t>Three Criteria test</w:t>
      </w:r>
      <w:r>
        <w:rPr>
          <w:rFonts w:ascii="Arial" w:hAnsi="Arial" w:cs="Arial"/>
          <w:bCs/>
          <w:spacing w:val="-3"/>
          <w:sz w:val="24"/>
          <w:szCs w:val="24"/>
          <w:lang w:eastAsia="en-GB"/>
        </w:rPr>
        <w:t>’</w:t>
      </w:r>
      <w:r w:rsidR="00E30D4A" w:rsidRPr="0026472D">
        <w:rPr>
          <w:rFonts w:ascii="Arial" w:hAnsi="Arial" w:cs="Arial"/>
          <w:bCs/>
          <w:spacing w:val="-3"/>
          <w:sz w:val="24"/>
          <w:szCs w:val="24"/>
          <w:lang w:eastAsia="en-GB"/>
        </w:rPr>
        <w:t xml:space="preserve"> to include consideration of the global com</w:t>
      </w:r>
      <w:r w:rsidR="00E30D4A">
        <w:rPr>
          <w:rFonts w:ascii="Arial" w:hAnsi="Arial" w:cs="Arial"/>
          <w:bCs/>
          <w:spacing w:val="-3"/>
          <w:sz w:val="24"/>
          <w:szCs w:val="24"/>
          <w:lang w:eastAsia="en-GB"/>
        </w:rPr>
        <w:t xml:space="preserve">petitiveness of the EU economy.  However, this is </w:t>
      </w:r>
      <w:r>
        <w:rPr>
          <w:rFonts w:ascii="Arial" w:hAnsi="Arial" w:cs="Arial"/>
          <w:bCs/>
          <w:spacing w:val="-3"/>
          <w:sz w:val="24"/>
          <w:szCs w:val="24"/>
          <w:lang w:eastAsia="en-GB"/>
        </w:rPr>
        <w:t xml:space="preserve">currently </w:t>
      </w:r>
      <w:r w:rsidR="00E30D4A">
        <w:rPr>
          <w:rFonts w:ascii="Arial" w:hAnsi="Arial" w:cs="Arial"/>
          <w:bCs/>
          <w:spacing w:val="-3"/>
          <w:sz w:val="24"/>
          <w:szCs w:val="24"/>
          <w:lang w:eastAsia="en-GB"/>
        </w:rPr>
        <w:t>not a policy</w:t>
      </w:r>
      <w:r w:rsidR="00E30D4A" w:rsidRPr="0026472D">
        <w:rPr>
          <w:rFonts w:ascii="Arial" w:hAnsi="Arial" w:cs="Arial"/>
          <w:bCs/>
          <w:spacing w:val="-3"/>
          <w:sz w:val="24"/>
          <w:szCs w:val="24"/>
          <w:lang w:eastAsia="en-GB"/>
        </w:rPr>
        <w:t xml:space="preserve"> or regulat</w:t>
      </w:r>
      <w:r w:rsidR="00E30D4A">
        <w:rPr>
          <w:rFonts w:ascii="Arial" w:hAnsi="Arial" w:cs="Arial"/>
          <w:bCs/>
          <w:spacing w:val="-3"/>
          <w:sz w:val="24"/>
          <w:szCs w:val="24"/>
          <w:lang w:eastAsia="en-GB"/>
        </w:rPr>
        <w:t xml:space="preserve">ory objective of the </w:t>
      </w:r>
      <w:r>
        <w:rPr>
          <w:rFonts w:ascii="Arial" w:hAnsi="Arial" w:cs="Arial"/>
          <w:bCs/>
          <w:spacing w:val="-3"/>
          <w:sz w:val="24"/>
          <w:szCs w:val="24"/>
          <w:lang w:eastAsia="en-GB"/>
        </w:rPr>
        <w:t xml:space="preserve">current </w:t>
      </w:r>
      <w:r w:rsidR="00E30D4A">
        <w:rPr>
          <w:rFonts w:ascii="Arial" w:hAnsi="Arial" w:cs="Arial"/>
          <w:bCs/>
          <w:spacing w:val="-3"/>
          <w:sz w:val="24"/>
          <w:szCs w:val="24"/>
          <w:lang w:eastAsia="en-GB"/>
        </w:rPr>
        <w:t>Framework.  Nor is it a NRA duty</w:t>
      </w:r>
      <w:r w:rsidR="00967EC5">
        <w:rPr>
          <w:rFonts w:ascii="Arial" w:hAnsi="Arial" w:cs="Arial"/>
          <w:bCs/>
          <w:spacing w:val="-3"/>
          <w:sz w:val="24"/>
          <w:szCs w:val="24"/>
          <w:lang w:eastAsia="en-GB"/>
        </w:rPr>
        <w:t xml:space="preserve"> </w:t>
      </w:r>
      <w:r w:rsidR="002C10EF">
        <w:rPr>
          <w:rFonts w:ascii="Arial" w:hAnsi="Arial" w:cs="Arial"/>
          <w:bCs/>
          <w:spacing w:val="-3"/>
          <w:sz w:val="24"/>
          <w:szCs w:val="24"/>
          <w:lang w:eastAsia="en-GB"/>
        </w:rPr>
        <w:t xml:space="preserve">to </w:t>
      </w:r>
      <w:r w:rsidR="00967EC5">
        <w:rPr>
          <w:rFonts w:ascii="Arial" w:hAnsi="Arial" w:cs="Arial"/>
          <w:bCs/>
          <w:spacing w:val="-3"/>
          <w:sz w:val="24"/>
          <w:szCs w:val="24"/>
          <w:lang w:eastAsia="en-GB"/>
        </w:rPr>
        <w:t>ascertain</w:t>
      </w:r>
      <w:r w:rsidR="00E30D4A">
        <w:rPr>
          <w:rFonts w:ascii="Arial" w:hAnsi="Arial" w:cs="Arial"/>
          <w:bCs/>
          <w:spacing w:val="-3"/>
          <w:sz w:val="24"/>
          <w:szCs w:val="24"/>
          <w:lang w:eastAsia="en-GB"/>
        </w:rPr>
        <w:t xml:space="preserve"> how</w:t>
      </w:r>
      <w:r w:rsidR="00E30D4A" w:rsidRPr="0026472D">
        <w:rPr>
          <w:rFonts w:ascii="Arial" w:hAnsi="Arial" w:cs="Arial"/>
          <w:bCs/>
          <w:spacing w:val="-3"/>
          <w:sz w:val="24"/>
          <w:szCs w:val="24"/>
          <w:lang w:eastAsia="en-GB"/>
        </w:rPr>
        <w:t xml:space="preserve"> the</w:t>
      </w:r>
      <w:r>
        <w:rPr>
          <w:rFonts w:ascii="Arial" w:hAnsi="Arial" w:cs="Arial"/>
          <w:bCs/>
          <w:spacing w:val="-3"/>
          <w:sz w:val="24"/>
          <w:szCs w:val="24"/>
          <w:lang w:eastAsia="en-GB"/>
        </w:rPr>
        <w:t xml:space="preserve"> Three Criteria test is applied</w:t>
      </w:r>
      <w:r w:rsidR="00E30D4A" w:rsidRPr="0026472D">
        <w:rPr>
          <w:rFonts w:ascii="Arial" w:hAnsi="Arial" w:cs="Arial"/>
          <w:bCs/>
          <w:spacing w:val="-3"/>
          <w:sz w:val="24"/>
          <w:szCs w:val="24"/>
          <w:lang w:eastAsia="en-GB"/>
        </w:rPr>
        <w:t xml:space="preserve"> and would therefore represent a fundamental change of direction of the Framework. </w:t>
      </w:r>
    </w:p>
    <w:p w:rsidR="00E30D4A" w:rsidRPr="0026472D" w:rsidRDefault="00E30D4A" w:rsidP="00E30D4A">
      <w:pPr>
        <w:tabs>
          <w:tab w:val="left" w:pos="0"/>
        </w:tabs>
        <w:suppressAutoHyphens/>
        <w:spacing w:after="0" w:line="240" w:lineRule="auto"/>
        <w:rPr>
          <w:rFonts w:ascii="Arial" w:hAnsi="Arial" w:cs="Arial"/>
          <w:bCs/>
          <w:spacing w:val="-3"/>
          <w:sz w:val="24"/>
          <w:szCs w:val="24"/>
          <w:lang w:eastAsia="en-GB"/>
        </w:rPr>
      </w:pPr>
    </w:p>
    <w:p w:rsidR="00FB4BE3" w:rsidRDefault="00E30D4A" w:rsidP="00FB4BE3">
      <w:pPr>
        <w:pStyle w:val="ListParagraph"/>
        <w:numPr>
          <w:ilvl w:val="1"/>
          <w:numId w:val="9"/>
        </w:numPr>
        <w:tabs>
          <w:tab w:val="left" w:pos="0"/>
        </w:tabs>
        <w:suppressAutoHyphens/>
        <w:spacing w:after="0" w:line="240" w:lineRule="auto"/>
        <w:rPr>
          <w:rFonts w:ascii="Arial" w:hAnsi="Arial" w:cs="Arial"/>
          <w:bCs/>
          <w:spacing w:val="-3"/>
          <w:sz w:val="24"/>
          <w:szCs w:val="24"/>
          <w:lang w:eastAsia="en-GB"/>
        </w:rPr>
      </w:pPr>
      <w:r>
        <w:rPr>
          <w:rFonts w:ascii="Arial" w:hAnsi="Arial" w:cs="Arial"/>
          <w:bCs/>
          <w:spacing w:val="-3"/>
          <w:sz w:val="24"/>
          <w:szCs w:val="24"/>
          <w:lang w:eastAsia="en-GB"/>
        </w:rPr>
        <w:t>HMG</w:t>
      </w:r>
      <w:r w:rsidRPr="0026472D">
        <w:rPr>
          <w:rFonts w:ascii="Arial" w:hAnsi="Arial" w:cs="Arial"/>
          <w:bCs/>
          <w:spacing w:val="-3"/>
          <w:sz w:val="24"/>
          <w:szCs w:val="24"/>
          <w:lang w:eastAsia="en-GB"/>
        </w:rPr>
        <w:t xml:space="preserve"> believes that, at the least, this proposal requires full discussion; though ideally it would be removed and the issue saved for the next review of the Framework as a whole.</w:t>
      </w:r>
    </w:p>
    <w:p w:rsidR="00FB4BE3" w:rsidRPr="00FB4BE3" w:rsidRDefault="00FB4BE3" w:rsidP="00FB4BE3">
      <w:pPr>
        <w:tabs>
          <w:tab w:val="left" w:pos="0"/>
        </w:tabs>
        <w:suppressAutoHyphens/>
        <w:spacing w:after="0" w:line="240" w:lineRule="auto"/>
        <w:rPr>
          <w:rFonts w:ascii="Arial" w:hAnsi="Arial" w:cs="Arial"/>
          <w:bCs/>
          <w:spacing w:val="-3"/>
          <w:sz w:val="24"/>
          <w:szCs w:val="24"/>
          <w:lang w:eastAsia="en-GB"/>
        </w:rPr>
      </w:pPr>
    </w:p>
    <w:p w:rsidR="008A50AC" w:rsidRPr="001A2419" w:rsidRDefault="008A50AC" w:rsidP="00E30D4A">
      <w:pPr>
        <w:pStyle w:val="NormalWeb"/>
        <w:shd w:val="clear" w:color="auto" w:fill="FEFAEB"/>
        <w:ind w:left="0"/>
        <w:rPr>
          <w:rFonts w:ascii="Arial" w:hAnsi="Arial" w:cs="Arial"/>
          <w:b/>
          <w:bCs/>
          <w:spacing w:val="-3"/>
          <w:sz w:val="24"/>
          <w:szCs w:val="24"/>
        </w:rPr>
      </w:pPr>
      <w:r w:rsidRPr="00106683">
        <w:rPr>
          <w:rFonts w:ascii="Arial" w:hAnsi="Arial" w:cs="Arial"/>
          <w:b/>
          <w:bCs/>
          <w:spacing w:val="-3"/>
          <w:sz w:val="24"/>
          <w:szCs w:val="24"/>
        </w:rPr>
        <w:lastRenderedPageBreak/>
        <w:t>Amendments to Regulation (EU) No 531/2102 – the third EU Mobile Roaming Regulation (Chapter VI – Article 37)</w:t>
      </w:r>
    </w:p>
    <w:p w:rsidR="008A50AC" w:rsidRDefault="006F3092" w:rsidP="006F3092">
      <w:pPr>
        <w:pStyle w:val="NormalWeb"/>
        <w:numPr>
          <w:ilvl w:val="1"/>
          <w:numId w:val="9"/>
        </w:numPr>
        <w:shd w:val="clear" w:color="auto" w:fill="FEFAEB"/>
        <w:rPr>
          <w:rFonts w:ascii="Arial" w:hAnsi="Arial" w:cs="Arial"/>
          <w:bCs/>
          <w:spacing w:val="-3"/>
          <w:sz w:val="24"/>
          <w:szCs w:val="24"/>
        </w:rPr>
      </w:pPr>
      <w:r>
        <w:rPr>
          <w:rFonts w:ascii="Arial" w:hAnsi="Arial" w:cs="Arial"/>
          <w:bCs/>
          <w:spacing w:val="-3"/>
          <w:sz w:val="24"/>
          <w:szCs w:val="24"/>
        </w:rPr>
        <w:t xml:space="preserve">The government </w:t>
      </w:r>
      <w:r w:rsidRPr="006F3092">
        <w:rPr>
          <w:rFonts w:ascii="Arial" w:hAnsi="Arial" w:cs="Arial"/>
          <w:bCs/>
          <w:spacing w:val="-3"/>
          <w:sz w:val="24"/>
          <w:szCs w:val="24"/>
        </w:rPr>
        <w:t>is concerned that the full effect and succe</w:t>
      </w:r>
      <w:r>
        <w:rPr>
          <w:rFonts w:ascii="Arial" w:hAnsi="Arial" w:cs="Arial"/>
          <w:bCs/>
          <w:spacing w:val="-3"/>
          <w:sz w:val="24"/>
          <w:szCs w:val="24"/>
        </w:rPr>
        <w:t>ss of the recently agreed</w:t>
      </w:r>
      <w:r w:rsidRPr="006F3092">
        <w:rPr>
          <w:rFonts w:ascii="Arial" w:hAnsi="Arial" w:cs="Arial"/>
          <w:bCs/>
          <w:spacing w:val="-3"/>
          <w:sz w:val="24"/>
          <w:szCs w:val="24"/>
        </w:rPr>
        <w:t xml:space="preserve"> Roaming Regulation remains untested. While the unspecified benefits to the consumer of the new proposals will appeal to consumers and business users, such a quick retu</w:t>
      </w:r>
      <w:r>
        <w:rPr>
          <w:rFonts w:ascii="Arial" w:hAnsi="Arial" w:cs="Arial"/>
          <w:bCs/>
          <w:spacing w:val="-3"/>
          <w:sz w:val="24"/>
          <w:szCs w:val="24"/>
        </w:rPr>
        <w:t>rn to further regulation is</w:t>
      </w:r>
      <w:r w:rsidRPr="006F3092">
        <w:rPr>
          <w:rFonts w:ascii="Arial" w:hAnsi="Arial" w:cs="Arial"/>
          <w:bCs/>
          <w:spacing w:val="-3"/>
          <w:sz w:val="24"/>
          <w:szCs w:val="24"/>
        </w:rPr>
        <w:t xml:space="preserve"> unpopular with industry and may introduce costly and unnecessary burdens and encourage an anti-competitive market environment. The Roaming III Regulation was negotiated as a ten-year Regulation.</w:t>
      </w:r>
    </w:p>
    <w:p w:rsidR="006F3092" w:rsidRPr="006F3092" w:rsidRDefault="003B0C31" w:rsidP="006F3092">
      <w:pPr>
        <w:pStyle w:val="NormalWeb"/>
        <w:numPr>
          <w:ilvl w:val="1"/>
          <w:numId w:val="9"/>
        </w:numPr>
        <w:shd w:val="clear" w:color="auto" w:fill="FEFAEB"/>
        <w:rPr>
          <w:rFonts w:ascii="Arial" w:hAnsi="Arial" w:cs="Arial"/>
          <w:bCs/>
          <w:spacing w:val="-3"/>
          <w:sz w:val="24"/>
          <w:szCs w:val="24"/>
        </w:rPr>
      </w:pPr>
      <w:r>
        <w:rPr>
          <w:rFonts w:ascii="Arial" w:hAnsi="Arial" w:cs="Arial"/>
          <w:bCs/>
          <w:spacing w:val="-3"/>
          <w:sz w:val="24"/>
          <w:szCs w:val="24"/>
        </w:rPr>
        <w:t xml:space="preserve">HMG </w:t>
      </w:r>
      <w:r w:rsidR="006F3092">
        <w:rPr>
          <w:rFonts w:ascii="Arial" w:hAnsi="Arial" w:cs="Arial"/>
          <w:bCs/>
          <w:spacing w:val="-3"/>
          <w:sz w:val="24"/>
          <w:szCs w:val="24"/>
        </w:rPr>
        <w:t xml:space="preserve">has recently announced that </w:t>
      </w:r>
      <w:r>
        <w:rPr>
          <w:rFonts w:ascii="Arial" w:hAnsi="Arial" w:cs="Arial"/>
          <w:bCs/>
          <w:spacing w:val="-3"/>
          <w:sz w:val="24"/>
          <w:szCs w:val="24"/>
        </w:rPr>
        <w:t>it believes that roaming charges have no place in a true single mar</w:t>
      </w:r>
      <w:r w:rsidR="00EE23DA">
        <w:rPr>
          <w:rFonts w:ascii="Arial" w:hAnsi="Arial" w:cs="Arial"/>
          <w:bCs/>
          <w:spacing w:val="-3"/>
          <w:sz w:val="24"/>
          <w:szCs w:val="24"/>
        </w:rPr>
        <w:t>ket and our</w:t>
      </w:r>
      <w:r>
        <w:rPr>
          <w:rFonts w:ascii="Arial" w:hAnsi="Arial" w:cs="Arial"/>
          <w:bCs/>
          <w:spacing w:val="-3"/>
          <w:sz w:val="24"/>
          <w:szCs w:val="24"/>
        </w:rPr>
        <w:t xml:space="preserve"> preference would be for an eventual phasing out of all roaming charges under the current Regulation</w:t>
      </w:r>
      <w:r w:rsidR="00EE23DA">
        <w:rPr>
          <w:rFonts w:ascii="Arial" w:hAnsi="Arial" w:cs="Arial"/>
          <w:bCs/>
          <w:spacing w:val="-3"/>
          <w:sz w:val="24"/>
          <w:szCs w:val="24"/>
        </w:rPr>
        <w:t xml:space="preserve"> and within that regulatory </w:t>
      </w:r>
      <w:r w:rsidR="00967EC5">
        <w:rPr>
          <w:rFonts w:ascii="Arial" w:hAnsi="Arial" w:cs="Arial"/>
          <w:bCs/>
          <w:spacing w:val="-3"/>
          <w:sz w:val="24"/>
          <w:szCs w:val="24"/>
        </w:rPr>
        <w:t>framework</w:t>
      </w:r>
      <w:r>
        <w:rPr>
          <w:rFonts w:ascii="Arial" w:hAnsi="Arial" w:cs="Arial"/>
          <w:bCs/>
          <w:spacing w:val="-3"/>
          <w:sz w:val="24"/>
          <w:szCs w:val="24"/>
        </w:rPr>
        <w:t xml:space="preserve"> rather than adding to the current existing Regulation.  </w:t>
      </w:r>
    </w:p>
    <w:p w:rsidR="008A50AC" w:rsidRDefault="008A50AC" w:rsidP="009226C5">
      <w:pPr>
        <w:pStyle w:val="NormalWeb"/>
        <w:shd w:val="clear" w:color="auto" w:fill="FEFAEB"/>
        <w:ind w:left="0"/>
        <w:rPr>
          <w:rFonts w:ascii="Arial" w:hAnsi="Arial" w:cs="Arial"/>
          <w:b/>
          <w:bCs/>
          <w:sz w:val="24"/>
          <w:szCs w:val="24"/>
        </w:rPr>
      </w:pPr>
      <w:r w:rsidRPr="00106683">
        <w:rPr>
          <w:rFonts w:ascii="Arial" w:hAnsi="Arial" w:cs="Arial"/>
          <w:b/>
          <w:bCs/>
          <w:spacing w:val="-3"/>
          <w:sz w:val="24"/>
          <w:szCs w:val="24"/>
        </w:rPr>
        <w:t xml:space="preserve">Amendments to Regulation (EC) No 1211/2209 - </w:t>
      </w:r>
      <w:r w:rsidRPr="00106683">
        <w:rPr>
          <w:rFonts w:ascii="Arial" w:hAnsi="Arial" w:cs="Arial"/>
          <w:b/>
          <w:bCs/>
          <w:sz w:val="24"/>
          <w:szCs w:val="24"/>
        </w:rPr>
        <w:t>Establishing the Body of European Regulators for Electronic Communications (BEREC) and the Office (Chapter VI – Article 38)</w:t>
      </w:r>
    </w:p>
    <w:p w:rsidR="00FC32B6" w:rsidRPr="003B0C31" w:rsidRDefault="00FC32B6" w:rsidP="00FC32B6">
      <w:pPr>
        <w:pStyle w:val="NormalWeb"/>
        <w:numPr>
          <w:ilvl w:val="1"/>
          <w:numId w:val="9"/>
        </w:numPr>
        <w:shd w:val="clear" w:color="auto" w:fill="FEFAEB"/>
        <w:rPr>
          <w:rFonts w:ascii="Arial" w:hAnsi="Arial" w:cs="Arial"/>
          <w:sz w:val="24"/>
          <w:szCs w:val="24"/>
        </w:rPr>
      </w:pPr>
      <w:r>
        <w:rPr>
          <w:rFonts w:ascii="Arial" w:hAnsi="Arial" w:cs="Arial"/>
          <w:sz w:val="24"/>
          <w:szCs w:val="24"/>
        </w:rPr>
        <w:t xml:space="preserve">The case for changing the role of the Chair of BEREC to that proposed is based around the argument that BEREC should  drive greater harmonisation of market remedies and provide strategic direction that is perceived by the Commission to be lacking under the current system. </w:t>
      </w:r>
    </w:p>
    <w:p w:rsidR="00FC32B6" w:rsidRPr="003B0C31" w:rsidRDefault="00FC32B6" w:rsidP="00FC32B6">
      <w:pPr>
        <w:pStyle w:val="NormalWeb"/>
        <w:numPr>
          <w:ilvl w:val="1"/>
          <w:numId w:val="9"/>
        </w:numPr>
        <w:shd w:val="clear" w:color="auto" w:fill="FEFAEB"/>
        <w:rPr>
          <w:rFonts w:ascii="Arial" w:hAnsi="Arial" w:cs="Arial"/>
          <w:sz w:val="24"/>
          <w:szCs w:val="24"/>
        </w:rPr>
      </w:pPr>
      <w:r>
        <w:rPr>
          <w:rFonts w:ascii="Arial" w:hAnsi="Arial" w:cs="Arial"/>
          <w:sz w:val="24"/>
          <w:szCs w:val="24"/>
        </w:rPr>
        <w:t xml:space="preserve">Ofcom has expressed some serious concerns that the change may endanger the way in which BEREC operates; that being independently and rooted </w:t>
      </w:r>
      <w:r w:rsidRPr="00ED1794">
        <w:rPr>
          <w:rFonts w:ascii="Arial" w:hAnsi="Arial" w:cs="Arial"/>
          <w:sz w:val="24"/>
          <w:szCs w:val="24"/>
        </w:rPr>
        <w:t xml:space="preserve">in its member NRAs. </w:t>
      </w:r>
      <w:r>
        <w:rPr>
          <w:rFonts w:ascii="Arial" w:hAnsi="Arial" w:cs="Arial"/>
          <w:sz w:val="24"/>
          <w:szCs w:val="24"/>
        </w:rPr>
        <w:t xml:space="preserve">It carries the risk BEREC may no longer be able to act independently of the Commission and may represent the first step towards a </w:t>
      </w:r>
      <w:r w:rsidRPr="003B0C31">
        <w:rPr>
          <w:rFonts w:ascii="Arial" w:hAnsi="Arial" w:cs="Arial"/>
          <w:sz w:val="24"/>
          <w:szCs w:val="24"/>
        </w:rPr>
        <w:t>centralisation of BE</w:t>
      </w:r>
      <w:r>
        <w:rPr>
          <w:rFonts w:ascii="Arial" w:hAnsi="Arial" w:cs="Arial"/>
          <w:sz w:val="24"/>
          <w:szCs w:val="24"/>
        </w:rPr>
        <w:t>REC’s functions to Brussels and the erosion of national regulators’ discretion. HMG shares these concerns.</w:t>
      </w:r>
    </w:p>
    <w:p w:rsidR="00967EC5" w:rsidRDefault="00967EC5" w:rsidP="006A7818">
      <w:pPr>
        <w:pStyle w:val="NormalWeb"/>
        <w:shd w:val="clear" w:color="auto" w:fill="FEFAEB"/>
        <w:ind w:left="0"/>
        <w:rPr>
          <w:rFonts w:ascii="Arial" w:hAnsi="Arial" w:cs="Arial"/>
          <w:b/>
          <w:bCs/>
          <w:spacing w:val="-3"/>
          <w:sz w:val="24"/>
          <w:szCs w:val="24"/>
        </w:rPr>
      </w:pPr>
    </w:p>
    <w:p w:rsidR="008A50AC" w:rsidRPr="006A7818" w:rsidRDefault="008A50AC" w:rsidP="006A7818">
      <w:pPr>
        <w:pStyle w:val="NormalWeb"/>
        <w:shd w:val="clear" w:color="auto" w:fill="FEFAEB"/>
        <w:ind w:left="0"/>
        <w:rPr>
          <w:rFonts w:ascii="Arial" w:hAnsi="Arial" w:cs="Arial"/>
          <w:b/>
          <w:bCs/>
          <w:spacing w:val="-3"/>
          <w:sz w:val="24"/>
          <w:szCs w:val="24"/>
        </w:rPr>
      </w:pPr>
      <w:r w:rsidRPr="00106683">
        <w:rPr>
          <w:rFonts w:ascii="Arial" w:hAnsi="Arial" w:cs="Arial"/>
          <w:b/>
          <w:bCs/>
          <w:spacing w:val="-3"/>
          <w:sz w:val="24"/>
          <w:szCs w:val="24"/>
        </w:rPr>
        <w:t>CONSULTATION</w:t>
      </w:r>
    </w:p>
    <w:p w:rsidR="008A50AC" w:rsidRDefault="008A50AC" w:rsidP="001E184D">
      <w:pPr>
        <w:numPr>
          <w:ilvl w:val="1"/>
          <w:numId w:val="9"/>
        </w:numPr>
        <w:tabs>
          <w:tab w:val="left" w:pos="0"/>
        </w:tabs>
        <w:suppressAutoHyphens/>
        <w:spacing w:after="0" w:line="240" w:lineRule="auto"/>
        <w:rPr>
          <w:rFonts w:ascii="Arial" w:hAnsi="Arial" w:cs="Arial"/>
          <w:spacing w:val="-3"/>
          <w:sz w:val="24"/>
          <w:szCs w:val="24"/>
          <w:lang w:eastAsia="en-GB"/>
        </w:rPr>
      </w:pPr>
      <w:r>
        <w:rPr>
          <w:rFonts w:ascii="Arial" w:hAnsi="Arial" w:cs="Arial"/>
          <w:spacing w:val="-3"/>
          <w:sz w:val="24"/>
          <w:szCs w:val="24"/>
          <w:lang w:eastAsia="en-GB"/>
        </w:rPr>
        <w:t>This package was widely leaked to governments and stakeholders, with consultation of major stakeholders taking place to drive HMG’s initial reactions to the proposals.  It is intended that further consultation of stakeholders will take place as negotiations commence.</w:t>
      </w:r>
    </w:p>
    <w:p w:rsidR="008A50AC" w:rsidRPr="00877B52" w:rsidRDefault="008A50AC" w:rsidP="00877B52">
      <w:pPr>
        <w:tabs>
          <w:tab w:val="left" w:pos="0"/>
        </w:tabs>
        <w:suppressAutoHyphens/>
        <w:spacing w:after="0" w:line="240" w:lineRule="auto"/>
        <w:rPr>
          <w:rFonts w:ascii="Arial" w:hAnsi="Arial" w:cs="Arial"/>
          <w:spacing w:val="-3"/>
          <w:sz w:val="24"/>
          <w:szCs w:val="24"/>
          <w:lang w:eastAsia="en-GB"/>
        </w:rPr>
      </w:pPr>
    </w:p>
    <w:p w:rsidR="008A50AC" w:rsidRPr="00877B52" w:rsidRDefault="008A50AC" w:rsidP="00877B52">
      <w:pPr>
        <w:tabs>
          <w:tab w:val="left" w:pos="0"/>
        </w:tabs>
        <w:suppressAutoHyphens/>
        <w:spacing w:after="0" w:line="240" w:lineRule="auto"/>
        <w:rPr>
          <w:rFonts w:ascii="Arial" w:hAnsi="Arial" w:cs="Arial"/>
          <w:b/>
          <w:bCs/>
          <w:spacing w:val="-3"/>
          <w:sz w:val="24"/>
          <w:szCs w:val="24"/>
          <w:lang w:eastAsia="en-GB"/>
        </w:rPr>
      </w:pPr>
      <w:r w:rsidRPr="00106683">
        <w:rPr>
          <w:rFonts w:ascii="Arial" w:hAnsi="Arial" w:cs="Arial"/>
          <w:b/>
          <w:bCs/>
          <w:spacing w:val="-3"/>
          <w:sz w:val="24"/>
          <w:szCs w:val="24"/>
          <w:lang w:eastAsia="en-GB"/>
        </w:rPr>
        <w:t>IMPACT ASSESSMENT</w:t>
      </w:r>
    </w:p>
    <w:p w:rsidR="008A50AC" w:rsidRPr="00877B52" w:rsidRDefault="008A50AC" w:rsidP="00877B52">
      <w:pPr>
        <w:tabs>
          <w:tab w:val="left" w:pos="0"/>
        </w:tabs>
        <w:suppressAutoHyphens/>
        <w:spacing w:after="0" w:line="240" w:lineRule="auto"/>
        <w:rPr>
          <w:rFonts w:ascii="Arial" w:hAnsi="Arial" w:cs="Arial"/>
          <w:i/>
          <w:iCs/>
          <w:spacing w:val="-3"/>
          <w:sz w:val="24"/>
          <w:szCs w:val="24"/>
          <w:lang w:eastAsia="en-GB"/>
        </w:rPr>
      </w:pPr>
    </w:p>
    <w:p w:rsidR="009515AA" w:rsidRDefault="008A50AC" w:rsidP="009515AA">
      <w:pPr>
        <w:numPr>
          <w:ilvl w:val="1"/>
          <w:numId w:val="9"/>
        </w:numPr>
        <w:tabs>
          <w:tab w:val="left" w:pos="0"/>
        </w:tabs>
        <w:suppressAutoHyphens/>
        <w:spacing w:after="0" w:line="240" w:lineRule="auto"/>
        <w:rPr>
          <w:rFonts w:ascii="Arial" w:hAnsi="Arial" w:cs="Arial"/>
          <w:spacing w:val="-3"/>
          <w:sz w:val="24"/>
          <w:szCs w:val="24"/>
          <w:lang w:eastAsia="en-GB"/>
        </w:rPr>
      </w:pPr>
      <w:r>
        <w:rPr>
          <w:rFonts w:ascii="Arial" w:hAnsi="Arial" w:cs="Arial"/>
          <w:spacing w:val="-3"/>
          <w:sz w:val="24"/>
          <w:szCs w:val="24"/>
          <w:lang w:eastAsia="en-GB"/>
        </w:rPr>
        <w:t xml:space="preserve"> </w:t>
      </w:r>
      <w:r w:rsidR="009515AA">
        <w:rPr>
          <w:rFonts w:ascii="Arial" w:hAnsi="Arial" w:cs="Arial"/>
          <w:spacing w:val="-3"/>
          <w:sz w:val="24"/>
          <w:szCs w:val="24"/>
          <w:lang w:eastAsia="en-GB"/>
        </w:rPr>
        <w:t xml:space="preserve">A full Impact Assessment has yet to be conducted on this series of proposals. Based upon a study conducted by </w:t>
      </w:r>
      <w:proofErr w:type="spellStart"/>
      <w:r w:rsidR="009515AA">
        <w:rPr>
          <w:rFonts w:ascii="Arial" w:hAnsi="Arial" w:cs="Arial"/>
          <w:spacing w:val="-3"/>
          <w:sz w:val="24"/>
          <w:szCs w:val="24"/>
          <w:lang w:eastAsia="en-GB"/>
        </w:rPr>
        <w:t>Ecorys</w:t>
      </w:r>
      <w:proofErr w:type="spellEnd"/>
      <w:r w:rsidR="009515AA">
        <w:rPr>
          <w:rFonts w:ascii="Arial" w:hAnsi="Arial" w:cs="Arial"/>
          <w:spacing w:val="-3"/>
          <w:sz w:val="24"/>
          <w:szCs w:val="24"/>
          <w:lang w:eastAsia="en-GB"/>
        </w:rPr>
        <w:t xml:space="preserve"> et al in 2011</w:t>
      </w:r>
      <w:r w:rsidR="009515AA">
        <w:rPr>
          <w:rStyle w:val="FootnoteReference"/>
          <w:rFonts w:ascii="Arial" w:hAnsi="Arial" w:cs="Arial"/>
          <w:spacing w:val="-3"/>
          <w:sz w:val="24"/>
          <w:szCs w:val="24"/>
          <w:lang w:eastAsia="en-GB"/>
        </w:rPr>
        <w:footnoteReference w:id="4"/>
      </w:r>
      <w:r w:rsidR="009515AA">
        <w:rPr>
          <w:rFonts w:ascii="Arial" w:hAnsi="Arial" w:cs="Arial"/>
          <w:spacing w:val="-3"/>
          <w:sz w:val="24"/>
          <w:szCs w:val="24"/>
          <w:lang w:eastAsia="en-GB"/>
        </w:rPr>
        <w:t xml:space="preserve"> it is estimated that the measures could add between 0.52% and 0.89% to European GDP each year. This study </w:t>
      </w:r>
      <w:r w:rsidR="009515AA">
        <w:rPr>
          <w:rFonts w:ascii="Arial" w:hAnsi="Arial" w:cs="Arial"/>
          <w:spacing w:val="-3"/>
          <w:sz w:val="24"/>
          <w:szCs w:val="24"/>
          <w:lang w:eastAsia="en-GB"/>
        </w:rPr>
        <w:lastRenderedPageBreak/>
        <w:t xml:space="preserve">embodies the difficulties of quantifying the efficiency and welfare gains resulting from enhanced competition and is heavily reliant upon assumptions made. </w:t>
      </w:r>
    </w:p>
    <w:p w:rsidR="009515AA" w:rsidRDefault="009515AA" w:rsidP="009515AA">
      <w:pPr>
        <w:tabs>
          <w:tab w:val="left" w:pos="0"/>
        </w:tabs>
        <w:suppressAutoHyphens/>
        <w:spacing w:after="0" w:line="240" w:lineRule="auto"/>
        <w:rPr>
          <w:rFonts w:ascii="Arial" w:hAnsi="Arial" w:cs="Arial"/>
          <w:spacing w:val="-3"/>
          <w:sz w:val="24"/>
          <w:szCs w:val="24"/>
          <w:lang w:eastAsia="en-GB"/>
        </w:rPr>
      </w:pPr>
    </w:p>
    <w:p w:rsidR="009515AA" w:rsidRPr="009515AA" w:rsidRDefault="009515AA" w:rsidP="009515AA">
      <w:pPr>
        <w:numPr>
          <w:ilvl w:val="1"/>
          <w:numId w:val="9"/>
        </w:numPr>
        <w:tabs>
          <w:tab w:val="left" w:pos="0"/>
        </w:tabs>
        <w:suppressAutoHyphens/>
        <w:spacing w:after="0" w:line="240" w:lineRule="auto"/>
        <w:rPr>
          <w:rFonts w:ascii="Arial" w:hAnsi="Arial" w:cs="Arial"/>
          <w:spacing w:val="-3"/>
          <w:sz w:val="24"/>
          <w:szCs w:val="24"/>
          <w:lang w:eastAsia="en-GB"/>
        </w:rPr>
      </w:pPr>
      <w:r w:rsidRPr="009515AA">
        <w:rPr>
          <w:rFonts w:ascii="Arial" w:hAnsi="Arial" w:cs="Arial"/>
          <w:spacing w:val="-3"/>
          <w:sz w:val="24"/>
          <w:szCs w:val="24"/>
          <w:lang w:eastAsia="en-GB"/>
        </w:rPr>
        <w:t>However, an initial market assessment was conducted as the proposals were first trailed by the Commission and this provides a useful foundation.</w:t>
      </w:r>
      <w:r>
        <w:rPr>
          <w:rFonts w:ascii="Arial" w:hAnsi="Arial" w:cs="Arial"/>
          <w:spacing w:val="-3"/>
          <w:sz w:val="24"/>
          <w:szCs w:val="24"/>
          <w:lang w:eastAsia="en-GB"/>
        </w:rPr>
        <w:t xml:space="preserve"> </w:t>
      </w:r>
      <w:r w:rsidRPr="009515AA">
        <w:rPr>
          <w:rFonts w:ascii="Arial" w:hAnsi="Arial" w:cs="Arial"/>
          <w:spacing w:val="-3"/>
          <w:sz w:val="24"/>
          <w:szCs w:val="24"/>
          <w:lang w:eastAsia="en-GB"/>
        </w:rPr>
        <w:t xml:space="preserve">It showed that there is some evidence that: the EU market is fragmented and involves smaller players; the market capitalisation of EU telecoms firms is lower than, for example, Verizon or AT&amp;T in the US and China Mobile; and overall, revenue growth is weaker for EU telecoms companies, as are their operating margins.  </w:t>
      </w:r>
    </w:p>
    <w:p w:rsidR="009515AA" w:rsidRPr="006F3092" w:rsidRDefault="009515AA" w:rsidP="009515AA">
      <w:pPr>
        <w:tabs>
          <w:tab w:val="left" w:pos="0"/>
        </w:tabs>
        <w:suppressAutoHyphens/>
        <w:spacing w:after="0" w:line="240" w:lineRule="auto"/>
        <w:ind w:left="360"/>
        <w:rPr>
          <w:rFonts w:ascii="Arial" w:hAnsi="Arial" w:cs="Arial"/>
          <w:spacing w:val="-3"/>
          <w:sz w:val="24"/>
          <w:szCs w:val="24"/>
          <w:lang w:eastAsia="en-GB"/>
        </w:rPr>
      </w:pPr>
    </w:p>
    <w:p w:rsidR="009515AA" w:rsidRPr="006F3092" w:rsidRDefault="009515AA" w:rsidP="009515AA">
      <w:pPr>
        <w:numPr>
          <w:ilvl w:val="1"/>
          <w:numId w:val="9"/>
        </w:numPr>
        <w:tabs>
          <w:tab w:val="left" w:pos="0"/>
        </w:tabs>
        <w:suppressAutoHyphens/>
        <w:spacing w:after="0" w:line="240" w:lineRule="auto"/>
        <w:rPr>
          <w:rFonts w:ascii="Arial" w:hAnsi="Arial" w:cs="Arial"/>
          <w:spacing w:val="-3"/>
          <w:sz w:val="24"/>
          <w:szCs w:val="24"/>
          <w:lang w:eastAsia="en-GB"/>
        </w:rPr>
      </w:pPr>
      <w:r>
        <w:rPr>
          <w:rFonts w:ascii="Arial" w:hAnsi="Arial" w:cs="Arial"/>
          <w:spacing w:val="-3"/>
          <w:sz w:val="24"/>
          <w:szCs w:val="24"/>
          <w:lang w:eastAsia="en-GB"/>
        </w:rPr>
        <w:t>There is a</w:t>
      </w:r>
      <w:r w:rsidRPr="006F3092">
        <w:rPr>
          <w:rFonts w:ascii="Arial" w:hAnsi="Arial" w:cs="Arial"/>
          <w:spacing w:val="-3"/>
          <w:sz w:val="24"/>
          <w:szCs w:val="24"/>
          <w:lang w:eastAsia="en-GB"/>
        </w:rPr>
        <w:t xml:space="preserve"> drive for more industry consolidation</w:t>
      </w:r>
      <w:r>
        <w:rPr>
          <w:rFonts w:ascii="Arial" w:hAnsi="Arial" w:cs="Arial"/>
          <w:spacing w:val="-3"/>
          <w:sz w:val="24"/>
          <w:szCs w:val="24"/>
          <w:lang w:eastAsia="en-GB"/>
        </w:rPr>
        <w:t xml:space="preserve"> that underlying</w:t>
      </w:r>
      <w:r w:rsidRPr="006F3092">
        <w:rPr>
          <w:rFonts w:ascii="Arial" w:hAnsi="Arial" w:cs="Arial"/>
          <w:spacing w:val="-3"/>
          <w:sz w:val="24"/>
          <w:szCs w:val="24"/>
          <w:lang w:eastAsia="en-GB"/>
        </w:rPr>
        <w:t xml:space="preserve"> some of the pr</w:t>
      </w:r>
      <w:r>
        <w:rPr>
          <w:rFonts w:ascii="Arial" w:hAnsi="Arial" w:cs="Arial"/>
          <w:spacing w:val="-3"/>
          <w:sz w:val="24"/>
          <w:szCs w:val="24"/>
          <w:lang w:eastAsia="en-GB"/>
        </w:rPr>
        <w:t>oposals but</w:t>
      </w:r>
      <w:r w:rsidRPr="006F3092">
        <w:rPr>
          <w:rFonts w:ascii="Arial" w:hAnsi="Arial" w:cs="Arial"/>
          <w:spacing w:val="-3"/>
          <w:sz w:val="24"/>
          <w:szCs w:val="24"/>
          <w:lang w:eastAsia="en-GB"/>
        </w:rPr>
        <w:t xml:space="preserve"> it is not clear that greater consolidation is the right answer. </w:t>
      </w:r>
      <w:r>
        <w:rPr>
          <w:rFonts w:ascii="Arial" w:hAnsi="Arial" w:cs="Arial"/>
          <w:spacing w:val="-3"/>
          <w:sz w:val="24"/>
          <w:szCs w:val="24"/>
          <w:lang w:eastAsia="en-GB"/>
        </w:rPr>
        <w:t>Initial market a</w:t>
      </w:r>
      <w:r w:rsidRPr="006F3092">
        <w:rPr>
          <w:rFonts w:ascii="Arial" w:hAnsi="Arial" w:cs="Arial"/>
          <w:spacing w:val="-3"/>
          <w:sz w:val="24"/>
          <w:szCs w:val="24"/>
          <w:lang w:eastAsia="en-GB"/>
        </w:rPr>
        <w:t>nalysis from Ofcom suggests that these market differences stem from lower competition and greater pricing-power of incumbents in the US, rather than scale effects.</w:t>
      </w:r>
      <w:r>
        <w:rPr>
          <w:rFonts w:ascii="Arial" w:hAnsi="Arial" w:cs="Arial"/>
          <w:spacing w:val="-3"/>
          <w:sz w:val="24"/>
          <w:szCs w:val="24"/>
          <w:lang w:eastAsia="en-GB"/>
        </w:rPr>
        <w:t xml:space="preserve">  Further, f</w:t>
      </w:r>
      <w:r w:rsidRPr="006F3092">
        <w:rPr>
          <w:rFonts w:ascii="Arial" w:hAnsi="Arial" w:cs="Arial"/>
          <w:spacing w:val="-3"/>
          <w:sz w:val="24"/>
          <w:szCs w:val="24"/>
          <w:lang w:eastAsia="en-GB"/>
        </w:rPr>
        <w:t>ierce retail competition in domestic markets across the EU tends to drive down pric</w:t>
      </w:r>
      <w:r>
        <w:rPr>
          <w:rFonts w:ascii="Arial" w:hAnsi="Arial" w:cs="Arial"/>
          <w:spacing w:val="-3"/>
          <w:sz w:val="24"/>
          <w:szCs w:val="24"/>
          <w:lang w:eastAsia="en-GB"/>
        </w:rPr>
        <w:t>es, margins and revenues but it</w:t>
      </w:r>
      <w:r w:rsidRPr="006F3092">
        <w:rPr>
          <w:rFonts w:ascii="Arial" w:hAnsi="Arial" w:cs="Arial"/>
          <w:spacing w:val="-3"/>
          <w:sz w:val="24"/>
          <w:szCs w:val="24"/>
          <w:lang w:eastAsia="en-GB"/>
        </w:rPr>
        <w:t xml:space="preserve"> also imp</w:t>
      </w:r>
      <w:r>
        <w:rPr>
          <w:rFonts w:ascii="Arial" w:hAnsi="Arial" w:cs="Arial"/>
          <w:spacing w:val="-3"/>
          <w:sz w:val="24"/>
          <w:szCs w:val="24"/>
          <w:lang w:eastAsia="en-GB"/>
        </w:rPr>
        <w:t>roves the quality of services.</w:t>
      </w:r>
    </w:p>
    <w:p w:rsidR="009515AA" w:rsidRPr="006F3092" w:rsidRDefault="009515AA" w:rsidP="009515AA">
      <w:pPr>
        <w:tabs>
          <w:tab w:val="left" w:pos="0"/>
        </w:tabs>
        <w:suppressAutoHyphens/>
        <w:spacing w:after="0" w:line="240" w:lineRule="auto"/>
        <w:ind w:left="360"/>
        <w:rPr>
          <w:rFonts w:ascii="Arial" w:hAnsi="Arial" w:cs="Arial"/>
          <w:spacing w:val="-3"/>
          <w:sz w:val="24"/>
          <w:szCs w:val="24"/>
          <w:lang w:eastAsia="en-GB"/>
        </w:rPr>
      </w:pPr>
    </w:p>
    <w:p w:rsidR="009515AA" w:rsidRDefault="009515AA" w:rsidP="009515AA">
      <w:pPr>
        <w:numPr>
          <w:ilvl w:val="1"/>
          <w:numId w:val="9"/>
        </w:numPr>
        <w:tabs>
          <w:tab w:val="left" w:pos="0"/>
        </w:tabs>
        <w:suppressAutoHyphens/>
        <w:spacing w:after="0" w:line="240" w:lineRule="auto"/>
        <w:rPr>
          <w:rFonts w:ascii="Arial" w:hAnsi="Arial" w:cs="Arial"/>
          <w:spacing w:val="-3"/>
          <w:sz w:val="24"/>
          <w:szCs w:val="24"/>
          <w:lang w:eastAsia="en-GB"/>
        </w:rPr>
      </w:pPr>
      <w:r w:rsidRPr="006F3092">
        <w:rPr>
          <w:rFonts w:ascii="Arial" w:hAnsi="Arial" w:cs="Arial"/>
          <w:spacing w:val="-3"/>
          <w:sz w:val="24"/>
          <w:szCs w:val="24"/>
          <w:lang w:eastAsia="en-GB"/>
        </w:rPr>
        <w:t>Therefore, competition is</w:t>
      </w:r>
      <w:r>
        <w:rPr>
          <w:rFonts w:ascii="Arial" w:hAnsi="Arial" w:cs="Arial"/>
          <w:spacing w:val="-3"/>
          <w:sz w:val="24"/>
          <w:szCs w:val="24"/>
          <w:lang w:eastAsia="en-GB"/>
        </w:rPr>
        <w:t xml:space="preserve"> already</w:t>
      </w:r>
      <w:r w:rsidRPr="006F3092">
        <w:rPr>
          <w:rFonts w:ascii="Arial" w:hAnsi="Arial" w:cs="Arial"/>
          <w:spacing w:val="-3"/>
          <w:sz w:val="24"/>
          <w:szCs w:val="24"/>
          <w:lang w:eastAsia="en-GB"/>
        </w:rPr>
        <w:t xml:space="preserve"> a clear strength of the EU market a</w:t>
      </w:r>
      <w:r>
        <w:rPr>
          <w:rFonts w:ascii="Arial" w:hAnsi="Arial" w:cs="Arial"/>
          <w:spacing w:val="-3"/>
          <w:sz w:val="24"/>
          <w:szCs w:val="24"/>
          <w:lang w:eastAsia="en-GB"/>
        </w:rPr>
        <w:t xml:space="preserve">nd does not appear to inhibit investment, with </w:t>
      </w:r>
      <w:r w:rsidRPr="006F3092">
        <w:rPr>
          <w:rFonts w:ascii="Arial" w:hAnsi="Arial" w:cs="Arial"/>
          <w:spacing w:val="-3"/>
          <w:sz w:val="24"/>
          <w:szCs w:val="24"/>
          <w:lang w:eastAsia="en-GB"/>
        </w:rPr>
        <w:t>EU operators also invest</w:t>
      </w:r>
      <w:r>
        <w:rPr>
          <w:rFonts w:ascii="Arial" w:hAnsi="Arial" w:cs="Arial"/>
          <w:spacing w:val="-3"/>
          <w:sz w:val="24"/>
          <w:szCs w:val="24"/>
          <w:lang w:eastAsia="en-GB"/>
        </w:rPr>
        <w:t>ing</w:t>
      </w:r>
      <w:r w:rsidRPr="006F3092">
        <w:rPr>
          <w:rFonts w:ascii="Arial" w:hAnsi="Arial" w:cs="Arial"/>
          <w:spacing w:val="-3"/>
          <w:sz w:val="24"/>
          <w:szCs w:val="24"/>
          <w:lang w:eastAsia="en-GB"/>
        </w:rPr>
        <w:t xml:space="preserve"> similar shares of their revenue as non-EU counterparts. </w:t>
      </w:r>
      <w:r>
        <w:rPr>
          <w:rFonts w:ascii="Arial" w:hAnsi="Arial" w:cs="Arial"/>
          <w:spacing w:val="-3"/>
          <w:sz w:val="24"/>
          <w:szCs w:val="24"/>
          <w:lang w:eastAsia="en-GB"/>
        </w:rPr>
        <w:t>These measures are unlikely to radically alter the prospects of those MS that already embrace competition in broadband markets.</w:t>
      </w:r>
      <w:r w:rsidRPr="006F3092">
        <w:rPr>
          <w:rFonts w:ascii="Arial" w:hAnsi="Arial" w:cs="Arial"/>
          <w:spacing w:val="-3"/>
          <w:sz w:val="24"/>
          <w:szCs w:val="24"/>
          <w:lang w:eastAsia="en-GB"/>
        </w:rPr>
        <w:t xml:space="preserve"> However, the EU is comparatively slow to roll out next generation technologies, in which it genuinely lags behind the US and parts of Asia. This results partly from uncertainty over demand, complex technical problems on co-existence and interference within spectrum, and poor coordination of spectrum </w:t>
      </w:r>
      <w:r>
        <w:rPr>
          <w:rFonts w:ascii="Arial" w:hAnsi="Arial" w:cs="Arial"/>
          <w:spacing w:val="-3"/>
          <w:sz w:val="24"/>
          <w:szCs w:val="24"/>
          <w:lang w:eastAsia="en-GB"/>
        </w:rPr>
        <w:t>allocation across Member States.</w:t>
      </w:r>
    </w:p>
    <w:p w:rsidR="009515AA" w:rsidRPr="009515AA" w:rsidRDefault="009515AA" w:rsidP="009515AA">
      <w:pPr>
        <w:tabs>
          <w:tab w:val="left" w:pos="0"/>
        </w:tabs>
        <w:suppressAutoHyphens/>
        <w:spacing w:after="0" w:line="240" w:lineRule="auto"/>
        <w:rPr>
          <w:rFonts w:ascii="Arial" w:hAnsi="Arial" w:cs="Arial"/>
          <w:spacing w:val="-3"/>
          <w:sz w:val="24"/>
          <w:szCs w:val="24"/>
          <w:lang w:eastAsia="en-GB"/>
        </w:rPr>
      </w:pPr>
    </w:p>
    <w:p w:rsidR="009515AA" w:rsidRDefault="009515AA" w:rsidP="009515AA">
      <w:pPr>
        <w:numPr>
          <w:ilvl w:val="1"/>
          <w:numId w:val="9"/>
        </w:numPr>
        <w:tabs>
          <w:tab w:val="left" w:pos="0"/>
        </w:tabs>
        <w:suppressAutoHyphens/>
        <w:spacing w:after="0" w:line="240" w:lineRule="auto"/>
        <w:rPr>
          <w:rFonts w:ascii="Arial" w:hAnsi="Arial" w:cs="Arial"/>
          <w:spacing w:val="-3"/>
          <w:sz w:val="24"/>
          <w:szCs w:val="24"/>
          <w:lang w:eastAsia="en-GB"/>
        </w:rPr>
      </w:pPr>
      <w:r>
        <w:rPr>
          <w:rFonts w:ascii="Arial" w:hAnsi="Arial" w:cs="Arial"/>
          <w:spacing w:val="-3"/>
          <w:sz w:val="24"/>
          <w:szCs w:val="24"/>
          <w:lang w:eastAsia="en-GB"/>
        </w:rPr>
        <w:t xml:space="preserve">It is also worth remarking that much of the growth found by </w:t>
      </w:r>
      <w:proofErr w:type="spellStart"/>
      <w:r>
        <w:rPr>
          <w:rFonts w:ascii="Arial" w:hAnsi="Arial" w:cs="Arial"/>
          <w:spacing w:val="-3"/>
          <w:sz w:val="24"/>
          <w:szCs w:val="24"/>
          <w:lang w:eastAsia="en-GB"/>
        </w:rPr>
        <w:t>Ecorys</w:t>
      </w:r>
      <w:proofErr w:type="spellEnd"/>
      <w:r>
        <w:rPr>
          <w:rFonts w:ascii="Arial" w:hAnsi="Arial" w:cs="Arial"/>
          <w:spacing w:val="-3"/>
          <w:sz w:val="24"/>
          <w:szCs w:val="24"/>
          <w:lang w:eastAsia="en-GB"/>
        </w:rPr>
        <w:t>, et al stemmed from developments such as e Health, e Learning and e Government which are subject to other factors than the suggested measures.</w:t>
      </w:r>
      <w:r w:rsidR="00497DD2">
        <w:rPr>
          <w:rFonts w:ascii="Arial" w:hAnsi="Arial" w:cs="Arial"/>
          <w:spacing w:val="-3"/>
          <w:sz w:val="24"/>
          <w:szCs w:val="24"/>
          <w:lang w:eastAsia="en-GB"/>
        </w:rPr>
        <w:t xml:space="preserve"> It is also worth noting that the Commission’s internal mechanisms initially expressed some concerns with the Impact Assessment, although these were later withdrawn.</w:t>
      </w:r>
    </w:p>
    <w:p w:rsidR="009515AA" w:rsidRPr="006E2644" w:rsidRDefault="009515AA" w:rsidP="009515AA">
      <w:pPr>
        <w:tabs>
          <w:tab w:val="left" w:pos="0"/>
        </w:tabs>
        <w:suppressAutoHyphens/>
        <w:spacing w:after="0" w:line="240" w:lineRule="auto"/>
        <w:ind w:left="360"/>
        <w:rPr>
          <w:rFonts w:ascii="Arial" w:hAnsi="Arial" w:cs="Arial"/>
          <w:spacing w:val="-3"/>
          <w:sz w:val="24"/>
          <w:szCs w:val="24"/>
          <w:lang w:eastAsia="en-GB"/>
        </w:rPr>
      </w:pPr>
    </w:p>
    <w:p w:rsidR="009515AA" w:rsidRPr="006E2644" w:rsidRDefault="009515AA" w:rsidP="009515AA">
      <w:pPr>
        <w:numPr>
          <w:ilvl w:val="1"/>
          <w:numId w:val="9"/>
        </w:numPr>
        <w:tabs>
          <w:tab w:val="left" w:pos="0"/>
        </w:tabs>
        <w:suppressAutoHyphens/>
        <w:spacing w:after="0" w:line="240" w:lineRule="auto"/>
        <w:rPr>
          <w:rFonts w:ascii="Arial" w:hAnsi="Arial" w:cs="Arial"/>
          <w:spacing w:val="-3"/>
          <w:sz w:val="24"/>
          <w:szCs w:val="24"/>
          <w:lang w:eastAsia="en-GB"/>
        </w:rPr>
      </w:pPr>
      <w:r>
        <w:rPr>
          <w:rFonts w:ascii="Arial" w:hAnsi="Arial" w:cs="Arial"/>
          <w:spacing w:val="-3"/>
          <w:sz w:val="24"/>
          <w:szCs w:val="24"/>
          <w:lang w:eastAsia="en-GB"/>
        </w:rPr>
        <w:t>It, therefore, remained unclear whether the likely gains from the proposals are greater than the likely costs and whether the proposals themselves will address the issues the associated Communication identifies.</w:t>
      </w:r>
    </w:p>
    <w:p w:rsidR="009515AA" w:rsidRDefault="009515AA" w:rsidP="009515AA">
      <w:pPr>
        <w:tabs>
          <w:tab w:val="left" w:pos="0"/>
        </w:tabs>
        <w:suppressAutoHyphens/>
        <w:spacing w:after="0" w:line="240" w:lineRule="auto"/>
        <w:rPr>
          <w:rFonts w:ascii="Arial" w:hAnsi="Arial" w:cs="Arial"/>
          <w:spacing w:val="-3"/>
          <w:sz w:val="24"/>
          <w:szCs w:val="24"/>
          <w:lang w:eastAsia="en-GB"/>
        </w:rPr>
      </w:pPr>
    </w:p>
    <w:p w:rsidR="009515AA" w:rsidRDefault="009515AA" w:rsidP="009515AA">
      <w:pPr>
        <w:numPr>
          <w:ilvl w:val="1"/>
          <w:numId w:val="9"/>
        </w:numPr>
        <w:tabs>
          <w:tab w:val="left" w:pos="0"/>
        </w:tabs>
        <w:suppressAutoHyphens/>
        <w:spacing w:after="0" w:line="240" w:lineRule="auto"/>
        <w:rPr>
          <w:rFonts w:ascii="Arial" w:hAnsi="Arial" w:cs="Arial"/>
          <w:spacing w:val="-3"/>
          <w:sz w:val="24"/>
          <w:szCs w:val="24"/>
          <w:lang w:eastAsia="en-GB"/>
        </w:rPr>
      </w:pPr>
      <w:r w:rsidRPr="006E2644">
        <w:rPr>
          <w:rFonts w:ascii="Arial" w:hAnsi="Arial" w:cs="Arial"/>
          <w:spacing w:val="-3"/>
          <w:sz w:val="24"/>
          <w:szCs w:val="24"/>
          <w:lang w:eastAsia="en-GB"/>
        </w:rPr>
        <w:t xml:space="preserve">The Commission have produced an Impact Assessment, along with an Executive Summary of same and both these documents are covered by this EM. </w:t>
      </w:r>
    </w:p>
    <w:p w:rsidR="006E2644" w:rsidRPr="006E2644" w:rsidRDefault="006E2644" w:rsidP="009515AA">
      <w:pPr>
        <w:tabs>
          <w:tab w:val="left" w:pos="0"/>
        </w:tabs>
        <w:suppressAutoHyphens/>
        <w:spacing w:after="0" w:line="240" w:lineRule="auto"/>
        <w:ind w:left="360"/>
        <w:rPr>
          <w:rFonts w:ascii="Arial" w:hAnsi="Arial" w:cs="Arial"/>
          <w:spacing w:val="-3"/>
          <w:sz w:val="24"/>
          <w:szCs w:val="24"/>
          <w:lang w:eastAsia="en-GB"/>
        </w:rPr>
      </w:pPr>
    </w:p>
    <w:p w:rsidR="00106683" w:rsidRDefault="00106683" w:rsidP="003B0C31">
      <w:pPr>
        <w:tabs>
          <w:tab w:val="left" w:pos="0"/>
        </w:tabs>
        <w:suppressAutoHyphens/>
        <w:spacing w:after="0" w:line="240" w:lineRule="auto"/>
        <w:rPr>
          <w:rFonts w:ascii="Arial" w:hAnsi="Arial" w:cs="Arial"/>
          <w:b/>
          <w:bCs/>
          <w:spacing w:val="-3"/>
          <w:sz w:val="24"/>
          <w:szCs w:val="24"/>
          <w:lang w:eastAsia="en-GB"/>
        </w:rPr>
      </w:pPr>
    </w:p>
    <w:p w:rsidR="003B0C31" w:rsidRPr="003B0C31" w:rsidRDefault="003B0C31" w:rsidP="003B0C31">
      <w:pPr>
        <w:tabs>
          <w:tab w:val="left" w:pos="0"/>
        </w:tabs>
        <w:suppressAutoHyphens/>
        <w:spacing w:after="0" w:line="240" w:lineRule="auto"/>
        <w:rPr>
          <w:rFonts w:ascii="Arial" w:hAnsi="Arial" w:cs="Arial"/>
          <w:b/>
          <w:bCs/>
          <w:spacing w:val="-3"/>
          <w:sz w:val="24"/>
          <w:szCs w:val="24"/>
          <w:lang w:eastAsia="en-GB"/>
        </w:rPr>
      </w:pPr>
      <w:r w:rsidRPr="00106683">
        <w:rPr>
          <w:rFonts w:ascii="Arial" w:hAnsi="Arial" w:cs="Arial"/>
          <w:b/>
          <w:bCs/>
          <w:spacing w:val="-3"/>
          <w:sz w:val="24"/>
          <w:szCs w:val="24"/>
          <w:lang w:eastAsia="en-GB"/>
        </w:rPr>
        <w:t>FINANCIAL IMPLICATIONS</w:t>
      </w:r>
    </w:p>
    <w:p w:rsidR="003B0C31" w:rsidRDefault="003B0C31" w:rsidP="003B0C31">
      <w:pPr>
        <w:tabs>
          <w:tab w:val="left" w:pos="0"/>
        </w:tabs>
        <w:suppressAutoHyphens/>
        <w:spacing w:after="0" w:line="240" w:lineRule="auto"/>
        <w:ind w:left="360"/>
        <w:rPr>
          <w:rFonts w:ascii="Arial" w:hAnsi="Arial" w:cs="Arial"/>
          <w:spacing w:val="-3"/>
          <w:sz w:val="24"/>
          <w:szCs w:val="24"/>
          <w:lang w:eastAsia="en-GB"/>
        </w:rPr>
      </w:pPr>
    </w:p>
    <w:p w:rsidR="00E30D4A" w:rsidRPr="003B0C31" w:rsidRDefault="003B0C31" w:rsidP="003B0C31">
      <w:pPr>
        <w:numPr>
          <w:ilvl w:val="1"/>
          <w:numId w:val="9"/>
        </w:numPr>
        <w:tabs>
          <w:tab w:val="left" w:pos="0"/>
        </w:tabs>
        <w:suppressAutoHyphens/>
        <w:spacing w:after="0" w:line="240" w:lineRule="auto"/>
        <w:rPr>
          <w:rFonts w:ascii="Arial" w:hAnsi="Arial" w:cs="Arial"/>
          <w:spacing w:val="-3"/>
          <w:sz w:val="24"/>
          <w:szCs w:val="24"/>
          <w:lang w:eastAsia="en-GB"/>
        </w:rPr>
      </w:pPr>
      <w:r>
        <w:rPr>
          <w:rFonts w:ascii="Arial" w:hAnsi="Arial" w:cs="Arial"/>
          <w:spacing w:val="-3"/>
          <w:sz w:val="24"/>
          <w:szCs w:val="24"/>
          <w:lang w:eastAsia="en-GB"/>
        </w:rPr>
        <w:t>The package itself has no direct financial implications for the UK.  However, changes to the role of Ofcom, UK’s NRA, may cause such implications to arise.</w:t>
      </w:r>
    </w:p>
    <w:p w:rsidR="008A50AC" w:rsidRPr="00877B52" w:rsidRDefault="008A50AC" w:rsidP="00877B52">
      <w:pPr>
        <w:tabs>
          <w:tab w:val="left" w:pos="0"/>
        </w:tabs>
        <w:suppressAutoHyphens/>
        <w:spacing w:after="0" w:line="240" w:lineRule="auto"/>
        <w:rPr>
          <w:rFonts w:ascii="Arial" w:hAnsi="Arial" w:cs="Arial"/>
          <w:i/>
          <w:iCs/>
          <w:spacing w:val="-3"/>
          <w:sz w:val="24"/>
          <w:szCs w:val="24"/>
          <w:lang w:eastAsia="en-GB"/>
        </w:rPr>
      </w:pPr>
    </w:p>
    <w:p w:rsidR="008A50AC" w:rsidRDefault="008A50AC" w:rsidP="00877B52">
      <w:pPr>
        <w:tabs>
          <w:tab w:val="left" w:pos="0"/>
        </w:tabs>
        <w:suppressAutoHyphens/>
        <w:spacing w:after="0" w:line="240" w:lineRule="auto"/>
        <w:rPr>
          <w:rFonts w:ascii="Arial" w:hAnsi="Arial" w:cs="Arial"/>
          <w:b/>
          <w:bCs/>
          <w:spacing w:val="-3"/>
          <w:sz w:val="24"/>
          <w:szCs w:val="24"/>
          <w:lang w:eastAsia="en-GB"/>
        </w:rPr>
      </w:pPr>
      <w:r w:rsidRPr="00106683">
        <w:rPr>
          <w:rFonts w:ascii="Arial" w:hAnsi="Arial" w:cs="Arial"/>
          <w:b/>
          <w:bCs/>
          <w:spacing w:val="-3"/>
          <w:sz w:val="24"/>
          <w:szCs w:val="24"/>
          <w:lang w:eastAsia="en-GB"/>
        </w:rPr>
        <w:lastRenderedPageBreak/>
        <w:t>TIMETABLE</w:t>
      </w:r>
    </w:p>
    <w:p w:rsidR="008A50AC" w:rsidRDefault="008A50AC" w:rsidP="00877B52">
      <w:pPr>
        <w:tabs>
          <w:tab w:val="left" w:pos="0"/>
        </w:tabs>
        <w:suppressAutoHyphens/>
        <w:spacing w:after="0" w:line="240" w:lineRule="auto"/>
        <w:rPr>
          <w:rFonts w:ascii="Arial" w:hAnsi="Arial" w:cs="Arial"/>
          <w:b/>
          <w:bCs/>
          <w:spacing w:val="-3"/>
          <w:sz w:val="24"/>
          <w:szCs w:val="24"/>
          <w:lang w:eastAsia="en-GB"/>
        </w:rPr>
      </w:pPr>
    </w:p>
    <w:p w:rsidR="008A50AC" w:rsidRDefault="008A50AC" w:rsidP="00877B52">
      <w:pPr>
        <w:numPr>
          <w:ilvl w:val="1"/>
          <w:numId w:val="9"/>
        </w:numPr>
        <w:tabs>
          <w:tab w:val="left" w:pos="0"/>
        </w:tabs>
        <w:suppressAutoHyphens/>
        <w:spacing w:after="0" w:line="240" w:lineRule="auto"/>
        <w:rPr>
          <w:rFonts w:ascii="Arial" w:hAnsi="Arial" w:cs="Arial"/>
          <w:spacing w:val="-3"/>
          <w:sz w:val="24"/>
          <w:szCs w:val="24"/>
          <w:lang w:eastAsia="en-GB"/>
        </w:rPr>
      </w:pPr>
      <w:r>
        <w:rPr>
          <w:rFonts w:ascii="Arial" w:hAnsi="Arial" w:cs="Arial"/>
          <w:spacing w:val="-3"/>
          <w:sz w:val="24"/>
          <w:szCs w:val="24"/>
          <w:lang w:eastAsia="en-GB"/>
        </w:rPr>
        <w:t xml:space="preserve">It is the stated ambition of the Commission for this package to be approved in time for the elections of the European Parliament </w:t>
      </w:r>
      <w:proofErr w:type="spellStart"/>
      <w:r>
        <w:rPr>
          <w:rFonts w:ascii="Arial" w:hAnsi="Arial" w:cs="Arial"/>
          <w:spacing w:val="-3"/>
          <w:sz w:val="24"/>
          <w:szCs w:val="24"/>
          <w:lang w:eastAsia="en-GB"/>
        </w:rPr>
        <w:t>ie</w:t>
      </w:r>
      <w:proofErr w:type="spellEnd"/>
      <w:r>
        <w:rPr>
          <w:rFonts w:ascii="Arial" w:hAnsi="Arial" w:cs="Arial"/>
          <w:spacing w:val="-3"/>
          <w:sz w:val="24"/>
          <w:szCs w:val="24"/>
          <w:lang w:eastAsia="en-GB"/>
        </w:rPr>
        <w:t xml:space="preserve"> end-May 2014. </w:t>
      </w:r>
    </w:p>
    <w:p w:rsidR="008A50AC" w:rsidRDefault="008A50AC" w:rsidP="00101CB4">
      <w:pPr>
        <w:tabs>
          <w:tab w:val="left" w:pos="0"/>
        </w:tabs>
        <w:suppressAutoHyphens/>
        <w:spacing w:after="0" w:line="240" w:lineRule="auto"/>
        <w:rPr>
          <w:rFonts w:ascii="Arial" w:hAnsi="Arial" w:cs="Arial"/>
          <w:spacing w:val="-3"/>
          <w:sz w:val="24"/>
          <w:szCs w:val="24"/>
          <w:lang w:eastAsia="en-GB"/>
        </w:rPr>
      </w:pPr>
    </w:p>
    <w:p w:rsidR="008A50AC" w:rsidRPr="00101CB4" w:rsidRDefault="008A50AC" w:rsidP="00877B52">
      <w:pPr>
        <w:numPr>
          <w:ilvl w:val="1"/>
          <w:numId w:val="9"/>
        </w:numPr>
        <w:tabs>
          <w:tab w:val="left" w:pos="0"/>
        </w:tabs>
        <w:suppressAutoHyphens/>
        <w:spacing w:after="0" w:line="240" w:lineRule="auto"/>
        <w:rPr>
          <w:rFonts w:ascii="Arial" w:hAnsi="Arial" w:cs="Arial"/>
          <w:spacing w:val="-3"/>
          <w:sz w:val="24"/>
          <w:szCs w:val="24"/>
          <w:lang w:eastAsia="en-GB"/>
        </w:rPr>
      </w:pPr>
      <w:r>
        <w:rPr>
          <w:rFonts w:ascii="Arial" w:hAnsi="Arial" w:cs="Arial"/>
          <w:spacing w:val="-3"/>
          <w:sz w:val="24"/>
          <w:szCs w:val="24"/>
          <w:lang w:eastAsia="en-GB"/>
        </w:rPr>
        <w:t>It is anticipated that the October European Council (24</w:t>
      </w:r>
      <w:r w:rsidRPr="00101CB4">
        <w:rPr>
          <w:rFonts w:ascii="Arial" w:hAnsi="Arial" w:cs="Arial"/>
          <w:spacing w:val="-3"/>
          <w:sz w:val="24"/>
          <w:szCs w:val="24"/>
          <w:vertAlign w:val="superscript"/>
          <w:lang w:eastAsia="en-GB"/>
        </w:rPr>
        <w:t>th</w:t>
      </w:r>
      <w:r>
        <w:rPr>
          <w:rFonts w:ascii="Arial" w:hAnsi="Arial" w:cs="Arial"/>
          <w:spacing w:val="-3"/>
          <w:sz w:val="24"/>
          <w:szCs w:val="24"/>
          <w:lang w:eastAsia="en-GB"/>
        </w:rPr>
        <w:t>/25</w:t>
      </w:r>
      <w:r w:rsidRPr="00101CB4">
        <w:rPr>
          <w:rFonts w:ascii="Arial" w:hAnsi="Arial" w:cs="Arial"/>
          <w:spacing w:val="-3"/>
          <w:sz w:val="24"/>
          <w:szCs w:val="24"/>
          <w:vertAlign w:val="superscript"/>
          <w:lang w:eastAsia="en-GB"/>
        </w:rPr>
        <w:t>th</w:t>
      </w:r>
      <w:r>
        <w:rPr>
          <w:rFonts w:ascii="Arial" w:hAnsi="Arial" w:cs="Arial"/>
          <w:spacing w:val="-3"/>
          <w:sz w:val="24"/>
          <w:szCs w:val="24"/>
          <w:lang w:eastAsia="en-GB"/>
        </w:rPr>
        <w:t xml:space="preserve"> October 2013) will </w:t>
      </w:r>
      <w:r w:rsidR="00A54A65">
        <w:rPr>
          <w:rFonts w:ascii="Arial" w:hAnsi="Arial" w:cs="Arial"/>
          <w:spacing w:val="-3"/>
          <w:sz w:val="24"/>
          <w:szCs w:val="24"/>
          <w:lang w:eastAsia="en-GB"/>
        </w:rPr>
        <w:t xml:space="preserve">discuss this package as part of a wider debate on the digital single market and it is expected that Council Conclusions will be agreed that </w:t>
      </w:r>
      <w:r>
        <w:rPr>
          <w:rFonts w:ascii="Arial" w:hAnsi="Arial" w:cs="Arial"/>
          <w:spacing w:val="-3"/>
          <w:sz w:val="24"/>
          <w:szCs w:val="24"/>
          <w:lang w:eastAsia="en-GB"/>
        </w:rPr>
        <w:t>contain an element covering this package</w:t>
      </w:r>
      <w:r w:rsidR="00A54A65">
        <w:rPr>
          <w:rFonts w:ascii="Arial" w:hAnsi="Arial" w:cs="Arial"/>
          <w:spacing w:val="-3"/>
          <w:sz w:val="24"/>
          <w:szCs w:val="24"/>
          <w:lang w:eastAsia="en-GB"/>
        </w:rPr>
        <w:t xml:space="preserve"> and </w:t>
      </w:r>
      <w:r>
        <w:rPr>
          <w:rFonts w:ascii="Arial" w:hAnsi="Arial" w:cs="Arial"/>
          <w:spacing w:val="-3"/>
          <w:sz w:val="24"/>
          <w:szCs w:val="24"/>
          <w:lang w:eastAsia="en-GB"/>
        </w:rPr>
        <w:t xml:space="preserve"> negotiations at Working Group level to begin in November 2013.  A Progress Report may be considered at the Telecommunications Council (6</w:t>
      </w:r>
      <w:r w:rsidRPr="00101CB4">
        <w:rPr>
          <w:rFonts w:ascii="Arial" w:hAnsi="Arial" w:cs="Arial"/>
          <w:spacing w:val="-3"/>
          <w:sz w:val="24"/>
          <w:szCs w:val="24"/>
          <w:vertAlign w:val="superscript"/>
          <w:lang w:eastAsia="en-GB"/>
        </w:rPr>
        <w:t>th</w:t>
      </w:r>
      <w:r>
        <w:rPr>
          <w:rFonts w:ascii="Arial" w:hAnsi="Arial" w:cs="Arial"/>
          <w:spacing w:val="-3"/>
          <w:sz w:val="24"/>
          <w:szCs w:val="24"/>
          <w:lang w:eastAsia="en-GB"/>
        </w:rPr>
        <w:t xml:space="preserve"> December 2013).  It is worth noting that the European Parliament has indicated severe concerns regarding the timing of this package and a mismatch with its parliamentary timetable with any plenary vote needing to take place by April 2014.</w:t>
      </w:r>
    </w:p>
    <w:p w:rsidR="008A50AC" w:rsidRPr="00877B52" w:rsidRDefault="008A50AC" w:rsidP="00877B52">
      <w:pPr>
        <w:tabs>
          <w:tab w:val="left" w:pos="0"/>
        </w:tabs>
        <w:suppressAutoHyphens/>
        <w:spacing w:after="0" w:line="240" w:lineRule="auto"/>
        <w:rPr>
          <w:rFonts w:ascii="Arial" w:hAnsi="Arial" w:cs="Arial"/>
          <w:b/>
          <w:bCs/>
          <w:spacing w:val="-3"/>
          <w:sz w:val="24"/>
          <w:szCs w:val="24"/>
          <w:lang w:eastAsia="en-GB"/>
        </w:rPr>
      </w:pPr>
    </w:p>
    <w:p w:rsidR="008A50AC" w:rsidRPr="00877B52" w:rsidRDefault="008A50AC" w:rsidP="00877B52">
      <w:pPr>
        <w:tabs>
          <w:tab w:val="left" w:pos="0"/>
        </w:tabs>
        <w:suppressAutoHyphens/>
        <w:spacing w:after="0" w:line="240" w:lineRule="auto"/>
        <w:rPr>
          <w:rFonts w:ascii="Arial" w:hAnsi="Arial" w:cs="Arial"/>
          <w:b/>
          <w:bCs/>
          <w:spacing w:val="-3"/>
          <w:sz w:val="24"/>
          <w:szCs w:val="24"/>
          <w:lang w:eastAsia="en-GB"/>
        </w:rPr>
      </w:pPr>
    </w:p>
    <w:p w:rsidR="008A50AC" w:rsidRPr="00877B52" w:rsidRDefault="008A50AC" w:rsidP="00877B52">
      <w:pPr>
        <w:tabs>
          <w:tab w:val="left" w:pos="0"/>
        </w:tabs>
        <w:suppressAutoHyphens/>
        <w:spacing w:after="0" w:line="240" w:lineRule="auto"/>
        <w:rPr>
          <w:rFonts w:ascii="Arial" w:hAnsi="Arial" w:cs="Arial"/>
          <w:spacing w:val="-3"/>
          <w:sz w:val="24"/>
          <w:szCs w:val="24"/>
          <w:lang w:eastAsia="en-GB"/>
        </w:rPr>
      </w:pPr>
    </w:p>
    <w:p w:rsidR="009A0F52" w:rsidRDefault="009A0F52" w:rsidP="001E2E75">
      <w:pPr>
        <w:tabs>
          <w:tab w:val="left" w:pos="0"/>
        </w:tabs>
        <w:suppressAutoHyphens/>
        <w:spacing w:after="0" w:line="240" w:lineRule="auto"/>
        <w:jc w:val="center"/>
        <w:rPr>
          <w:rFonts w:ascii="Arial" w:hAnsi="Arial" w:cs="Arial"/>
          <w:i/>
          <w:iCs/>
          <w:spacing w:val="-3"/>
          <w:sz w:val="24"/>
          <w:szCs w:val="24"/>
          <w:lang w:eastAsia="en-GB"/>
        </w:rPr>
      </w:pPr>
    </w:p>
    <w:p w:rsidR="008A50AC" w:rsidRDefault="008A50AC" w:rsidP="001E2E75">
      <w:pPr>
        <w:tabs>
          <w:tab w:val="left" w:pos="0"/>
        </w:tabs>
        <w:suppressAutoHyphens/>
        <w:spacing w:after="0" w:line="240" w:lineRule="auto"/>
        <w:jc w:val="center"/>
        <w:rPr>
          <w:rFonts w:ascii="Arial" w:hAnsi="Arial" w:cs="Arial"/>
          <w:i/>
          <w:iCs/>
          <w:spacing w:val="-3"/>
          <w:sz w:val="24"/>
          <w:szCs w:val="24"/>
          <w:lang w:eastAsia="en-GB"/>
        </w:rPr>
      </w:pPr>
      <w:r w:rsidRPr="00877B52">
        <w:rPr>
          <w:rFonts w:ascii="Arial" w:hAnsi="Arial" w:cs="Arial"/>
          <w:i/>
          <w:iCs/>
          <w:spacing w:val="-3"/>
          <w:sz w:val="24"/>
          <w:szCs w:val="24"/>
          <w:lang w:eastAsia="en-GB"/>
        </w:rPr>
        <w:t>[leave enough space for the Minister’s signature here]</w:t>
      </w:r>
    </w:p>
    <w:p w:rsidR="008A50AC" w:rsidRPr="00877B52" w:rsidRDefault="008A50AC" w:rsidP="00877B52">
      <w:pPr>
        <w:tabs>
          <w:tab w:val="left" w:pos="0"/>
        </w:tabs>
        <w:suppressAutoHyphens/>
        <w:spacing w:after="0" w:line="240" w:lineRule="auto"/>
        <w:rPr>
          <w:rFonts w:ascii="Arial" w:hAnsi="Arial" w:cs="Arial"/>
          <w:spacing w:val="-3"/>
          <w:sz w:val="24"/>
          <w:szCs w:val="24"/>
          <w:lang w:eastAsia="en-GB"/>
        </w:rPr>
      </w:pPr>
    </w:p>
    <w:p w:rsidR="008A50AC" w:rsidRPr="00877B52" w:rsidRDefault="008A50AC" w:rsidP="00877B52">
      <w:pPr>
        <w:tabs>
          <w:tab w:val="left" w:pos="0"/>
        </w:tabs>
        <w:suppressAutoHyphens/>
        <w:spacing w:after="0" w:line="240" w:lineRule="auto"/>
        <w:rPr>
          <w:rFonts w:ascii="Arial" w:hAnsi="Arial" w:cs="Arial"/>
          <w:spacing w:val="-3"/>
          <w:sz w:val="24"/>
          <w:szCs w:val="24"/>
          <w:lang w:eastAsia="en-GB"/>
        </w:rPr>
      </w:pPr>
    </w:p>
    <w:p w:rsidR="009A0F52" w:rsidRDefault="009A0F52" w:rsidP="00101CB4">
      <w:pPr>
        <w:suppressAutoHyphens/>
        <w:spacing w:after="0" w:line="240" w:lineRule="auto"/>
        <w:jc w:val="center"/>
        <w:rPr>
          <w:rFonts w:ascii="Arial" w:hAnsi="Arial" w:cs="Arial"/>
          <w:sz w:val="24"/>
          <w:szCs w:val="24"/>
          <w:lang w:eastAsia="en-GB"/>
        </w:rPr>
      </w:pPr>
    </w:p>
    <w:p w:rsidR="009A0F52" w:rsidRDefault="009A0F52" w:rsidP="00101CB4">
      <w:pPr>
        <w:suppressAutoHyphens/>
        <w:spacing w:after="0" w:line="240" w:lineRule="auto"/>
        <w:jc w:val="center"/>
        <w:rPr>
          <w:rFonts w:ascii="Arial" w:hAnsi="Arial" w:cs="Arial"/>
          <w:sz w:val="24"/>
          <w:szCs w:val="24"/>
          <w:lang w:eastAsia="en-GB"/>
        </w:rPr>
      </w:pPr>
    </w:p>
    <w:p w:rsidR="008A50AC" w:rsidRDefault="008A50AC" w:rsidP="00101CB4">
      <w:pPr>
        <w:suppressAutoHyphens/>
        <w:spacing w:after="0" w:line="240" w:lineRule="auto"/>
        <w:jc w:val="center"/>
        <w:rPr>
          <w:rFonts w:ascii="Arial" w:hAnsi="Arial" w:cs="Arial"/>
          <w:sz w:val="24"/>
          <w:szCs w:val="24"/>
          <w:lang w:eastAsia="en-GB"/>
        </w:rPr>
      </w:pPr>
      <w:r>
        <w:rPr>
          <w:rFonts w:ascii="Arial" w:hAnsi="Arial" w:cs="Arial"/>
          <w:sz w:val="24"/>
          <w:szCs w:val="24"/>
          <w:lang w:eastAsia="en-GB"/>
        </w:rPr>
        <w:t xml:space="preserve">Ed </w:t>
      </w:r>
      <w:proofErr w:type="spellStart"/>
      <w:r>
        <w:rPr>
          <w:rFonts w:ascii="Arial" w:hAnsi="Arial" w:cs="Arial"/>
          <w:sz w:val="24"/>
          <w:szCs w:val="24"/>
          <w:lang w:eastAsia="en-GB"/>
        </w:rPr>
        <w:t>Vaizey</w:t>
      </w:r>
      <w:proofErr w:type="spellEnd"/>
    </w:p>
    <w:p w:rsidR="008A50AC" w:rsidRDefault="008A50AC" w:rsidP="00101CB4">
      <w:pPr>
        <w:suppressAutoHyphens/>
        <w:spacing w:after="0" w:line="240" w:lineRule="auto"/>
        <w:jc w:val="center"/>
        <w:rPr>
          <w:rFonts w:ascii="Arial" w:hAnsi="Arial" w:cs="Arial"/>
          <w:sz w:val="24"/>
          <w:szCs w:val="24"/>
          <w:lang w:eastAsia="en-GB"/>
        </w:rPr>
      </w:pPr>
    </w:p>
    <w:p w:rsidR="008A50AC" w:rsidRDefault="008A50AC" w:rsidP="00101CB4">
      <w:pPr>
        <w:suppressAutoHyphens/>
        <w:spacing w:after="0" w:line="240" w:lineRule="auto"/>
        <w:jc w:val="center"/>
        <w:rPr>
          <w:rFonts w:ascii="Arial" w:hAnsi="Arial" w:cs="Arial"/>
          <w:sz w:val="24"/>
          <w:szCs w:val="24"/>
          <w:lang w:eastAsia="en-GB"/>
        </w:rPr>
      </w:pPr>
      <w:r>
        <w:rPr>
          <w:rFonts w:ascii="Arial" w:hAnsi="Arial" w:cs="Arial"/>
          <w:sz w:val="24"/>
          <w:szCs w:val="24"/>
          <w:lang w:eastAsia="en-GB"/>
        </w:rPr>
        <w:t>Minister for Culture, Communications and Creative Industries</w:t>
      </w:r>
    </w:p>
    <w:p w:rsidR="008A50AC" w:rsidRDefault="008A50AC" w:rsidP="00101CB4">
      <w:pPr>
        <w:suppressAutoHyphens/>
        <w:spacing w:after="0" w:line="240" w:lineRule="auto"/>
        <w:jc w:val="center"/>
        <w:rPr>
          <w:rFonts w:ascii="Arial" w:hAnsi="Arial" w:cs="Arial"/>
          <w:sz w:val="24"/>
          <w:szCs w:val="24"/>
          <w:lang w:eastAsia="en-GB"/>
        </w:rPr>
      </w:pPr>
    </w:p>
    <w:p w:rsidR="008A50AC" w:rsidRDefault="008A50AC" w:rsidP="00101CB4">
      <w:pPr>
        <w:suppressAutoHyphens/>
        <w:spacing w:after="0" w:line="240" w:lineRule="auto"/>
        <w:jc w:val="center"/>
        <w:rPr>
          <w:rFonts w:ascii="Arial" w:hAnsi="Arial" w:cs="Arial"/>
          <w:sz w:val="24"/>
          <w:szCs w:val="24"/>
          <w:lang w:eastAsia="en-GB"/>
        </w:rPr>
      </w:pPr>
      <w:r>
        <w:rPr>
          <w:rFonts w:ascii="Arial" w:hAnsi="Arial" w:cs="Arial"/>
          <w:sz w:val="24"/>
          <w:szCs w:val="24"/>
          <w:lang w:eastAsia="en-GB"/>
        </w:rPr>
        <w:t>Department for Culture, Media and Sport</w:t>
      </w:r>
    </w:p>
    <w:p w:rsidR="008A50AC" w:rsidRPr="009A0F52" w:rsidRDefault="008A50AC" w:rsidP="009A0F52">
      <w:pPr>
        <w:suppressAutoHyphens/>
        <w:spacing w:after="0" w:line="240" w:lineRule="auto"/>
        <w:rPr>
          <w:rFonts w:ascii="Arial" w:hAnsi="Arial" w:cs="Arial"/>
          <w:color w:val="000000"/>
        </w:rPr>
      </w:pPr>
    </w:p>
    <w:sectPr w:rsidR="008A50AC" w:rsidRPr="009A0F52" w:rsidSect="009770D5">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196B" w:rsidRDefault="009C196B" w:rsidP="00EB4F71">
      <w:pPr>
        <w:spacing w:after="0" w:line="240" w:lineRule="auto"/>
      </w:pPr>
      <w:r>
        <w:separator/>
      </w:r>
    </w:p>
  </w:endnote>
  <w:endnote w:type="continuationSeparator" w:id="0">
    <w:p w:rsidR="009C196B" w:rsidRDefault="009C196B" w:rsidP="00EB4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5294252"/>
      <w:docPartObj>
        <w:docPartGallery w:val="Page Numbers (Bottom of Page)"/>
        <w:docPartUnique/>
      </w:docPartObj>
    </w:sdtPr>
    <w:sdtEndPr/>
    <w:sdtContent>
      <w:sdt>
        <w:sdtPr>
          <w:id w:val="-1669238322"/>
          <w:docPartObj>
            <w:docPartGallery w:val="Page Numbers (Top of Page)"/>
            <w:docPartUnique/>
          </w:docPartObj>
        </w:sdtPr>
        <w:sdtEndPr/>
        <w:sdtContent>
          <w:p w:rsidR="00EB4F71" w:rsidRDefault="00EB4F71">
            <w:pPr>
              <w:pStyle w:val="Footer"/>
              <w:jc w:val="center"/>
            </w:pPr>
            <w:r w:rsidRPr="00EB4F71">
              <w:rPr>
                <w:rFonts w:ascii="Arial" w:hAnsi="Arial"/>
                <w:sz w:val="24"/>
              </w:rPr>
              <w:t xml:space="preserve">Page </w:t>
            </w:r>
            <w:r w:rsidRPr="00EB4F71">
              <w:rPr>
                <w:rFonts w:ascii="Arial" w:hAnsi="Arial"/>
                <w:bCs/>
                <w:sz w:val="24"/>
                <w:szCs w:val="24"/>
              </w:rPr>
              <w:fldChar w:fldCharType="begin"/>
            </w:r>
            <w:r w:rsidRPr="00EB4F71">
              <w:rPr>
                <w:rFonts w:ascii="Arial" w:hAnsi="Arial"/>
                <w:bCs/>
                <w:sz w:val="24"/>
              </w:rPr>
              <w:instrText xml:space="preserve"> PAGE </w:instrText>
            </w:r>
            <w:r w:rsidRPr="00EB4F71">
              <w:rPr>
                <w:rFonts w:ascii="Arial" w:hAnsi="Arial"/>
                <w:bCs/>
                <w:sz w:val="24"/>
                <w:szCs w:val="24"/>
              </w:rPr>
              <w:fldChar w:fldCharType="separate"/>
            </w:r>
            <w:r w:rsidR="00BA395A">
              <w:rPr>
                <w:rFonts w:ascii="Arial" w:hAnsi="Arial"/>
                <w:bCs/>
                <w:noProof/>
                <w:sz w:val="24"/>
              </w:rPr>
              <w:t>1</w:t>
            </w:r>
            <w:r w:rsidRPr="00EB4F71">
              <w:rPr>
                <w:rFonts w:ascii="Arial" w:hAnsi="Arial"/>
                <w:bCs/>
                <w:sz w:val="24"/>
                <w:szCs w:val="24"/>
              </w:rPr>
              <w:fldChar w:fldCharType="end"/>
            </w:r>
            <w:r w:rsidRPr="00EB4F71">
              <w:rPr>
                <w:rFonts w:ascii="Arial" w:hAnsi="Arial"/>
                <w:sz w:val="24"/>
              </w:rPr>
              <w:t xml:space="preserve"> of </w:t>
            </w:r>
            <w:r w:rsidRPr="00EB4F71">
              <w:rPr>
                <w:rFonts w:ascii="Arial" w:hAnsi="Arial"/>
                <w:bCs/>
                <w:sz w:val="24"/>
                <w:szCs w:val="24"/>
              </w:rPr>
              <w:fldChar w:fldCharType="begin"/>
            </w:r>
            <w:r w:rsidRPr="00EB4F71">
              <w:rPr>
                <w:rFonts w:ascii="Arial" w:hAnsi="Arial"/>
                <w:bCs/>
                <w:sz w:val="24"/>
              </w:rPr>
              <w:instrText xml:space="preserve"> NUMPAGES  </w:instrText>
            </w:r>
            <w:r w:rsidRPr="00EB4F71">
              <w:rPr>
                <w:rFonts w:ascii="Arial" w:hAnsi="Arial"/>
                <w:bCs/>
                <w:sz w:val="24"/>
                <w:szCs w:val="24"/>
              </w:rPr>
              <w:fldChar w:fldCharType="separate"/>
            </w:r>
            <w:r w:rsidR="00BA395A">
              <w:rPr>
                <w:rFonts w:ascii="Arial" w:hAnsi="Arial"/>
                <w:bCs/>
                <w:noProof/>
                <w:sz w:val="24"/>
              </w:rPr>
              <w:t>17</w:t>
            </w:r>
            <w:r w:rsidRPr="00EB4F71">
              <w:rPr>
                <w:rFonts w:ascii="Arial" w:hAnsi="Arial"/>
                <w:bCs/>
                <w:sz w:val="24"/>
                <w:szCs w:val="24"/>
              </w:rPr>
              <w:fldChar w:fldCharType="end"/>
            </w:r>
          </w:p>
        </w:sdtContent>
      </w:sdt>
    </w:sdtContent>
  </w:sdt>
  <w:p w:rsidR="00EB4F71" w:rsidRDefault="00EB4F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196B" w:rsidRDefault="009C196B" w:rsidP="00EB4F71">
      <w:pPr>
        <w:spacing w:after="0" w:line="240" w:lineRule="auto"/>
      </w:pPr>
      <w:r>
        <w:separator/>
      </w:r>
    </w:p>
  </w:footnote>
  <w:footnote w:type="continuationSeparator" w:id="0">
    <w:p w:rsidR="009C196B" w:rsidRDefault="009C196B" w:rsidP="00EB4F71">
      <w:pPr>
        <w:spacing w:after="0" w:line="240" w:lineRule="auto"/>
      </w:pPr>
      <w:r>
        <w:continuationSeparator/>
      </w:r>
    </w:p>
  </w:footnote>
  <w:footnote w:id="1">
    <w:p w:rsidR="008C37D2" w:rsidRDefault="008C37D2" w:rsidP="008C37D2">
      <w:pPr>
        <w:pStyle w:val="FootnoteText"/>
      </w:pPr>
      <w:r>
        <w:rPr>
          <w:rStyle w:val="FootnoteReference"/>
        </w:rPr>
        <w:footnoteRef/>
      </w:r>
      <w:r>
        <w:t xml:space="preserve"> </w:t>
      </w:r>
      <w:proofErr w:type="spellStart"/>
      <w:r w:rsidRPr="00391088">
        <w:t>Ecorys</w:t>
      </w:r>
      <w:proofErr w:type="spellEnd"/>
      <w:r w:rsidRPr="00391088">
        <w:t xml:space="preserve">, TU Delft et al., Steps </w:t>
      </w:r>
      <w:proofErr w:type="gramStart"/>
      <w:r w:rsidRPr="00391088">
        <w:t>Towards</w:t>
      </w:r>
      <w:proofErr w:type="gramEnd"/>
      <w:r w:rsidRPr="00391088">
        <w:t xml:space="preserve"> a Truly Internal Market for e-Communications, 2013.</w:t>
      </w:r>
    </w:p>
  </w:footnote>
  <w:footnote w:id="2">
    <w:p w:rsidR="00D91AA9" w:rsidRDefault="00D91AA9">
      <w:pPr>
        <w:pStyle w:val="FootnoteText"/>
      </w:pPr>
      <w:r>
        <w:rPr>
          <w:rStyle w:val="FootnoteReference"/>
        </w:rPr>
        <w:footnoteRef/>
      </w:r>
      <w:r>
        <w:t xml:space="preserve"> </w:t>
      </w:r>
      <w:r w:rsidRPr="00D91AA9">
        <w:t>“Connectivity, Content, and Consumers: Britain</w:t>
      </w:r>
      <w:r>
        <w:t>’s digital platform for growth”</w:t>
      </w:r>
      <w:r w:rsidRPr="00D91AA9">
        <w:t xml:space="preserve"> published on 30th July 2013</w:t>
      </w:r>
    </w:p>
  </w:footnote>
  <w:footnote w:id="3">
    <w:p w:rsidR="00D91AA9" w:rsidRDefault="00D91AA9">
      <w:pPr>
        <w:pStyle w:val="FootnoteText"/>
      </w:pPr>
      <w:r>
        <w:rPr>
          <w:rStyle w:val="FootnoteReference"/>
        </w:rPr>
        <w:footnoteRef/>
      </w:r>
      <w:r>
        <w:t xml:space="preserve">  </w:t>
      </w:r>
      <w:r w:rsidR="006A7818">
        <w:t>Ibid</w:t>
      </w:r>
    </w:p>
  </w:footnote>
  <w:footnote w:id="4">
    <w:p w:rsidR="009515AA" w:rsidRDefault="009515AA" w:rsidP="009515AA">
      <w:pPr>
        <w:pStyle w:val="FootnoteText"/>
      </w:pPr>
      <w:r>
        <w:rPr>
          <w:rStyle w:val="FootnoteReference"/>
        </w:rPr>
        <w:footnoteRef/>
      </w:r>
      <w:r>
        <w:t xml:space="preserve"> </w:t>
      </w:r>
      <w:proofErr w:type="spellStart"/>
      <w:r>
        <w:t>Ecorys</w:t>
      </w:r>
      <w:proofErr w:type="spellEnd"/>
      <w:r>
        <w:t xml:space="preserve">, </w:t>
      </w:r>
      <w:proofErr w:type="spellStart"/>
      <w:r>
        <w:t>TUDelft</w:t>
      </w:r>
      <w:proofErr w:type="spellEnd"/>
      <w:r>
        <w:t xml:space="preserve"> and TNO: “Steps towards a truly Internal Market for e-communications In the run-up to 2020”, Client: DG Information Society and Media, European Commission, Rotterdam, 14 November 2011.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D0CD4"/>
    <w:multiLevelType w:val="hybridMultilevel"/>
    <w:tmpl w:val="970061BC"/>
    <w:lvl w:ilvl="0" w:tplc="180CC92E">
      <w:start w:val="1"/>
      <w:numFmt w:val="decimal"/>
      <w:lvlText w:val="%1."/>
      <w:lvlJc w:val="left"/>
      <w:pPr>
        <w:tabs>
          <w:tab w:val="num" w:pos="360"/>
        </w:tabs>
        <w:ind w:left="360" w:hanging="360"/>
      </w:pPr>
      <w:rPr>
        <w:rFonts w:ascii="Arial" w:hAnsi="Arial" w:hint="default"/>
        <w:b w:val="0"/>
        <w:bCs w:val="0"/>
        <w:i w:val="0"/>
        <w:iCs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111D30C0"/>
    <w:multiLevelType w:val="hybridMultilevel"/>
    <w:tmpl w:val="C52CCA06"/>
    <w:lvl w:ilvl="0" w:tplc="180CC92E">
      <w:start w:val="1"/>
      <w:numFmt w:val="decimal"/>
      <w:lvlText w:val="%1."/>
      <w:lvlJc w:val="left"/>
      <w:pPr>
        <w:tabs>
          <w:tab w:val="num" w:pos="360"/>
        </w:tabs>
        <w:ind w:left="360" w:hanging="360"/>
      </w:pPr>
      <w:rPr>
        <w:rFonts w:ascii="Arial" w:hAnsi="Arial" w:cs="Arial" w:hint="default"/>
        <w:b w:val="0"/>
        <w:bCs w:val="0"/>
        <w:i w:val="0"/>
        <w:iCs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nsid w:val="142164A1"/>
    <w:multiLevelType w:val="hybridMultilevel"/>
    <w:tmpl w:val="A620993E"/>
    <w:lvl w:ilvl="0" w:tplc="180CC92E">
      <w:start w:val="1"/>
      <w:numFmt w:val="decimal"/>
      <w:lvlText w:val="%1."/>
      <w:lvlJc w:val="left"/>
      <w:pPr>
        <w:tabs>
          <w:tab w:val="num" w:pos="360"/>
        </w:tabs>
        <w:ind w:left="360" w:hanging="360"/>
      </w:pPr>
      <w:rPr>
        <w:rFonts w:ascii="Arial" w:hAnsi="Arial" w:cs="Arial" w:hint="default"/>
        <w:b w:val="0"/>
        <w:bCs w:val="0"/>
        <w:i w:val="0"/>
        <w:iCs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nsid w:val="15C43035"/>
    <w:multiLevelType w:val="hybridMultilevel"/>
    <w:tmpl w:val="3AC0350E"/>
    <w:lvl w:ilvl="0" w:tplc="180CC92E">
      <w:start w:val="1"/>
      <w:numFmt w:val="decimal"/>
      <w:lvlText w:val="%1."/>
      <w:lvlJc w:val="left"/>
      <w:pPr>
        <w:tabs>
          <w:tab w:val="num" w:pos="360"/>
        </w:tabs>
        <w:ind w:left="360" w:hanging="360"/>
      </w:pPr>
      <w:rPr>
        <w:rFonts w:ascii="Arial" w:hAnsi="Arial" w:cs="Arial" w:hint="default"/>
        <w:b w:val="0"/>
        <w:bCs w:val="0"/>
        <w:i w:val="0"/>
        <w:iCs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0977661"/>
    <w:multiLevelType w:val="hybridMultilevel"/>
    <w:tmpl w:val="0C2AE17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2ED217D"/>
    <w:multiLevelType w:val="hybridMultilevel"/>
    <w:tmpl w:val="9ACE480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24D00AA3"/>
    <w:multiLevelType w:val="hybridMultilevel"/>
    <w:tmpl w:val="80DABF9A"/>
    <w:lvl w:ilvl="0" w:tplc="180CC92E">
      <w:start w:val="1"/>
      <w:numFmt w:val="decimal"/>
      <w:lvlText w:val="%1."/>
      <w:lvlJc w:val="left"/>
      <w:pPr>
        <w:tabs>
          <w:tab w:val="num" w:pos="360"/>
        </w:tabs>
        <w:ind w:left="360" w:hanging="360"/>
      </w:pPr>
      <w:rPr>
        <w:rFonts w:ascii="Arial" w:hAnsi="Arial" w:cs="Arial" w:hint="default"/>
        <w:b w:val="0"/>
        <w:bCs w:val="0"/>
        <w:i w:val="0"/>
        <w:iCs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76459A0"/>
    <w:multiLevelType w:val="hybridMultilevel"/>
    <w:tmpl w:val="8E18DA2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8">
    <w:nsid w:val="291678AD"/>
    <w:multiLevelType w:val="hybridMultilevel"/>
    <w:tmpl w:val="D3668B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B9236F2"/>
    <w:multiLevelType w:val="hybridMultilevel"/>
    <w:tmpl w:val="648A7CAA"/>
    <w:lvl w:ilvl="0" w:tplc="08090001">
      <w:start w:val="1"/>
      <w:numFmt w:val="bullet"/>
      <w:lvlText w:val=""/>
      <w:lvlJc w:val="left"/>
      <w:pPr>
        <w:tabs>
          <w:tab w:val="num" w:pos="720"/>
        </w:tabs>
        <w:ind w:left="720" w:hanging="360"/>
      </w:pPr>
      <w:rPr>
        <w:rFonts w:ascii="Symbol" w:hAnsi="Symbol" w:cs="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cs="Wingdings" w:hint="default"/>
      </w:rPr>
    </w:lvl>
    <w:lvl w:ilvl="3" w:tplc="08090001" w:tentative="1">
      <w:start w:val="1"/>
      <w:numFmt w:val="bullet"/>
      <w:lvlText w:val=""/>
      <w:lvlJc w:val="left"/>
      <w:pPr>
        <w:tabs>
          <w:tab w:val="num" w:pos="2880"/>
        </w:tabs>
        <w:ind w:left="2880" w:hanging="360"/>
      </w:pPr>
      <w:rPr>
        <w:rFonts w:ascii="Symbol" w:hAnsi="Symbol" w:cs="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cs="Wingdings" w:hint="default"/>
      </w:rPr>
    </w:lvl>
    <w:lvl w:ilvl="6" w:tplc="08090001" w:tentative="1">
      <w:start w:val="1"/>
      <w:numFmt w:val="bullet"/>
      <w:lvlText w:val=""/>
      <w:lvlJc w:val="left"/>
      <w:pPr>
        <w:tabs>
          <w:tab w:val="num" w:pos="5040"/>
        </w:tabs>
        <w:ind w:left="5040" w:hanging="360"/>
      </w:pPr>
      <w:rPr>
        <w:rFonts w:ascii="Symbol" w:hAnsi="Symbol" w:cs="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cs="Wingdings" w:hint="default"/>
      </w:rPr>
    </w:lvl>
  </w:abstractNum>
  <w:abstractNum w:abstractNumId="10">
    <w:nsid w:val="303358B7"/>
    <w:multiLevelType w:val="hybridMultilevel"/>
    <w:tmpl w:val="7C765766"/>
    <w:lvl w:ilvl="0" w:tplc="08090001">
      <w:start w:val="1"/>
      <w:numFmt w:val="bullet"/>
      <w:lvlText w:val=""/>
      <w:lvlJc w:val="left"/>
      <w:pPr>
        <w:tabs>
          <w:tab w:val="num" w:pos="360"/>
        </w:tabs>
        <w:ind w:left="360" w:hanging="360"/>
      </w:pPr>
      <w:rPr>
        <w:rFonts w:ascii="Symbol" w:hAnsi="Symbol" w:cs="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cs="Wingdings" w:hint="default"/>
      </w:rPr>
    </w:lvl>
    <w:lvl w:ilvl="3" w:tplc="08090001" w:tentative="1">
      <w:start w:val="1"/>
      <w:numFmt w:val="bullet"/>
      <w:lvlText w:val=""/>
      <w:lvlJc w:val="left"/>
      <w:pPr>
        <w:tabs>
          <w:tab w:val="num" w:pos="2520"/>
        </w:tabs>
        <w:ind w:left="2520" w:hanging="360"/>
      </w:pPr>
      <w:rPr>
        <w:rFonts w:ascii="Symbol" w:hAnsi="Symbol" w:cs="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cs="Wingdings" w:hint="default"/>
      </w:rPr>
    </w:lvl>
    <w:lvl w:ilvl="6" w:tplc="08090001" w:tentative="1">
      <w:start w:val="1"/>
      <w:numFmt w:val="bullet"/>
      <w:lvlText w:val=""/>
      <w:lvlJc w:val="left"/>
      <w:pPr>
        <w:tabs>
          <w:tab w:val="num" w:pos="4680"/>
        </w:tabs>
        <w:ind w:left="4680" w:hanging="360"/>
      </w:pPr>
      <w:rPr>
        <w:rFonts w:ascii="Symbol" w:hAnsi="Symbol" w:cs="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cs="Wingdings" w:hint="default"/>
      </w:rPr>
    </w:lvl>
  </w:abstractNum>
  <w:abstractNum w:abstractNumId="11">
    <w:nsid w:val="31A2614E"/>
    <w:multiLevelType w:val="hybridMultilevel"/>
    <w:tmpl w:val="93A21F86"/>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nsid w:val="340B4F5A"/>
    <w:multiLevelType w:val="hybridMultilevel"/>
    <w:tmpl w:val="F24CD0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471181A"/>
    <w:multiLevelType w:val="hybridMultilevel"/>
    <w:tmpl w:val="C62C37B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3795193A"/>
    <w:multiLevelType w:val="singleLevel"/>
    <w:tmpl w:val="F1922388"/>
    <w:lvl w:ilvl="0">
      <w:start w:val="4"/>
      <w:numFmt w:val="lowerRoman"/>
      <w:lvlText w:val="%1."/>
      <w:lvlJc w:val="left"/>
      <w:pPr>
        <w:tabs>
          <w:tab w:val="num" w:pos="1440"/>
        </w:tabs>
        <w:ind w:left="1440" w:hanging="720"/>
      </w:pPr>
      <w:rPr>
        <w:rFonts w:hint="default"/>
      </w:rPr>
    </w:lvl>
  </w:abstractNum>
  <w:abstractNum w:abstractNumId="15">
    <w:nsid w:val="386C4BAB"/>
    <w:multiLevelType w:val="hybridMultilevel"/>
    <w:tmpl w:val="5AEA1E66"/>
    <w:lvl w:ilvl="0" w:tplc="08090001">
      <w:start w:val="1"/>
      <w:numFmt w:val="bullet"/>
      <w:lvlText w:val=""/>
      <w:lvlJc w:val="left"/>
      <w:pPr>
        <w:tabs>
          <w:tab w:val="num" w:pos="720"/>
        </w:tabs>
        <w:ind w:left="720" w:hanging="360"/>
      </w:pPr>
      <w:rPr>
        <w:rFonts w:ascii="Symbol" w:hAnsi="Symbol" w:cs="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cs="Wingdings" w:hint="default"/>
      </w:rPr>
    </w:lvl>
    <w:lvl w:ilvl="3" w:tplc="08090001" w:tentative="1">
      <w:start w:val="1"/>
      <w:numFmt w:val="bullet"/>
      <w:lvlText w:val=""/>
      <w:lvlJc w:val="left"/>
      <w:pPr>
        <w:tabs>
          <w:tab w:val="num" w:pos="2880"/>
        </w:tabs>
        <w:ind w:left="2880" w:hanging="360"/>
      </w:pPr>
      <w:rPr>
        <w:rFonts w:ascii="Symbol" w:hAnsi="Symbol" w:cs="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cs="Wingdings" w:hint="default"/>
      </w:rPr>
    </w:lvl>
    <w:lvl w:ilvl="6" w:tplc="08090001" w:tentative="1">
      <w:start w:val="1"/>
      <w:numFmt w:val="bullet"/>
      <w:lvlText w:val=""/>
      <w:lvlJc w:val="left"/>
      <w:pPr>
        <w:tabs>
          <w:tab w:val="num" w:pos="5040"/>
        </w:tabs>
        <w:ind w:left="5040" w:hanging="360"/>
      </w:pPr>
      <w:rPr>
        <w:rFonts w:ascii="Symbol" w:hAnsi="Symbol" w:cs="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cs="Wingdings" w:hint="default"/>
      </w:rPr>
    </w:lvl>
  </w:abstractNum>
  <w:abstractNum w:abstractNumId="16">
    <w:nsid w:val="398B429F"/>
    <w:multiLevelType w:val="hybridMultilevel"/>
    <w:tmpl w:val="376EE75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17">
    <w:nsid w:val="3AB912CD"/>
    <w:multiLevelType w:val="multilevel"/>
    <w:tmpl w:val="48A68782"/>
    <w:lvl w:ilvl="0">
      <w:start w:val="1"/>
      <w:numFmt w:val="decimal"/>
      <w:lvlText w:val="%1."/>
      <w:lvlJc w:val="left"/>
      <w:pPr>
        <w:tabs>
          <w:tab w:val="num" w:pos="360"/>
        </w:tabs>
        <w:ind w:left="360" w:hanging="360"/>
      </w:pPr>
    </w:lvl>
    <w:lvl w:ilvl="1">
      <w:start w:val="1"/>
      <w:numFmt w:val="bullet"/>
      <w:lvlText w:val=""/>
      <w:lvlJc w:val="left"/>
      <w:pPr>
        <w:tabs>
          <w:tab w:val="num" w:pos="360"/>
        </w:tabs>
        <w:ind w:left="360" w:hanging="360"/>
      </w:pPr>
      <w:rPr>
        <w:rFonts w:ascii="Symbol" w:hAnsi="Symbol" w:cs="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nsid w:val="3FAA153C"/>
    <w:multiLevelType w:val="hybridMultilevel"/>
    <w:tmpl w:val="60BC81E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400B3163"/>
    <w:multiLevelType w:val="hybridMultilevel"/>
    <w:tmpl w:val="CB2AC7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57B5343"/>
    <w:multiLevelType w:val="hybridMultilevel"/>
    <w:tmpl w:val="94F88DF0"/>
    <w:lvl w:ilvl="0" w:tplc="08090001">
      <w:start w:val="1"/>
      <w:numFmt w:val="bullet"/>
      <w:lvlText w:val=""/>
      <w:lvlJc w:val="left"/>
      <w:pPr>
        <w:tabs>
          <w:tab w:val="num" w:pos="720"/>
        </w:tabs>
        <w:ind w:left="720" w:hanging="360"/>
      </w:pPr>
      <w:rPr>
        <w:rFonts w:ascii="Symbol" w:hAnsi="Symbol" w:cs="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cs="Wingdings" w:hint="default"/>
      </w:rPr>
    </w:lvl>
    <w:lvl w:ilvl="3" w:tplc="08090001" w:tentative="1">
      <w:start w:val="1"/>
      <w:numFmt w:val="bullet"/>
      <w:lvlText w:val=""/>
      <w:lvlJc w:val="left"/>
      <w:pPr>
        <w:tabs>
          <w:tab w:val="num" w:pos="2880"/>
        </w:tabs>
        <w:ind w:left="2880" w:hanging="360"/>
      </w:pPr>
      <w:rPr>
        <w:rFonts w:ascii="Symbol" w:hAnsi="Symbol" w:cs="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cs="Wingdings" w:hint="default"/>
      </w:rPr>
    </w:lvl>
    <w:lvl w:ilvl="6" w:tplc="08090001" w:tentative="1">
      <w:start w:val="1"/>
      <w:numFmt w:val="bullet"/>
      <w:lvlText w:val=""/>
      <w:lvlJc w:val="left"/>
      <w:pPr>
        <w:tabs>
          <w:tab w:val="num" w:pos="5040"/>
        </w:tabs>
        <w:ind w:left="5040" w:hanging="360"/>
      </w:pPr>
      <w:rPr>
        <w:rFonts w:ascii="Symbol" w:hAnsi="Symbol" w:cs="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cs="Wingdings" w:hint="default"/>
      </w:rPr>
    </w:lvl>
  </w:abstractNum>
  <w:abstractNum w:abstractNumId="21">
    <w:nsid w:val="47A14109"/>
    <w:multiLevelType w:val="hybridMultilevel"/>
    <w:tmpl w:val="7DCC76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BED028D"/>
    <w:multiLevelType w:val="hybridMultilevel"/>
    <w:tmpl w:val="0C36B16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4BFA6A05"/>
    <w:multiLevelType w:val="hybridMultilevel"/>
    <w:tmpl w:val="9D6A895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4D673A13"/>
    <w:multiLevelType w:val="hybridMultilevel"/>
    <w:tmpl w:val="6394B7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19B72E7"/>
    <w:multiLevelType w:val="hybridMultilevel"/>
    <w:tmpl w:val="224E917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nsid w:val="54BE48E2"/>
    <w:multiLevelType w:val="hybridMultilevel"/>
    <w:tmpl w:val="B484DD56"/>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7">
    <w:nsid w:val="55B83842"/>
    <w:multiLevelType w:val="hybridMultilevel"/>
    <w:tmpl w:val="F25AEA6E"/>
    <w:lvl w:ilvl="0" w:tplc="08090001">
      <w:start w:val="1"/>
      <w:numFmt w:val="bullet"/>
      <w:lvlText w:val=""/>
      <w:lvlJc w:val="left"/>
      <w:pPr>
        <w:tabs>
          <w:tab w:val="num" w:pos="720"/>
        </w:tabs>
        <w:ind w:left="720" w:hanging="360"/>
      </w:pPr>
      <w:rPr>
        <w:rFonts w:ascii="Symbol" w:hAnsi="Symbol" w:cs="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cs="Wingdings" w:hint="default"/>
      </w:rPr>
    </w:lvl>
    <w:lvl w:ilvl="3" w:tplc="08090001" w:tentative="1">
      <w:start w:val="1"/>
      <w:numFmt w:val="bullet"/>
      <w:lvlText w:val=""/>
      <w:lvlJc w:val="left"/>
      <w:pPr>
        <w:tabs>
          <w:tab w:val="num" w:pos="2880"/>
        </w:tabs>
        <w:ind w:left="2880" w:hanging="360"/>
      </w:pPr>
      <w:rPr>
        <w:rFonts w:ascii="Symbol" w:hAnsi="Symbol" w:cs="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cs="Wingdings" w:hint="default"/>
      </w:rPr>
    </w:lvl>
    <w:lvl w:ilvl="6" w:tplc="08090001" w:tentative="1">
      <w:start w:val="1"/>
      <w:numFmt w:val="bullet"/>
      <w:lvlText w:val=""/>
      <w:lvlJc w:val="left"/>
      <w:pPr>
        <w:tabs>
          <w:tab w:val="num" w:pos="5040"/>
        </w:tabs>
        <w:ind w:left="5040" w:hanging="360"/>
      </w:pPr>
      <w:rPr>
        <w:rFonts w:ascii="Symbol" w:hAnsi="Symbol" w:cs="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cs="Wingdings" w:hint="default"/>
      </w:rPr>
    </w:lvl>
  </w:abstractNum>
  <w:abstractNum w:abstractNumId="28">
    <w:nsid w:val="59136EBE"/>
    <w:multiLevelType w:val="singleLevel"/>
    <w:tmpl w:val="5B987408"/>
    <w:lvl w:ilvl="0">
      <w:start w:val="2"/>
      <w:numFmt w:val="bullet"/>
      <w:lvlText w:val="-"/>
      <w:lvlJc w:val="left"/>
      <w:pPr>
        <w:tabs>
          <w:tab w:val="num" w:pos="2160"/>
        </w:tabs>
        <w:ind w:left="2160" w:hanging="720"/>
      </w:pPr>
      <w:rPr>
        <w:rFonts w:ascii="Times New Roman" w:hAnsi="Times New Roman" w:cs="Times New Roman" w:hint="default"/>
      </w:rPr>
    </w:lvl>
  </w:abstractNum>
  <w:abstractNum w:abstractNumId="29">
    <w:nsid w:val="5D6B1E8B"/>
    <w:multiLevelType w:val="hybridMultilevel"/>
    <w:tmpl w:val="D5EC3E2A"/>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0">
    <w:nsid w:val="5DF37DBD"/>
    <w:multiLevelType w:val="hybridMultilevel"/>
    <w:tmpl w:val="59FA36DE"/>
    <w:lvl w:ilvl="0" w:tplc="180CC92E">
      <w:start w:val="1"/>
      <w:numFmt w:val="decimal"/>
      <w:lvlText w:val="%1."/>
      <w:lvlJc w:val="left"/>
      <w:pPr>
        <w:tabs>
          <w:tab w:val="num" w:pos="360"/>
        </w:tabs>
        <w:ind w:left="360" w:hanging="360"/>
      </w:pPr>
      <w:rPr>
        <w:rFonts w:ascii="Arial" w:hAnsi="Arial" w:cs="Arial" w:hint="default"/>
        <w:b w:val="0"/>
        <w:bCs w:val="0"/>
        <w:i w:val="0"/>
        <w:iCs w:val="0"/>
        <w:sz w:val="24"/>
        <w:szCs w:val="24"/>
      </w:rPr>
    </w:lvl>
    <w:lvl w:ilvl="1" w:tplc="180CC92E">
      <w:start w:val="1"/>
      <w:numFmt w:val="decimal"/>
      <w:lvlText w:val="%2."/>
      <w:lvlJc w:val="left"/>
      <w:pPr>
        <w:tabs>
          <w:tab w:val="num" w:pos="360"/>
        </w:tabs>
        <w:ind w:left="360" w:hanging="360"/>
      </w:pPr>
      <w:rPr>
        <w:rFonts w:ascii="Arial" w:hAnsi="Arial" w:cs="Arial" w:hint="default"/>
        <w:b w:val="0"/>
        <w:bCs w:val="0"/>
        <w:i w:val="0"/>
        <w:iCs w:val="0"/>
        <w:sz w:val="24"/>
        <w:szCs w:val="24"/>
      </w:rPr>
    </w:lvl>
    <w:lvl w:ilvl="2" w:tplc="08090001">
      <w:start w:val="1"/>
      <w:numFmt w:val="bullet"/>
      <w:lvlText w:val=""/>
      <w:lvlJc w:val="left"/>
      <w:pPr>
        <w:tabs>
          <w:tab w:val="num" w:pos="1800"/>
        </w:tabs>
        <w:ind w:left="1800" w:hanging="180"/>
      </w:pPr>
      <w:rPr>
        <w:rFonts w:ascii="Symbol" w:hAnsi="Symbol" w:hint="default"/>
      </w:rPr>
    </w:lvl>
    <w:lvl w:ilvl="3" w:tplc="08090001">
      <w:start w:val="1"/>
      <w:numFmt w:val="bullet"/>
      <w:lvlText w:val=""/>
      <w:lvlJc w:val="left"/>
      <w:pPr>
        <w:tabs>
          <w:tab w:val="num" w:pos="2520"/>
        </w:tabs>
        <w:ind w:left="2520" w:hanging="360"/>
      </w:pPr>
      <w:rPr>
        <w:rFonts w:ascii="Symbol" w:hAnsi="Symbol" w:cs="Symbol" w:hint="default"/>
        <w:b w:val="0"/>
        <w:bCs w:val="0"/>
        <w:i w:val="0"/>
        <w:iCs w:val="0"/>
        <w:sz w:val="24"/>
        <w:szCs w:val="24"/>
      </w:r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1">
    <w:nsid w:val="5E34292C"/>
    <w:multiLevelType w:val="hybridMultilevel"/>
    <w:tmpl w:val="63B0EC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33C4F6F"/>
    <w:multiLevelType w:val="hybridMultilevel"/>
    <w:tmpl w:val="27F66F1E"/>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3">
    <w:nsid w:val="681E0DEF"/>
    <w:multiLevelType w:val="hybridMultilevel"/>
    <w:tmpl w:val="77206D6C"/>
    <w:lvl w:ilvl="0" w:tplc="180CC92E">
      <w:start w:val="1"/>
      <w:numFmt w:val="decimal"/>
      <w:lvlText w:val="%1."/>
      <w:lvlJc w:val="left"/>
      <w:pPr>
        <w:tabs>
          <w:tab w:val="num" w:pos="420"/>
        </w:tabs>
        <w:ind w:left="420" w:hanging="360"/>
      </w:pPr>
      <w:rPr>
        <w:rFonts w:ascii="Arial" w:hAnsi="Arial" w:cs="Arial" w:hint="default"/>
        <w:b w:val="0"/>
        <w:bCs w:val="0"/>
        <w:i w:val="0"/>
        <w:iCs w:val="0"/>
        <w:sz w:val="24"/>
        <w:szCs w:val="24"/>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4">
    <w:nsid w:val="6CF94FB9"/>
    <w:multiLevelType w:val="hybridMultilevel"/>
    <w:tmpl w:val="8146D6F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nsid w:val="714C2F2D"/>
    <w:multiLevelType w:val="multilevel"/>
    <w:tmpl w:val="83AA933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cs="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28"/>
  </w:num>
  <w:num w:numId="2">
    <w:abstractNumId w:val="16"/>
  </w:num>
  <w:num w:numId="3">
    <w:abstractNumId w:val="9"/>
  </w:num>
  <w:num w:numId="4">
    <w:abstractNumId w:val="15"/>
  </w:num>
  <w:num w:numId="5">
    <w:abstractNumId w:val="14"/>
    <w:lvlOverride w:ilvl="0">
      <w:startOverride w:val="4"/>
    </w:lvlOverride>
  </w:num>
  <w:num w:numId="6">
    <w:abstractNumId w:val="7"/>
  </w:num>
  <w:num w:numId="7">
    <w:abstractNumId w:val="27"/>
  </w:num>
  <w:num w:numId="8">
    <w:abstractNumId w:val="11"/>
  </w:num>
  <w:num w:numId="9">
    <w:abstractNumId w:val="30"/>
  </w:num>
  <w:num w:numId="10">
    <w:abstractNumId w:val="35"/>
  </w:num>
  <w:num w:numId="11">
    <w:abstractNumId w:val="29"/>
  </w:num>
  <w:num w:numId="12">
    <w:abstractNumId w:val="32"/>
  </w:num>
  <w:num w:numId="13">
    <w:abstractNumId w:val="26"/>
  </w:num>
  <w:num w:numId="14">
    <w:abstractNumId w:val="17"/>
  </w:num>
  <w:num w:numId="15">
    <w:abstractNumId w:val="0"/>
  </w:num>
  <w:num w:numId="16">
    <w:abstractNumId w:val="10"/>
  </w:num>
  <w:num w:numId="17">
    <w:abstractNumId w:val="2"/>
  </w:num>
  <w:num w:numId="18">
    <w:abstractNumId w:val="1"/>
  </w:num>
  <w:num w:numId="19">
    <w:abstractNumId w:val="20"/>
  </w:num>
  <w:num w:numId="20">
    <w:abstractNumId w:val="34"/>
  </w:num>
  <w:num w:numId="21">
    <w:abstractNumId w:val="31"/>
  </w:num>
  <w:num w:numId="22">
    <w:abstractNumId w:val="23"/>
  </w:num>
  <w:num w:numId="23">
    <w:abstractNumId w:val="6"/>
  </w:num>
  <w:num w:numId="24">
    <w:abstractNumId w:val="33"/>
  </w:num>
  <w:num w:numId="25">
    <w:abstractNumId w:val="3"/>
  </w:num>
  <w:num w:numId="26">
    <w:abstractNumId w:val="13"/>
  </w:num>
  <w:num w:numId="27">
    <w:abstractNumId w:val="25"/>
  </w:num>
  <w:num w:numId="28">
    <w:abstractNumId w:val="18"/>
  </w:num>
  <w:num w:numId="29">
    <w:abstractNumId w:val="4"/>
  </w:num>
  <w:num w:numId="30">
    <w:abstractNumId w:val="8"/>
  </w:num>
  <w:num w:numId="31">
    <w:abstractNumId w:val="19"/>
  </w:num>
  <w:num w:numId="32">
    <w:abstractNumId w:val="21"/>
  </w:num>
  <w:num w:numId="33">
    <w:abstractNumId w:val="22"/>
  </w:num>
  <w:num w:numId="34">
    <w:abstractNumId w:val="12"/>
  </w:num>
  <w:num w:numId="35">
    <w:abstractNumId w:val="24"/>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B52"/>
    <w:rsid w:val="00000204"/>
    <w:rsid w:val="00021BD8"/>
    <w:rsid w:val="00033953"/>
    <w:rsid w:val="00036007"/>
    <w:rsid w:val="00040A93"/>
    <w:rsid w:val="00044DED"/>
    <w:rsid w:val="00057768"/>
    <w:rsid w:val="000962D3"/>
    <w:rsid w:val="000A74C6"/>
    <w:rsid w:val="000C0171"/>
    <w:rsid w:val="000D5C16"/>
    <w:rsid w:val="000E52FA"/>
    <w:rsid w:val="000F2274"/>
    <w:rsid w:val="000F2647"/>
    <w:rsid w:val="00101958"/>
    <w:rsid w:val="00101CB4"/>
    <w:rsid w:val="001052DC"/>
    <w:rsid w:val="00106683"/>
    <w:rsid w:val="00111577"/>
    <w:rsid w:val="00112CBB"/>
    <w:rsid w:val="0015056E"/>
    <w:rsid w:val="00152F92"/>
    <w:rsid w:val="001530D5"/>
    <w:rsid w:val="001A2329"/>
    <w:rsid w:val="001A2419"/>
    <w:rsid w:val="001B4CD8"/>
    <w:rsid w:val="001C3AD3"/>
    <w:rsid w:val="001D1F56"/>
    <w:rsid w:val="001E184D"/>
    <w:rsid w:val="001E2E75"/>
    <w:rsid w:val="001E7BF1"/>
    <w:rsid w:val="001F2478"/>
    <w:rsid w:val="00225EA5"/>
    <w:rsid w:val="002350FE"/>
    <w:rsid w:val="0023655C"/>
    <w:rsid w:val="00240CC0"/>
    <w:rsid w:val="002454BF"/>
    <w:rsid w:val="0026472D"/>
    <w:rsid w:val="00280292"/>
    <w:rsid w:val="00287848"/>
    <w:rsid w:val="002B22BB"/>
    <w:rsid w:val="002B71CF"/>
    <w:rsid w:val="002C10EF"/>
    <w:rsid w:val="002C39EE"/>
    <w:rsid w:val="0030173F"/>
    <w:rsid w:val="00314167"/>
    <w:rsid w:val="00321DD2"/>
    <w:rsid w:val="003413F5"/>
    <w:rsid w:val="00341F3D"/>
    <w:rsid w:val="0036411D"/>
    <w:rsid w:val="003706FE"/>
    <w:rsid w:val="003740BA"/>
    <w:rsid w:val="00391088"/>
    <w:rsid w:val="003B0C31"/>
    <w:rsid w:val="003D12C5"/>
    <w:rsid w:val="003E1DFA"/>
    <w:rsid w:val="003E3F61"/>
    <w:rsid w:val="003E5F0D"/>
    <w:rsid w:val="0040067B"/>
    <w:rsid w:val="0043478C"/>
    <w:rsid w:val="00454661"/>
    <w:rsid w:val="00492102"/>
    <w:rsid w:val="004942A2"/>
    <w:rsid w:val="00495BE2"/>
    <w:rsid w:val="00497DD2"/>
    <w:rsid w:val="004A782E"/>
    <w:rsid w:val="004E4EE4"/>
    <w:rsid w:val="004E6E28"/>
    <w:rsid w:val="00501742"/>
    <w:rsid w:val="00511F80"/>
    <w:rsid w:val="00513C91"/>
    <w:rsid w:val="00522625"/>
    <w:rsid w:val="0054369E"/>
    <w:rsid w:val="005457EA"/>
    <w:rsid w:val="005479B2"/>
    <w:rsid w:val="005504E8"/>
    <w:rsid w:val="00585379"/>
    <w:rsid w:val="00586E52"/>
    <w:rsid w:val="005904C5"/>
    <w:rsid w:val="005A3C7B"/>
    <w:rsid w:val="005E7560"/>
    <w:rsid w:val="00604C9E"/>
    <w:rsid w:val="00635101"/>
    <w:rsid w:val="00684D12"/>
    <w:rsid w:val="006A083A"/>
    <w:rsid w:val="006A7818"/>
    <w:rsid w:val="006A7E61"/>
    <w:rsid w:val="006B6B1E"/>
    <w:rsid w:val="006B6D04"/>
    <w:rsid w:val="006C6BE7"/>
    <w:rsid w:val="006D457D"/>
    <w:rsid w:val="006D4790"/>
    <w:rsid w:val="006E1D19"/>
    <w:rsid w:val="006E2644"/>
    <w:rsid w:val="006F3092"/>
    <w:rsid w:val="006F7041"/>
    <w:rsid w:val="00735ACE"/>
    <w:rsid w:val="00745EDF"/>
    <w:rsid w:val="007528F6"/>
    <w:rsid w:val="0077783D"/>
    <w:rsid w:val="00795EBF"/>
    <w:rsid w:val="00796A4F"/>
    <w:rsid w:val="007C5CEE"/>
    <w:rsid w:val="007E389F"/>
    <w:rsid w:val="007E6330"/>
    <w:rsid w:val="00807816"/>
    <w:rsid w:val="00827BC1"/>
    <w:rsid w:val="00836BC2"/>
    <w:rsid w:val="00842B21"/>
    <w:rsid w:val="00851E72"/>
    <w:rsid w:val="008700B6"/>
    <w:rsid w:val="00871EB8"/>
    <w:rsid w:val="00877B52"/>
    <w:rsid w:val="00893A63"/>
    <w:rsid w:val="00895E5F"/>
    <w:rsid w:val="008A239F"/>
    <w:rsid w:val="008A50AC"/>
    <w:rsid w:val="008A6FF8"/>
    <w:rsid w:val="008B3751"/>
    <w:rsid w:val="008B7A21"/>
    <w:rsid w:val="008C37D2"/>
    <w:rsid w:val="008C3D3D"/>
    <w:rsid w:val="008E4BDA"/>
    <w:rsid w:val="00916ED0"/>
    <w:rsid w:val="009226C5"/>
    <w:rsid w:val="009515AA"/>
    <w:rsid w:val="009568E9"/>
    <w:rsid w:val="0096082B"/>
    <w:rsid w:val="00965D6A"/>
    <w:rsid w:val="00967EC5"/>
    <w:rsid w:val="009770D5"/>
    <w:rsid w:val="00977AE2"/>
    <w:rsid w:val="0098107C"/>
    <w:rsid w:val="009915FF"/>
    <w:rsid w:val="00991EEB"/>
    <w:rsid w:val="009A0F52"/>
    <w:rsid w:val="009A5EC3"/>
    <w:rsid w:val="009C196B"/>
    <w:rsid w:val="009E0751"/>
    <w:rsid w:val="009E5695"/>
    <w:rsid w:val="00A120B1"/>
    <w:rsid w:val="00A32C15"/>
    <w:rsid w:val="00A340A9"/>
    <w:rsid w:val="00A34C5A"/>
    <w:rsid w:val="00A54A65"/>
    <w:rsid w:val="00A66012"/>
    <w:rsid w:val="00A92FE5"/>
    <w:rsid w:val="00AB4479"/>
    <w:rsid w:val="00AD4485"/>
    <w:rsid w:val="00B20F18"/>
    <w:rsid w:val="00B4525D"/>
    <w:rsid w:val="00B601D3"/>
    <w:rsid w:val="00B907CF"/>
    <w:rsid w:val="00B90852"/>
    <w:rsid w:val="00B908AE"/>
    <w:rsid w:val="00BA37F6"/>
    <w:rsid w:val="00BA395A"/>
    <w:rsid w:val="00BB3AAE"/>
    <w:rsid w:val="00BC4600"/>
    <w:rsid w:val="00BC5A5F"/>
    <w:rsid w:val="00BF0A6D"/>
    <w:rsid w:val="00C35F55"/>
    <w:rsid w:val="00C57088"/>
    <w:rsid w:val="00C626F4"/>
    <w:rsid w:val="00C6738B"/>
    <w:rsid w:val="00C84842"/>
    <w:rsid w:val="00CA0F33"/>
    <w:rsid w:val="00CB3258"/>
    <w:rsid w:val="00CC2DBB"/>
    <w:rsid w:val="00CC6037"/>
    <w:rsid w:val="00CE738C"/>
    <w:rsid w:val="00CF4FF6"/>
    <w:rsid w:val="00D3138D"/>
    <w:rsid w:val="00D6419F"/>
    <w:rsid w:val="00D663DB"/>
    <w:rsid w:val="00D90880"/>
    <w:rsid w:val="00D91AA9"/>
    <w:rsid w:val="00D91ACA"/>
    <w:rsid w:val="00D94F33"/>
    <w:rsid w:val="00DB4183"/>
    <w:rsid w:val="00DD5590"/>
    <w:rsid w:val="00DE78F0"/>
    <w:rsid w:val="00DF2F86"/>
    <w:rsid w:val="00DF7C2F"/>
    <w:rsid w:val="00E02E3A"/>
    <w:rsid w:val="00E153E8"/>
    <w:rsid w:val="00E16F14"/>
    <w:rsid w:val="00E30D4A"/>
    <w:rsid w:val="00E47342"/>
    <w:rsid w:val="00EA6675"/>
    <w:rsid w:val="00EB4F71"/>
    <w:rsid w:val="00EC0F40"/>
    <w:rsid w:val="00EC2085"/>
    <w:rsid w:val="00ED1794"/>
    <w:rsid w:val="00ED56D5"/>
    <w:rsid w:val="00EE23DA"/>
    <w:rsid w:val="00F32C27"/>
    <w:rsid w:val="00F41AF7"/>
    <w:rsid w:val="00F714F2"/>
    <w:rsid w:val="00F72CA6"/>
    <w:rsid w:val="00FB4BE3"/>
    <w:rsid w:val="00FC32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CEE"/>
    <w:pPr>
      <w:spacing w:after="200" w:line="276" w:lineRule="auto"/>
    </w:pPr>
    <w:rPr>
      <w:rFonts w:cs="Calibr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226C5"/>
    <w:pPr>
      <w:spacing w:before="150" w:after="150" w:line="240" w:lineRule="auto"/>
      <w:ind w:left="675" w:right="525"/>
    </w:pPr>
    <w:rPr>
      <w:rFonts w:ascii="Times New Roman" w:hAnsi="Times New Roman" w:cs="Times New Roman"/>
      <w:sz w:val="19"/>
      <w:szCs w:val="19"/>
      <w:lang w:eastAsia="en-GB"/>
    </w:rPr>
  </w:style>
  <w:style w:type="paragraph" w:customStyle="1" w:styleId="ecxdefault">
    <w:name w:val="ecxdefault"/>
    <w:basedOn w:val="Normal"/>
    <w:uiPriority w:val="99"/>
    <w:rsid w:val="00916ED0"/>
    <w:pPr>
      <w:shd w:val="clear" w:color="auto" w:fill="FFFFFF"/>
      <w:spacing w:after="324" w:line="240" w:lineRule="auto"/>
    </w:pPr>
    <w:rPr>
      <w:rFonts w:ascii="Times New Roman" w:hAnsi="Times New Roman" w:cs="Times New Roman"/>
      <w:sz w:val="24"/>
      <w:szCs w:val="24"/>
      <w:lang w:eastAsia="en-GB"/>
    </w:rPr>
  </w:style>
  <w:style w:type="paragraph" w:customStyle="1" w:styleId="ecxmsonormal">
    <w:name w:val="ecxmsonormal"/>
    <w:basedOn w:val="Normal"/>
    <w:uiPriority w:val="99"/>
    <w:rsid w:val="00916ED0"/>
    <w:pPr>
      <w:shd w:val="clear" w:color="auto" w:fill="FFFFFF"/>
      <w:spacing w:after="324" w:line="240" w:lineRule="auto"/>
    </w:pPr>
    <w:rPr>
      <w:rFonts w:ascii="Times New Roman" w:hAnsi="Times New Roman" w:cs="Times New Roman"/>
      <w:sz w:val="24"/>
      <w:szCs w:val="24"/>
      <w:lang w:eastAsia="en-GB"/>
    </w:rPr>
  </w:style>
  <w:style w:type="paragraph" w:styleId="ListParagraph">
    <w:name w:val="List Paragraph"/>
    <w:basedOn w:val="Normal"/>
    <w:uiPriority w:val="34"/>
    <w:qFormat/>
    <w:rsid w:val="00EB4F71"/>
    <w:pPr>
      <w:ind w:left="720"/>
      <w:contextualSpacing/>
    </w:pPr>
  </w:style>
  <w:style w:type="paragraph" w:styleId="Header">
    <w:name w:val="header"/>
    <w:basedOn w:val="Normal"/>
    <w:link w:val="HeaderChar"/>
    <w:uiPriority w:val="99"/>
    <w:unhideWhenUsed/>
    <w:rsid w:val="00EB4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4F71"/>
    <w:rPr>
      <w:rFonts w:cs="Calibri"/>
      <w:lang w:eastAsia="en-US"/>
    </w:rPr>
  </w:style>
  <w:style w:type="paragraph" w:styleId="Footer">
    <w:name w:val="footer"/>
    <w:basedOn w:val="Normal"/>
    <w:link w:val="FooterChar"/>
    <w:uiPriority w:val="99"/>
    <w:unhideWhenUsed/>
    <w:rsid w:val="00EB4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4F71"/>
    <w:rPr>
      <w:rFonts w:cs="Calibri"/>
      <w:lang w:eastAsia="en-US"/>
    </w:rPr>
  </w:style>
  <w:style w:type="paragraph" w:styleId="FootnoteText">
    <w:name w:val="footnote text"/>
    <w:basedOn w:val="Normal"/>
    <w:link w:val="FootnoteTextChar"/>
    <w:uiPriority w:val="99"/>
    <w:semiHidden/>
    <w:unhideWhenUsed/>
    <w:rsid w:val="003910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1088"/>
    <w:rPr>
      <w:rFonts w:cs="Calibri"/>
      <w:sz w:val="20"/>
      <w:szCs w:val="20"/>
      <w:lang w:eastAsia="en-US"/>
    </w:rPr>
  </w:style>
  <w:style w:type="character" w:styleId="FootnoteReference">
    <w:name w:val="footnote reference"/>
    <w:basedOn w:val="DefaultParagraphFont"/>
    <w:uiPriority w:val="99"/>
    <w:semiHidden/>
    <w:unhideWhenUsed/>
    <w:rsid w:val="00391088"/>
    <w:rPr>
      <w:vertAlign w:val="superscript"/>
    </w:rPr>
  </w:style>
  <w:style w:type="character" w:styleId="CommentReference">
    <w:name w:val="annotation reference"/>
    <w:basedOn w:val="DefaultParagraphFont"/>
    <w:uiPriority w:val="99"/>
    <w:semiHidden/>
    <w:unhideWhenUsed/>
    <w:rsid w:val="009515AA"/>
    <w:rPr>
      <w:sz w:val="16"/>
      <w:szCs w:val="16"/>
    </w:rPr>
  </w:style>
  <w:style w:type="paragraph" w:styleId="CommentText">
    <w:name w:val="annotation text"/>
    <w:basedOn w:val="Normal"/>
    <w:link w:val="CommentTextChar"/>
    <w:uiPriority w:val="99"/>
    <w:semiHidden/>
    <w:unhideWhenUsed/>
    <w:rsid w:val="009515AA"/>
    <w:pPr>
      <w:spacing w:line="240" w:lineRule="auto"/>
    </w:pPr>
    <w:rPr>
      <w:sz w:val="20"/>
      <w:szCs w:val="20"/>
    </w:rPr>
  </w:style>
  <w:style w:type="character" w:customStyle="1" w:styleId="CommentTextChar">
    <w:name w:val="Comment Text Char"/>
    <w:basedOn w:val="DefaultParagraphFont"/>
    <w:link w:val="CommentText"/>
    <w:uiPriority w:val="99"/>
    <w:semiHidden/>
    <w:rsid w:val="009515AA"/>
    <w:rPr>
      <w:rFonts w:cs="Calibri"/>
      <w:sz w:val="20"/>
      <w:szCs w:val="20"/>
      <w:lang w:eastAsia="en-US"/>
    </w:rPr>
  </w:style>
  <w:style w:type="paragraph" w:styleId="BalloonText">
    <w:name w:val="Balloon Text"/>
    <w:basedOn w:val="Normal"/>
    <w:link w:val="BalloonTextChar"/>
    <w:uiPriority w:val="99"/>
    <w:semiHidden/>
    <w:unhideWhenUsed/>
    <w:rsid w:val="00951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5AA"/>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CEE"/>
    <w:pPr>
      <w:spacing w:after="200" w:line="276" w:lineRule="auto"/>
    </w:pPr>
    <w:rPr>
      <w:rFonts w:cs="Calibr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226C5"/>
    <w:pPr>
      <w:spacing w:before="150" w:after="150" w:line="240" w:lineRule="auto"/>
      <w:ind w:left="675" w:right="525"/>
    </w:pPr>
    <w:rPr>
      <w:rFonts w:ascii="Times New Roman" w:hAnsi="Times New Roman" w:cs="Times New Roman"/>
      <w:sz w:val="19"/>
      <w:szCs w:val="19"/>
      <w:lang w:eastAsia="en-GB"/>
    </w:rPr>
  </w:style>
  <w:style w:type="paragraph" w:customStyle="1" w:styleId="ecxdefault">
    <w:name w:val="ecxdefault"/>
    <w:basedOn w:val="Normal"/>
    <w:uiPriority w:val="99"/>
    <w:rsid w:val="00916ED0"/>
    <w:pPr>
      <w:shd w:val="clear" w:color="auto" w:fill="FFFFFF"/>
      <w:spacing w:after="324" w:line="240" w:lineRule="auto"/>
    </w:pPr>
    <w:rPr>
      <w:rFonts w:ascii="Times New Roman" w:hAnsi="Times New Roman" w:cs="Times New Roman"/>
      <w:sz w:val="24"/>
      <w:szCs w:val="24"/>
      <w:lang w:eastAsia="en-GB"/>
    </w:rPr>
  </w:style>
  <w:style w:type="paragraph" w:customStyle="1" w:styleId="ecxmsonormal">
    <w:name w:val="ecxmsonormal"/>
    <w:basedOn w:val="Normal"/>
    <w:uiPriority w:val="99"/>
    <w:rsid w:val="00916ED0"/>
    <w:pPr>
      <w:shd w:val="clear" w:color="auto" w:fill="FFFFFF"/>
      <w:spacing w:after="324" w:line="240" w:lineRule="auto"/>
    </w:pPr>
    <w:rPr>
      <w:rFonts w:ascii="Times New Roman" w:hAnsi="Times New Roman" w:cs="Times New Roman"/>
      <w:sz w:val="24"/>
      <w:szCs w:val="24"/>
      <w:lang w:eastAsia="en-GB"/>
    </w:rPr>
  </w:style>
  <w:style w:type="paragraph" w:styleId="ListParagraph">
    <w:name w:val="List Paragraph"/>
    <w:basedOn w:val="Normal"/>
    <w:uiPriority w:val="34"/>
    <w:qFormat/>
    <w:rsid w:val="00EB4F71"/>
    <w:pPr>
      <w:ind w:left="720"/>
      <w:contextualSpacing/>
    </w:pPr>
  </w:style>
  <w:style w:type="paragraph" w:styleId="Header">
    <w:name w:val="header"/>
    <w:basedOn w:val="Normal"/>
    <w:link w:val="HeaderChar"/>
    <w:uiPriority w:val="99"/>
    <w:unhideWhenUsed/>
    <w:rsid w:val="00EB4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4F71"/>
    <w:rPr>
      <w:rFonts w:cs="Calibri"/>
      <w:lang w:eastAsia="en-US"/>
    </w:rPr>
  </w:style>
  <w:style w:type="paragraph" w:styleId="Footer">
    <w:name w:val="footer"/>
    <w:basedOn w:val="Normal"/>
    <w:link w:val="FooterChar"/>
    <w:uiPriority w:val="99"/>
    <w:unhideWhenUsed/>
    <w:rsid w:val="00EB4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4F71"/>
    <w:rPr>
      <w:rFonts w:cs="Calibri"/>
      <w:lang w:eastAsia="en-US"/>
    </w:rPr>
  </w:style>
  <w:style w:type="paragraph" w:styleId="FootnoteText">
    <w:name w:val="footnote text"/>
    <w:basedOn w:val="Normal"/>
    <w:link w:val="FootnoteTextChar"/>
    <w:uiPriority w:val="99"/>
    <w:semiHidden/>
    <w:unhideWhenUsed/>
    <w:rsid w:val="003910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1088"/>
    <w:rPr>
      <w:rFonts w:cs="Calibri"/>
      <w:sz w:val="20"/>
      <w:szCs w:val="20"/>
      <w:lang w:eastAsia="en-US"/>
    </w:rPr>
  </w:style>
  <w:style w:type="character" w:styleId="FootnoteReference">
    <w:name w:val="footnote reference"/>
    <w:basedOn w:val="DefaultParagraphFont"/>
    <w:uiPriority w:val="99"/>
    <w:semiHidden/>
    <w:unhideWhenUsed/>
    <w:rsid w:val="00391088"/>
    <w:rPr>
      <w:vertAlign w:val="superscript"/>
    </w:rPr>
  </w:style>
  <w:style w:type="character" w:styleId="CommentReference">
    <w:name w:val="annotation reference"/>
    <w:basedOn w:val="DefaultParagraphFont"/>
    <w:uiPriority w:val="99"/>
    <w:semiHidden/>
    <w:unhideWhenUsed/>
    <w:rsid w:val="009515AA"/>
    <w:rPr>
      <w:sz w:val="16"/>
      <w:szCs w:val="16"/>
    </w:rPr>
  </w:style>
  <w:style w:type="paragraph" w:styleId="CommentText">
    <w:name w:val="annotation text"/>
    <w:basedOn w:val="Normal"/>
    <w:link w:val="CommentTextChar"/>
    <w:uiPriority w:val="99"/>
    <w:semiHidden/>
    <w:unhideWhenUsed/>
    <w:rsid w:val="009515AA"/>
    <w:pPr>
      <w:spacing w:line="240" w:lineRule="auto"/>
    </w:pPr>
    <w:rPr>
      <w:sz w:val="20"/>
      <w:szCs w:val="20"/>
    </w:rPr>
  </w:style>
  <w:style w:type="character" w:customStyle="1" w:styleId="CommentTextChar">
    <w:name w:val="Comment Text Char"/>
    <w:basedOn w:val="DefaultParagraphFont"/>
    <w:link w:val="CommentText"/>
    <w:uiPriority w:val="99"/>
    <w:semiHidden/>
    <w:rsid w:val="009515AA"/>
    <w:rPr>
      <w:rFonts w:cs="Calibri"/>
      <w:sz w:val="20"/>
      <w:szCs w:val="20"/>
      <w:lang w:eastAsia="en-US"/>
    </w:rPr>
  </w:style>
  <w:style w:type="paragraph" w:styleId="BalloonText">
    <w:name w:val="Balloon Text"/>
    <w:basedOn w:val="Normal"/>
    <w:link w:val="BalloonTextChar"/>
    <w:uiPriority w:val="99"/>
    <w:semiHidden/>
    <w:unhideWhenUsed/>
    <w:rsid w:val="00951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5AA"/>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672508">
      <w:bodyDiv w:val="1"/>
      <w:marLeft w:val="0"/>
      <w:marRight w:val="0"/>
      <w:marTop w:val="0"/>
      <w:marBottom w:val="0"/>
      <w:divBdr>
        <w:top w:val="none" w:sz="0" w:space="0" w:color="auto"/>
        <w:left w:val="none" w:sz="0" w:space="0" w:color="auto"/>
        <w:bottom w:val="none" w:sz="0" w:space="0" w:color="auto"/>
        <w:right w:val="none" w:sz="0" w:space="0" w:color="auto"/>
      </w:divBdr>
    </w:div>
    <w:div w:id="1443184559">
      <w:bodyDiv w:val="1"/>
      <w:marLeft w:val="0"/>
      <w:marRight w:val="0"/>
      <w:marTop w:val="0"/>
      <w:marBottom w:val="0"/>
      <w:divBdr>
        <w:top w:val="none" w:sz="0" w:space="0" w:color="auto"/>
        <w:left w:val="none" w:sz="0" w:space="0" w:color="auto"/>
        <w:bottom w:val="none" w:sz="0" w:space="0" w:color="auto"/>
        <w:right w:val="none" w:sz="0" w:space="0" w:color="auto"/>
      </w:divBdr>
    </w:div>
    <w:div w:id="1640189292">
      <w:marLeft w:val="0"/>
      <w:marRight w:val="0"/>
      <w:marTop w:val="0"/>
      <w:marBottom w:val="0"/>
      <w:divBdr>
        <w:top w:val="none" w:sz="0" w:space="0" w:color="auto"/>
        <w:left w:val="none" w:sz="0" w:space="0" w:color="auto"/>
        <w:bottom w:val="none" w:sz="0" w:space="0" w:color="auto"/>
        <w:right w:val="none" w:sz="0" w:space="0" w:color="auto"/>
      </w:divBdr>
      <w:divsChild>
        <w:div w:id="1640189288">
          <w:marLeft w:val="0"/>
          <w:marRight w:val="0"/>
          <w:marTop w:val="0"/>
          <w:marBottom w:val="0"/>
          <w:divBdr>
            <w:top w:val="none" w:sz="0" w:space="0" w:color="auto"/>
            <w:left w:val="none" w:sz="0" w:space="0" w:color="auto"/>
            <w:bottom w:val="none" w:sz="0" w:space="0" w:color="auto"/>
            <w:right w:val="none" w:sz="0" w:space="0" w:color="auto"/>
          </w:divBdr>
          <w:divsChild>
            <w:div w:id="1640189282">
              <w:marLeft w:val="0"/>
              <w:marRight w:val="0"/>
              <w:marTop w:val="0"/>
              <w:marBottom w:val="0"/>
              <w:divBdr>
                <w:top w:val="none" w:sz="0" w:space="0" w:color="auto"/>
                <w:left w:val="none" w:sz="0" w:space="0" w:color="auto"/>
                <w:bottom w:val="none" w:sz="0" w:space="0" w:color="auto"/>
                <w:right w:val="none" w:sz="0" w:space="0" w:color="auto"/>
              </w:divBdr>
              <w:divsChild>
                <w:div w:id="1640189290">
                  <w:marLeft w:val="0"/>
                  <w:marRight w:val="0"/>
                  <w:marTop w:val="0"/>
                  <w:marBottom w:val="0"/>
                  <w:divBdr>
                    <w:top w:val="none" w:sz="0" w:space="0" w:color="auto"/>
                    <w:left w:val="none" w:sz="0" w:space="0" w:color="auto"/>
                    <w:bottom w:val="none" w:sz="0" w:space="0" w:color="auto"/>
                    <w:right w:val="none" w:sz="0" w:space="0" w:color="auto"/>
                  </w:divBdr>
                  <w:divsChild>
                    <w:div w:id="1640189296">
                      <w:marLeft w:val="0"/>
                      <w:marRight w:val="0"/>
                      <w:marTop w:val="0"/>
                      <w:marBottom w:val="0"/>
                      <w:divBdr>
                        <w:top w:val="none" w:sz="0" w:space="0" w:color="auto"/>
                        <w:left w:val="none" w:sz="0" w:space="0" w:color="auto"/>
                        <w:bottom w:val="none" w:sz="0" w:space="0" w:color="auto"/>
                        <w:right w:val="none" w:sz="0" w:space="0" w:color="auto"/>
                      </w:divBdr>
                      <w:divsChild>
                        <w:div w:id="1640189287">
                          <w:marLeft w:val="0"/>
                          <w:marRight w:val="0"/>
                          <w:marTop w:val="0"/>
                          <w:marBottom w:val="0"/>
                          <w:divBdr>
                            <w:top w:val="none" w:sz="0" w:space="0" w:color="auto"/>
                            <w:left w:val="none" w:sz="0" w:space="0" w:color="auto"/>
                            <w:bottom w:val="none" w:sz="0" w:space="0" w:color="auto"/>
                            <w:right w:val="none" w:sz="0" w:space="0" w:color="auto"/>
                          </w:divBdr>
                          <w:divsChild>
                            <w:div w:id="1640189283">
                              <w:marLeft w:val="0"/>
                              <w:marRight w:val="0"/>
                              <w:marTop w:val="0"/>
                              <w:marBottom w:val="0"/>
                              <w:divBdr>
                                <w:top w:val="none" w:sz="0" w:space="0" w:color="auto"/>
                                <w:left w:val="none" w:sz="0" w:space="0" w:color="auto"/>
                                <w:bottom w:val="none" w:sz="0" w:space="0" w:color="auto"/>
                                <w:right w:val="none" w:sz="0" w:space="0" w:color="auto"/>
                              </w:divBdr>
                              <w:divsChild>
                                <w:div w:id="1640189306">
                                  <w:marLeft w:val="0"/>
                                  <w:marRight w:val="0"/>
                                  <w:marTop w:val="0"/>
                                  <w:marBottom w:val="0"/>
                                  <w:divBdr>
                                    <w:top w:val="none" w:sz="0" w:space="0" w:color="auto"/>
                                    <w:left w:val="none" w:sz="0" w:space="0" w:color="auto"/>
                                    <w:bottom w:val="none" w:sz="0" w:space="0" w:color="auto"/>
                                    <w:right w:val="none" w:sz="0" w:space="0" w:color="auto"/>
                                  </w:divBdr>
                                  <w:divsChild>
                                    <w:div w:id="1640189298">
                                      <w:marLeft w:val="0"/>
                                      <w:marRight w:val="0"/>
                                      <w:marTop w:val="0"/>
                                      <w:marBottom w:val="0"/>
                                      <w:divBdr>
                                        <w:top w:val="none" w:sz="0" w:space="0" w:color="auto"/>
                                        <w:left w:val="none" w:sz="0" w:space="0" w:color="auto"/>
                                        <w:bottom w:val="none" w:sz="0" w:space="0" w:color="auto"/>
                                        <w:right w:val="none" w:sz="0" w:space="0" w:color="auto"/>
                                      </w:divBdr>
                                      <w:divsChild>
                                        <w:div w:id="1640189289">
                                          <w:marLeft w:val="0"/>
                                          <w:marRight w:val="0"/>
                                          <w:marTop w:val="0"/>
                                          <w:marBottom w:val="0"/>
                                          <w:divBdr>
                                            <w:top w:val="none" w:sz="0" w:space="0" w:color="auto"/>
                                            <w:left w:val="none" w:sz="0" w:space="0" w:color="auto"/>
                                            <w:bottom w:val="none" w:sz="0" w:space="0" w:color="auto"/>
                                            <w:right w:val="none" w:sz="0" w:space="0" w:color="auto"/>
                                          </w:divBdr>
                                          <w:divsChild>
                                            <w:div w:id="1640189295">
                                              <w:marLeft w:val="0"/>
                                              <w:marRight w:val="0"/>
                                              <w:marTop w:val="0"/>
                                              <w:marBottom w:val="0"/>
                                              <w:divBdr>
                                                <w:top w:val="none" w:sz="0" w:space="0" w:color="auto"/>
                                                <w:left w:val="none" w:sz="0" w:space="0" w:color="auto"/>
                                                <w:bottom w:val="none" w:sz="0" w:space="0" w:color="auto"/>
                                                <w:right w:val="none" w:sz="0" w:space="0" w:color="auto"/>
                                              </w:divBdr>
                                              <w:divsChild>
                                                <w:div w:id="1640189307">
                                                  <w:marLeft w:val="0"/>
                                                  <w:marRight w:val="0"/>
                                                  <w:marTop w:val="0"/>
                                                  <w:marBottom w:val="0"/>
                                                  <w:divBdr>
                                                    <w:top w:val="none" w:sz="0" w:space="0" w:color="auto"/>
                                                    <w:left w:val="none" w:sz="0" w:space="0" w:color="auto"/>
                                                    <w:bottom w:val="none" w:sz="0" w:space="0" w:color="auto"/>
                                                    <w:right w:val="none" w:sz="0" w:space="0" w:color="auto"/>
                                                  </w:divBdr>
                                                  <w:divsChild>
                                                    <w:div w:id="1640189293">
                                                      <w:marLeft w:val="0"/>
                                                      <w:marRight w:val="300"/>
                                                      <w:marTop w:val="0"/>
                                                      <w:marBottom w:val="0"/>
                                                      <w:divBdr>
                                                        <w:top w:val="none" w:sz="0" w:space="0" w:color="auto"/>
                                                        <w:left w:val="none" w:sz="0" w:space="0" w:color="auto"/>
                                                        <w:bottom w:val="none" w:sz="0" w:space="0" w:color="auto"/>
                                                        <w:right w:val="none" w:sz="0" w:space="0" w:color="auto"/>
                                                      </w:divBdr>
                                                      <w:divsChild>
                                                        <w:div w:id="1640189305">
                                                          <w:marLeft w:val="0"/>
                                                          <w:marRight w:val="300"/>
                                                          <w:marTop w:val="0"/>
                                                          <w:marBottom w:val="0"/>
                                                          <w:divBdr>
                                                            <w:top w:val="none" w:sz="0" w:space="0" w:color="auto"/>
                                                            <w:left w:val="none" w:sz="0" w:space="0" w:color="auto"/>
                                                            <w:bottom w:val="none" w:sz="0" w:space="0" w:color="auto"/>
                                                            <w:right w:val="none" w:sz="0" w:space="0" w:color="auto"/>
                                                          </w:divBdr>
                                                          <w:divsChild>
                                                            <w:div w:id="1640189302">
                                                              <w:marLeft w:val="0"/>
                                                              <w:marRight w:val="0"/>
                                                              <w:marTop w:val="0"/>
                                                              <w:marBottom w:val="0"/>
                                                              <w:divBdr>
                                                                <w:top w:val="none" w:sz="0" w:space="0" w:color="auto"/>
                                                                <w:left w:val="none" w:sz="0" w:space="0" w:color="auto"/>
                                                                <w:bottom w:val="none" w:sz="0" w:space="0" w:color="auto"/>
                                                                <w:right w:val="none" w:sz="0" w:space="0" w:color="auto"/>
                                                              </w:divBdr>
                                                              <w:divsChild>
                                                                <w:div w:id="1640189301">
                                                                  <w:marLeft w:val="0"/>
                                                                  <w:marRight w:val="0"/>
                                                                  <w:marTop w:val="0"/>
                                                                  <w:marBottom w:val="0"/>
                                                                  <w:divBdr>
                                                                    <w:top w:val="none" w:sz="0" w:space="0" w:color="auto"/>
                                                                    <w:left w:val="none" w:sz="0" w:space="0" w:color="auto"/>
                                                                    <w:bottom w:val="none" w:sz="0" w:space="0" w:color="auto"/>
                                                                    <w:right w:val="none" w:sz="0" w:space="0" w:color="auto"/>
                                                                  </w:divBdr>
                                                                  <w:divsChild>
                                                                    <w:div w:id="1640189299">
                                                                      <w:marLeft w:val="0"/>
                                                                      <w:marRight w:val="0"/>
                                                                      <w:marTop w:val="0"/>
                                                                      <w:marBottom w:val="0"/>
                                                                      <w:divBdr>
                                                                        <w:top w:val="none" w:sz="0" w:space="0" w:color="auto"/>
                                                                        <w:left w:val="none" w:sz="0" w:space="0" w:color="auto"/>
                                                                        <w:bottom w:val="none" w:sz="0" w:space="0" w:color="auto"/>
                                                                        <w:right w:val="none" w:sz="0" w:space="0" w:color="auto"/>
                                                                      </w:divBdr>
                                                                      <w:divsChild>
                                                                        <w:div w:id="1640189304">
                                                                          <w:marLeft w:val="0"/>
                                                                          <w:marRight w:val="300"/>
                                                                          <w:marTop w:val="0"/>
                                                                          <w:marBottom w:val="0"/>
                                                                          <w:divBdr>
                                                                            <w:top w:val="none" w:sz="0" w:space="0" w:color="auto"/>
                                                                            <w:left w:val="none" w:sz="0" w:space="0" w:color="auto"/>
                                                                            <w:bottom w:val="none" w:sz="0" w:space="0" w:color="auto"/>
                                                                            <w:right w:val="none" w:sz="0" w:space="0" w:color="auto"/>
                                                                          </w:divBdr>
                                                                          <w:divsChild>
                                                                            <w:div w:id="1640189294">
                                                                              <w:marLeft w:val="0"/>
                                                                              <w:marRight w:val="300"/>
                                                                              <w:marTop w:val="0"/>
                                                                              <w:marBottom w:val="0"/>
                                                                              <w:divBdr>
                                                                                <w:top w:val="none" w:sz="0" w:space="0" w:color="auto"/>
                                                                                <w:left w:val="none" w:sz="0" w:space="0" w:color="auto"/>
                                                                                <w:bottom w:val="none" w:sz="0" w:space="0" w:color="auto"/>
                                                                                <w:right w:val="none" w:sz="0" w:space="0" w:color="auto"/>
                                                                              </w:divBdr>
                                                                              <w:divsChild>
                                                                                <w:div w:id="1640189291">
                                                                                  <w:marLeft w:val="0"/>
                                                                                  <w:marRight w:val="0"/>
                                                                                  <w:marTop w:val="0"/>
                                                                                  <w:marBottom w:val="0"/>
                                                                                  <w:divBdr>
                                                                                    <w:top w:val="none" w:sz="0" w:space="0" w:color="auto"/>
                                                                                    <w:left w:val="none" w:sz="0" w:space="0" w:color="auto"/>
                                                                                    <w:bottom w:val="none" w:sz="0" w:space="0" w:color="auto"/>
                                                                                    <w:right w:val="none" w:sz="0" w:space="0" w:color="auto"/>
                                                                                  </w:divBdr>
                                                                                  <w:divsChild>
                                                                                    <w:div w:id="1640189303">
                                                                                      <w:marLeft w:val="0"/>
                                                                                      <w:marRight w:val="300"/>
                                                                                      <w:marTop w:val="0"/>
                                                                                      <w:marBottom w:val="0"/>
                                                                                      <w:divBdr>
                                                                                        <w:top w:val="none" w:sz="0" w:space="0" w:color="auto"/>
                                                                                        <w:left w:val="none" w:sz="0" w:space="0" w:color="auto"/>
                                                                                        <w:bottom w:val="none" w:sz="0" w:space="0" w:color="auto"/>
                                                                                        <w:right w:val="none" w:sz="0" w:space="0" w:color="auto"/>
                                                                                      </w:divBdr>
                                                                                      <w:divsChild>
                                                                                        <w:div w:id="1640189286">
                                                                                          <w:marLeft w:val="0"/>
                                                                                          <w:marRight w:val="300"/>
                                                                                          <w:marTop w:val="0"/>
                                                                                          <w:marBottom w:val="0"/>
                                                                                          <w:divBdr>
                                                                                            <w:top w:val="none" w:sz="0" w:space="0" w:color="auto"/>
                                                                                            <w:left w:val="none" w:sz="0" w:space="0" w:color="auto"/>
                                                                                            <w:bottom w:val="none" w:sz="0" w:space="0" w:color="auto"/>
                                                                                            <w:right w:val="none" w:sz="0" w:space="0" w:color="auto"/>
                                                                                          </w:divBdr>
                                                                                          <w:divsChild>
                                                                                            <w:div w:id="164018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0189297">
      <w:marLeft w:val="0"/>
      <w:marRight w:val="0"/>
      <w:marTop w:val="0"/>
      <w:marBottom w:val="0"/>
      <w:divBdr>
        <w:top w:val="none" w:sz="0" w:space="0" w:color="auto"/>
        <w:left w:val="none" w:sz="0" w:space="0" w:color="auto"/>
        <w:bottom w:val="none" w:sz="0" w:space="0" w:color="auto"/>
        <w:right w:val="none" w:sz="0" w:space="0" w:color="auto"/>
      </w:divBdr>
      <w:divsChild>
        <w:div w:id="1640189285">
          <w:marLeft w:val="3"/>
          <w:marRight w:val="3"/>
          <w:marTop w:val="0"/>
          <w:marBottom w:val="0"/>
          <w:divBdr>
            <w:top w:val="single" w:sz="6" w:space="0" w:color="112449"/>
            <w:left w:val="single" w:sz="6" w:space="0" w:color="112449"/>
            <w:bottom w:val="single" w:sz="6" w:space="0" w:color="112449"/>
            <w:right w:val="single" w:sz="6" w:space="0" w:color="112449"/>
          </w:divBdr>
          <w:divsChild>
            <w:div w:id="1640189300">
              <w:marLeft w:val="3"/>
              <w:marRight w:val="3"/>
              <w:marTop w:val="0"/>
              <w:marBottom w:val="0"/>
              <w:divBdr>
                <w:top w:val="single" w:sz="6" w:space="0" w:color="112449"/>
                <w:left w:val="single" w:sz="6" w:space="0" w:color="112449"/>
                <w:bottom w:val="single" w:sz="6" w:space="0" w:color="112449"/>
                <w:right w:val="single" w:sz="6" w:space="0" w:color="112449"/>
              </w:divBdr>
              <w:divsChild>
                <w:div w:id="1640189284">
                  <w:marLeft w:val="3"/>
                  <w:marRight w:val="3"/>
                  <w:marTop w:val="0"/>
                  <w:marBottom w:val="0"/>
                  <w:divBdr>
                    <w:top w:val="single" w:sz="6" w:space="0" w:color="112449"/>
                    <w:left w:val="single" w:sz="6" w:space="0" w:color="112449"/>
                    <w:bottom w:val="single" w:sz="6" w:space="0" w:color="112449"/>
                    <w:right w:val="single" w:sz="6" w:space="0" w:color="112449"/>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B22288-6715-4C19-B59D-A171C8BE3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6371</Words>
  <Characters>34748</Characters>
  <Application>Microsoft Office Word</Application>
  <DocSecurity>0</DocSecurity>
  <Lines>289</Lines>
  <Paragraphs>82</Paragraphs>
  <ScaleCrop>false</ScaleCrop>
  <HeadingPairs>
    <vt:vector size="2" baseType="variant">
      <vt:variant>
        <vt:lpstr>Title</vt:lpstr>
      </vt:variant>
      <vt:variant>
        <vt:i4>1</vt:i4>
      </vt:variant>
    </vt:vector>
  </HeadingPairs>
  <TitlesOfParts>
    <vt:vector size="1" baseType="lpstr">
      <vt:lpstr>LEGISLATION AND DOCUMENTS</vt:lpstr>
    </vt:vector>
  </TitlesOfParts>
  <Company>Flex</Company>
  <LinksUpToDate>false</LinksUpToDate>
  <CharactersWithSpaces>41037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LEGISLATION AND DOCUMENTS</dc:title>
  <dc:creator>Saunders, Les - Cabinet Office [Restricted]</dc:creator>
  <cp:lastModifiedBy>Lawrence, Ellen - Cabinet Office [Restricted]</cp:lastModifiedBy>
  <cp:revision>2</cp:revision>
  <dcterms:created xsi:type="dcterms:W3CDTF">2013-10-11T06:33:00Z</dcterms:created>
  <dcterms:modified xsi:type="dcterms:W3CDTF">2013-10-11T06:33:00Z</dcterms:modified>
</cp:coreProperties>
</file>