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B168F" w14:textId="23394D1C" w:rsidR="008A50AC" w:rsidRDefault="00C44245" w:rsidP="0043478C">
      <w:pPr>
        <w:tabs>
          <w:tab w:val="left" w:pos="0"/>
        </w:tabs>
        <w:suppressAutoHyphens/>
        <w:spacing w:after="0" w:line="240" w:lineRule="auto"/>
        <w:jc w:val="right"/>
        <w:rPr>
          <w:rFonts w:ascii="Arial" w:hAnsi="Arial" w:cs="Arial"/>
          <w:b/>
          <w:bCs/>
          <w:spacing w:val="-3"/>
          <w:sz w:val="24"/>
          <w:szCs w:val="24"/>
          <w:lang w:eastAsia="en-GB"/>
        </w:rPr>
      </w:pPr>
      <w:bookmarkStart w:id="0" w:name="_GoBack"/>
      <w:bookmarkEnd w:id="0"/>
      <w:r w:rsidRPr="00C44245">
        <w:rPr>
          <w:rFonts w:ascii="Arial" w:hAnsi="Arial" w:cs="Arial"/>
          <w:b/>
          <w:bCs/>
          <w:spacing w:val="-3"/>
          <w:sz w:val="24"/>
          <w:szCs w:val="24"/>
          <w:lang w:eastAsia="en-GB"/>
        </w:rPr>
        <w:t>C</w:t>
      </w:r>
      <w:r w:rsidR="002E7260">
        <w:rPr>
          <w:rFonts w:ascii="Arial" w:hAnsi="Arial" w:cs="Arial"/>
          <w:b/>
          <w:bCs/>
          <w:spacing w:val="-3"/>
          <w:sz w:val="24"/>
          <w:szCs w:val="24"/>
          <w:lang w:eastAsia="en-GB"/>
        </w:rPr>
        <w:t>OM</w:t>
      </w:r>
      <w:r w:rsidRPr="00C44245">
        <w:rPr>
          <w:rFonts w:ascii="Arial" w:hAnsi="Arial" w:cs="Arial"/>
          <w:b/>
          <w:bCs/>
          <w:spacing w:val="-3"/>
          <w:sz w:val="24"/>
          <w:szCs w:val="24"/>
          <w:lang w:eastAsia="en-GB"/>
        </w:rPr>
        <w:t>(2013) 5761 final</w:t>
      </w:r>
      <w:r w:rsidR="008A50AC">
        <w:rPr>
          <w:rFonts w:ascii="Arial" w:hAnsi="Arial" w:cs="Arial"/>
          <w:b/>
          <w:bCs/>
          <w:spacing w:val="-3"/>
          <w:sz w:val="24"/>
          <w:szCs w:val="24"/>
          <w:lang w:eastAsia="en-GB"/>
        </w:rPr>
        <w:t xml:space="preserve"> – </w:t>
      </w:r>
      <w:r w:rsidR="00AD453E" w:rsidRPr="00AD453E">
        <w:rPr>
          <w:rFonts w:ascii="Arial" w:hAnsi="Arial" w:cs="Arial"/>
          <w:b/>
          <w:bCs/>
          <w:spacing w:val="-3"/>
          <w:sz w:val="24"/>
          <w:szCs w:val="24"/>
          <w:lang w:eastAsia="en-GB"/>
        </w:rPr>
        <w:t>13566/13</w:t>
      </w:r>
    </w:p>
    <w:p w14:paraId="693B1693" w14:textId="77777777" w:rsidR="008A50AC" w:rsidRDefault="008A50AC" w:rsidP="00877B52">
      <w:pPr>
        <w:tabs>
          <w:tab w:val="left" w:pos="0"/>
        </w:tabs>
        <w:suppressAutoHyphens/>
        <w:spacing w:after="0" w:line="240" w:lineRule="auto"/>
        <w:rPr>
          <w:rFonts w:ascii="Arial" w:hAnsi="Arial" w:cs="Arial"/>
          <w:b/>
          <w:bCs/>
          <w:spacing w:val="-3"/>
          <w:sz w:val="24"/>
          <w:szCs w:val="24"/>
          <w:lang w:eastAsia="en-GB"/>
        </w:rPr>
      </w:pPr>
    </w:p>
    <w:p w14:paraId="37E34AC8" w14:textId="77777777" w:rsidR="00522FDE" w:rsidRDefault="00522FDE" w:rsidP="00522FDE">
      <w:pPr>
        <w:tabs>
          <w:tab w:val="left" w:pos="0"/>
        </w:tabs>
        <w:suppressAutoHyphens/>
        <w:spacing w:after="0" w:line="240" w:lineRule="auto"/>
        <w:rPr>
          <w:rFonts w:ascii="Arial" w:hAnsi="Arial" w:cs="Arial"/>
          <w:b/>
          <w:bCs/>
          <w:spacing w:val="-3"/>
          <w:sz w:val="24"/>
          <w:szCs w:val="24"/>
          <w:lang w:eastAsia="en-GB"/>
        </w:rPr>
      </w:pPr>
      <w:r w:rsidRPr="00522FDE">
        <w:rPr>
          <w:rFonts w:ascii="Arial" w:hAnsi="Arial" w:cs="Arial"/>
          <w:b/>
          <w:bCs/>
          <w:spacing w:val="-3"/>
          <w:sz w:val="24"/>
          <w:szCs w:val="24"/>
          <w:lang w:eastAsia="en-GB"/>
        </w:rPr>
        <w:t>EXPLANATORY MEMORANDUM (EM) ON EUROPEAN UNION DOCUMENT</w:t>
      </w:r>
    </w:p>
    <w:p w14:paraId="36596732" w14:textId="77777777" w:rsidR="00522FDE" w:rsidRPr="00522FDE" w:rsidRDefault="00522FDE" w:rsidP="00522FDE">
      <w:pPr>
        <w:tabs>
          <w:tab w:val="left" w:pos="0"/>
        </w:tabs>
        <w:suppressAutoHyphens/>
        <w:spacing w:after="0" w:line="240" w:lineRule="auto"/>
        <w:rPr>
          <w:rFonts w:ascii="Arial" w:hAnsi="Arial" w:cs="Arial"/>
          <w:b/>
          <w:bCs/>
          <w:spacing w:val="-3"/>
          <w:sz w:val="24"/>
          <w:szCs w:val="24"/>
          <w:lang w:eastAsia="en-GB"/>
        </w:rPr>
      </w:pPr>
    </w:p>
    <w:p w14:paraId="693B1694" w14:textId="2032919E" w:rsidR="008A50AC" w:rsidRDefault="00522FDE" w:rsidP="00877B52">
      <w:pPr>
        <w:tabs>
          <w:tab w:val="left" w:pos="0"/>
        </w:tabs>
        <w:suppressAutoHyphens/>
        <w:spacing w:after="0" w:line="240" w:lineRule="auto"/>
        <w:rPr>
          <w:rFonts w:ascii="Arial" w:hAnsi="Arial" w:cs="Arial"/>
          <w:b/>
          <w:bCs/>
          <w:spacing w:val="-3"/>
          <w:sz w:val="24"/>
          <w:szCs w:val="24"/>
          <w:lang w:eastAsia="en-GB"/>
        </w:rPr>
      </w:pPr>
      <w:r w:rsidRPr="00AD453E">
        <w:rPr>
          <w:rFonts w:ascii="Arial" w:hAnsi="Arial" w:cs="Arial"/>
          <w:b/>
          <w:bCs/>
          <w:spacing w:val="-3"/>
          <w:sz w:val="24"/>
          <w:szCs w:val="24"/>
          <w:lang w:eastAsia="en-GB"/>
        </w:rPr>
        <w:t>COMMISSION RECOMMENDATION ON CONSISTENT NON-DISCRIMINATION OBLIGATIONS AND COSTING METHODOLOGIES TO PROMOTE COMPETITION AND ENHANCE THE BROADBAND INVESTMENT ENVIRONMENT</w:t>
      </w:r>
      <w:r w:rsidR="00D70E4C">
        <w:rPr>
          <w:rFonts w:ascii="Arial" w:hAnsi="Arial" w:cs="Arial"/>
          <w:b/>
          <w:bCs/>
          <w:spacing w:val="-3"/>
          <w:sz w:val="24"/>
          <w:szCs w:val="24"/>
          <w:lang w:eastAsia="en-GB"/>
        </w:rPr>
        <w:t xml:space="preserve"> </w:t>
      </w:r>
      <w:r w:rsidR="00D70E4C">
        <w:rPr>
          <w:rFonts w:ascii="Arial" w:hAnsi="Arial" w:cs="Arial"/>
          <w:b/>
          <w:bCs/>
          <w:spacing w:val="-3"/>
          <w:sz w:val="24"/>
          <w:szCs w:val="24"/>
          <w:lang w:eastAsia="en-GB"/>
        </w:rPr>
        <w:br/>
        <w:t>(‘THE RECOMMENDATION’)</w:t>
      </w:r>
    </w:p>
    <w:p w14:paraId="693B1695" w14:textId="77777777" w:rsidR="008A50AC" w:rsidRDefault="008A50AC" w:rsidP="00877B52">
      <w:pPr>
        <w:tabs>
          <w:tab w:val="left" w:pos="0"/>
        </w:tabs>
        <w:suppressAutoHyphens/>
        <w:spacing w:after="0" w:line="240" w:lineRule="auto"/>
        <w:rPr>
          <w:rFonts w:ascii="Arial" w:hAnsi="Arial" w:cs="Arial"/>
          <w:b/>
          <w:bCs/>
          <w:spacing w:val="-3"/>
          <w:sz w:val="24"/>
          <w:szCs w:val="24"/>
          <w:lang w:eastAsia="en-GB"/>
        </w:rPr>
      </w:pPr>
    </w:p>
    <w:p w14:paraId="693B169D" w14:textId="101954F5" w:rsidR="008A50AC" w:rsidRPr="00522FDE" w:rsidRDefault="008A50AC" w:rsidP="00877B52">
      <w:pPr>
        <w:tabs>
          <w:tab w:val="left" w:pos="0"/>
        </w:tabs>
        <w:suppressAutoHyphens/>
        <w:spacing w:after="0" w:line="240" w:lineRule="auto"/>
        <w:rPr>
          <w:rFonts w:ascii="Arial" w:hAnsi="Arial" w:cs="Arial"/>
          <w:b/>
          <w:sz w:val="24"/>
          <w:szCs w:val="24"/>
          <w:lang w:eastAsia="en-GB"/>
        </w:rPr>
      </w:pPr>
      <w:r w:rsidRPr="00522FDE">
        <w:rPr>
          <w:rFonts w:ascii="Arial" w:hAnsi="Arial" w:cs="Arial"/>
          <w:b/>
          <w:spacing w:val="-3"/>
          <w:sz w:val="24"/>
          <w:szCs w:val="24"/>
          <w:lang w:eastAsia="en-GB"/>
        </w:rPr>
        <w:t xml:space="preserve">Submitted by Department for Culture, Media and Sport on </w:t>
      </w:r>
      <w:r w:rsidR="003E6FE6">
        <w:rPr>
          <w:rFonts w:ascii="Arial" w:hAnsi="Arial" w:cs="Arial"/>
          <w:b/>
          <w:spacing w:val="-3"/>
          <w:sz w:val="24"/>
          <w:szCs w:val="24"/>
          <w:lang w:eastAsia="en-GB"/>
        </w:rPr>
        <w:t>9</w:t>
      </w:r>
      <w:r w:rsidR="003E6FE6" w:rsidRPr="003E6FE6">
        <w:rPr>
          <w:rFonts w:ascii="Arial" w:hAnsi="Arial" w:cs="Arial"/>
          <w:b/>
          <w:spacing w:val="-3"/>
          <w:sz w:val="24"/>
          <w:szCs w:val="24"/>
          <w:vertAlign w:val="superscript"/>
          <w:lang w:eastAsia="en-GB"/>
        </w:rPr>
        <w:t>th</w:t>
      </w:r>
      <w:r w:rsidR="003E6FE6">
        <w:rPr>
          <w:rFonts w:ascii="Arial" w:hAnsi="Arial" w:cs="Arial"/>
          <w:b/>
          <w:spacing w:val="-3"/>
          <w:sz w:val="24"/>
          <w:szCs w:val="24"/>
          <w:lang w:eastAsia="en-GB"/>
        </w:rPr>
        <w:t xml:space="preserve"> </w:t>
      </w:r>
      <w:r w:rsidRPr="00522FDE">
        <w:rPr>
          <w:rFonts w:ascii="Arial" w:hAnsi="Arial" w:cs="Arial"/>
          <w:b/>
          <w:spacing w:val="-3"/>
          <w:sz w:val="24"/>
          <w:szCs w:val="24"/>
          <w:lang w:eastAsia="en-GB"/>
        </w:rPr>
        <w:t>October 2013</w:t>
      </w:r>
    </w:p>
    <w:p w14:paraId="693B169E" w14:textId="77777777" w:rsidR="008A50AC" w:rsidRPr="00877B52" w:rsidRDefault="008A50AC" w:rsidP="00877B52">
      <w:pPr>
        <w:tabs>
          <w:tab w:val="left" w:pos="0"/>
        </w:tabs>
        <w:suppressAutoHyphens/>
        <w:spacing w:after="0" w:line="240" w:lineRule="auto"/>
        <w:rPr>
          <w:rFonts w:ascii="Arial" w:hAnsi="Arial" w:cs="Arial"/>
          <w:spacing w:val="-3"/>
          <w:sz w:val="24"/>
          <w:szCs w:val="24"/>
          <w:lang w:eastAsia="en-GB"/>
        </w:rPr>
      </w:pPr>
    </w:p>
    <w:p w14:paraId="693B169F" w14:textId="77777777" w:rsidR="008A50AC" w:rsidRDefault="008A50AC" w:rsidP="008C24E9">
      <w:pPr>
        <w:tabs>
          <w:tab w:val="left" w:pos="0"/>
          <w:tab w:val="left" w:pos="142"/>
        </w:tabs>
        <w:suppressAutoHyphens/>
        <w:spacing w:after="240" w:line="240" w:lineRule="auto"/>
        <w:rPr>
          <w:rFonts w:ascii="Arial" w:hAnsi="Arial" w:cs="Arial"/>
          <w:b/>
          <w:bCs/>
          <w:spacing w:val="-3"/>
          <w:sz w:val="24"/>
          <w:szCs w:val="24"/>
          <w:lang w:eastAsia="en-GB"/>
        </w:rPr>
      </w:pPr>
      <w:r w:rsidRPr="00877B52">
        <w:rPr>
          <w:rFonts w:ascii="Arial" w:hAnsi="Arial" w:cs="Arial"/>
          <w:b/>
          <w:bCs/>
          <w:spacing w:val="-3"/>
          <w:sz w:val="24"/>
          <w:szCs w:val="24"/>
          <w:lang w:eastAsia="en-GB"/>
        </w:rPr>
        <w:t>SUBJECT MATTER</w:t>
      </w:r>
    </w:p>
    <w:p w14:paraId="6C4642ED" w14:textId="3D9EAF45" w:rsidR="007D127A" w:rsidRPr="007D127A" w:rsidRDefault="003E48A8" w:rsidP="008C24E9">
      <w:pPr>
        <w:tabs>
          <w:tab w:val="left" w:pos="142"/>
        </w:tabs>
        <w:spacing w:after="240" w:line="240" w:lineRule="auto"/>
        <w:rPr>
          <w:rFonts w:ascii="Arial" w:hAnsi="Arial" w:cs="Arial"/>
          <w:b/>
          <w:sz w:val="24"/>
          <w:szCs w:val="24"/>
        </w:rPr>
      </w:pPr>
      <w:r w:rsidRPr="007D127A">
        <w:rPr>
          <w:rFonts w:ascii="Arial" w:hAnsi="Arial" w:cs="Arial"/>
          <w:b/>
          <w:sz w:val="24"/>
          <w:szCs w:val="24"/>
        </w:rPr>
        <w:t>Aim of measure</w:t>
      </w:r>
    </w:p>
    <w:p w14:paraId="4DB46A46" w14:textId="10641DD4" w:rsidR="00D70E4C" w:rsidRPr="00D70E4C" w:rsidRDefault="00D70E4C" w:rsidP="00E511DE">
      <w:pPr>
        <w:numPr>
          <w:ilvl w:val="0"/>
          <w:numId w:val="25"/>
        </w:numPr>
        <w:spacing w:after="120" w:line="240" w:lineRule="auto"/>
        <w:ind w:left="567" w:hanging="567"/>
        <w:rPr>
          <w:rFonts w:ascii="Arial" w:hAnsi="Arial" w:cs="Arial"/>
          <w:sz w:val="24"/>
          <w:szCs w:val="24"/>
        </w:rPr>
      </w:pPr>
      <w:r w:rsidRPr="00D70E4C">
        <w:rPr>
          <w:rFonts w:ascii="Arial" w:hAnsi="Arial" w:cs="Arial"/>
          <w:sz w:val="24"/>
          <w:szCs w:val="24"/>
        </w:rPr>
        <w:t>The Commission’s primary objective is to enhance the broadband investment environment across Europe, by ensuring regulatory stability and consistency for telecoms operators across all Member States (MSs)</w:t>
      </w:r>
      <w:r>
        <w:rPr>
          <w:rFonts w:ascii="Arial" w:hAnsi="Arial" w:cs="Arial"/>
          <w:sz w:val="24"/>
          <w:szCs w:val="24"/>
        </w:rPr>
        <w:t xml:space="preserve"> and</w:t>
      </w:r>
      <w:r w:rsidRPr="00D70E4C">
        <w:rPr>
          <w:rFonts w:ascii="Arial" w:hAnsi="Arial" w:cs="Arial"/>
          <w:sz w:val="24"/>
          <w:szCs w:val="24"/>
        </w:rPr>
        <w:t xml:space="preserve"> </w:t>
      </w:r>
      <w:r>
        <w:rPr>
          <w:rFonts w:ascii="Arial" w:hAnsi="Arial" w:cs="Arial"/>
          <w:sz w:val="24"/>
          <w:szCs w:val="24"/>
        </w:rPr>
        <w:t>to</w:t>
      </w:r>
      <w:r w:rsidRPr="00D70E4C">
        <w:rPr>
          <w:rFonts w:ascii="Arial" w:hAnsi="Arial" w:cs="Arial"/>
          <w:sz w:val="24"/>
          <w:szCs w:val="24"/>
        </w:rPr>
        <w:t xml:space="preserve"> protect and promot</w:t>
      </w:r>
      <w:r>
        <w:rPr>
          <w:rFonts w:ascii="Arial" w:hAnsi="Arial" w:cs="Arial"/>
          <w:sz w:val="24"/>
          <w:szCs w:val="24"/>
        </w:rPr>
        <w:t>e</w:t>
      </w:r>
      <w:r w:rsidRPr="00D70E4C">
        <w:rPr>
          <w:rFonts w:ascii="Arial" w:hAnsi="Arial" w:cs="Arial"/>
          <w:sz w:val="24"/>
          <w:szCs w:val="24"/>
        </w:rPr>
        <w:t xml:space="preserve"> competition. In order to achieve these objectives, the </w:t>
      </w:r>
      <w:r>
        <w:rPr>
          <w:rFonts w:ascii="Arial" w:hAnsi="Arial" w:cs="Arial"/>
          <w:sz w:val="24"/>
          <w:szCs w:val="24"/>
        </w:rPr>
        <w:t>R</w:t>
      </w:r>
      <w:r w:rsidRPr="00D70E4C">
        <w:rPr>
          <w:rFonts w:ascii="Arial" w:hAnsi="Arial" w:cs="Arial"/>
          <w:sz w:val="24"/>
          <w:szCs w:val="24"/>
        </w:rPr>
        <w:t>ecommendation</w:t>
      </w:r>
      <w:r>
        <w:rPr>
          <w:rFonts w:ascii="Arial" w:hAnsi="Arial" w:cs="Arial"/>
          <w:sz w:val="24"/>
          <w:szCs w:val="24"/>
        </w:rPr>
        <w:t xml:space="preserve"> aims</w:t>
      </w:r>
      <w:r w:rsidRPr="00D70E4C">
        <w:rPr>
          <w:rFonts w:ascii="Arial" w:hAnsi="Arial" w:cs="Arial"/>
          <w:sz w:val="24"/>
          <w:szCs w:val="24"/>
        </w:rPr>
        <w:t xml:space="preserve"> to deliver on:</w:t>
      </w:r>
    </w:p>
    <w:p w14:paraId="1D5DE63C" w14:textId="3F074074" w:rsidR="00D70E4C" w:rsidRPr="00D70E4C" w:rsidRDefault="00E511DE" w:rsidP="00BE2682">
      <w:pPr>
        <w:numPr>
          <w:ilvl w:val="0"/>
          <w:numId w:val="27"/>
        </w:numPr>
        <w:spacing w:after="120" w:line="240" w:lineRule="auto"/>
        <w:ind w:left="1701" w:hanging="567"/>
        <w:rPr>
          <w:rFonts w:ascii="Arial" w:hAnsi="Arial" w:cs="Arial"/>
          <w:sz w:val="24"/>
          <w:szCs w:val="24"/>
        </w:rPr>
      </w:pPr>
      <w:r w:rsidRPr="00D70E4C">
        <w:rPr>
          <w:rFonts w:ascii="Arial" w:hAnsi="Arial" w:cs="Arial"/>
          <w:sz w:val="24"/>
          <w:szCs w:val="24"/>
        </w:rPr>
        <w:t>C</w:t>
      </w:r>
      <w:r w:rsidR="00D70E4C" w:rsidRPr="00D70E4C">
        <w:rPr>
          <w:rFonts w:ascii="Arial" w:hAnsi="Arial" w:cs="Arial"/>
          <w:sz w:val="24"/>
          <w:szCs w:val="24"/>
        </w:rPr>
        <w:t>ompetition</w:t>
      </w:r>
      <w:r>
        <w:rPr>
          <w:rFonts w:ascii="Arial" w:hAnsi="Arial" w:cs="Arial"/>
          <w:sz w:val="24"/>
          <w:szCs w:val="24"/>
        </w:rPr>
        <w:t xml:space="preserve"> -</w:t>
      </w:r>
      <w:r w:rsidR="00D70E4C" w:rsidRPr="00D70E4C">
        <w:rPr>
          <w:rFonts w:ascii="Arial" w:hAnsi="Arial" w:cs="Arial"/>
          <w:sz w:val="24"/>
          <w:szCs w:val="24"/>
        </w:rPr>
        <w:t xml:space="preserve"> through the application of tougher non-discrimination rules; and </w:t>
      </w:r>
    </w:p>
    <w:p w14:paraId="3656475E" w14:textId="18E7ADD2" w:rsidR="00D70E4C" w:rsidRPr="00D70E4C" w:rsidRDefault="00E511DE" w:rsidP="00BE2682">
      <w:pPr>
        <w:numPr>
          <w:ilvl w:val="0"/>
          <w:numId w:val="27"/>
        </w:numPr>
        <w:spacing w:after="120" w:line="240" w:lineRule="auto"/>
        <w:ind w:left="1701" w:hanging="567"/>
        <w:rPr>
          <w:rFonts w:ascii="Arial" w:hAnsi="Arial" w:cs="Arial"/>
          <w:sz w:val="24"/>
          <w:szCs w:val="24"/>
        </w:rPr>
      </w:pPr>
      <w:r w:rsidRPr="00D70E4C">
        <w:rPr>
          <w:rFonts w:ascii="Arial" w:hAnsi="Arial" w:cs="Arial"/>
          <w:sz w:val="24"/>
          <w:szCs w:val="24"/>
        </w:rPr>
        <w:t xml:space="preserve">Investment </w:t>
      </w:r>
      <w:r>
        <w:rPr>
          <w:rFonts w:ascii="Arial" w:hAnsi="Arial" w:cs="Arial"/>
          <w:sz w:val="24"/>
          <w:szCs w:val="24"/>
        </w:rPr>
        <w:t xml:space="preserve">- </w:t>
      </w:r>
      <w:r w:rsidR="00D70E4C" w:rsidRPr="00D70E4C">
        <w:rPr>
          <w:rFonts w:ascii="Arial" w:hAnsi="Arial" w:cs="Arial"/>
          <w:sz w:val="24"/>
          <w:szCs w:val="24"/>
        </w:rPr>
        <w:t>by allowing for flexibility in the pricing of new wholesale next generation access (NGA) services, while ensuring stable wholesale copper access prices.</w:t>
      </w:r>
    </w:p>
    <w:p w14:paraId="5E826606" w14:textId="77777777" w:rsidR="007D127A" w:rsidRPr="007D127A" w:rsidRDefault="007D127A" w:rsidP="00E511DE">
      <w:pPr>
        <w:numPr>
          <w:ilvl w:val="0"/>
          <w:numId w:val="25"/>
        </w:numPr>
        <w:spacing w:after="120" w:line="240" w:lineRule="auto"/>
        <w:ind w:left="567" w:hanging="567"/>
        <w:rPr>
          <w:rFonts w:ascii="Arial" w:hAnsi="Arial" w:cs="Arial"/>
          <w:sz w:val="24"/>
          <w:szCs w:val="24"/>
        </w:rPr>
      </w:pPr>
      <w:r w:rsidRPr="007D127A">
        <w:rPr>
          <w:rFonts w:ascii="Arial" w:hAnsi="Arial" w:cs="Arial"/>
          <w:sz w:val="24"/>
          <w:szCs w:val="24"/>
        </w:rPr>
        <w:t>This Recommendation applies only to the following markets:</w:t>
      </w:r>
    </w:p>
    <w:p w14:paraId="4B90CB9F" w14:textId="77777777" w:rsidR="007D127A" w:rsidRPr="007D127A" w:rsidRDefault="007D127A" w:rsidP="00BE2682">
      <w:pPr>
        <w:numPr>
          <w:ilvl w:val="0"/>
          <w:numId w:val="26"/>
        </w:numPr>
        <w:spacing w:after="120" w:line="240" w:lineRule="auto"/>
        <w:ind w:left="1701" w:hanging="567"/>
        <w:rPr>
          <w:rFonts w:ascii="Arial" w:hAnsi="Arial" w:cs="Arial"/>
          <w:sz w:val="24"/>
          <w:szCs w:val="24"/>
        </w:rPr>
      </w:pPr>
      <w:r w:rsidRPr="007D127A">
        <w:rPr>
          <w:rFonts w:ascii="Arial" w:hAnsi="Arial" w:cs="Arial"/>
          <w:sz w:val="24"/>
          <w:szCs w:val="24"/>
        </w:rPr>
        <w:t>The market for wholesale network infrastructure access; and</w:t>
      </w:r>
    </w:p>
    <w:p w14:paraId="0CE06BA1" w14:textId="77777777" w:rsidR="007D127A" w:rsidRPr="007D127A" w:rsidRDefault="007D127A" w:rsidP="00BE2682">
      <w:pPr>
        <w:numPr>
          <w:ilvl w:val="0"/>
          <w:numId w:val="26"/>
        </w:numPr>
        <w:spacing w:after="120" w:line="240" w:lineRule="auto"/>
        <w:ind w:left="1701" w:hanging="567"/>
        <w:rPr>
          <w:rFonts w:ascii="Arial" w:hAnsi="Arial" w:cs="Arial"/>
          <w:sz w:val="24"/>
          <w:szCs w:val="24"/>
        </w:rPr>
      </w:pPr>
      <w:r w:rsidRPr="007D127A">
        <w:rPr>
          <w:rFonts w:ascii="Arial" w:hAnsi="Arial" w:cs="Arial"/>
          <w:sz w:val="24"/>
          <w:szCs w:val="24"/>
        </w:rPr>
        <w:t>The wholesale broadband access market.</w:t>
      </w:r>
    </w:p>
    <w:p w14:paraId="5A07F816" w14:textId="19737BBC" w:rsidR="00E511DE" w:rsidRDefault="007D127A" w:rsidP="00E511DE">
      <w:pPr>
        <w:numPr>
          <w:ilvl w:val="0"/>
          <w:numId w:val="25"/>
        </w:numPr>
        <w:spacing w:after="120" w:line="240" w:lineRule="auto"/>
        <w:ind w:left="567" w:hanging="567"/>
        <w:rPr>
          <w:rFonts w:ascii="Arial" w:hAnsi="Arial" w:cs="Arial"/>
          <w:sz w:val="24"/>
          <w:szCs w:val="24"/>
        </w:rPr>
      </w:pPr>
      <w:r w:rsidRPr="007D127A">
        <w:rPr>
          <w:rFonts w:ascii="Arial" w:hAnsi="Arial" w:cs="Arial"/>
          <w:sz w:val="24"/>
          <w:szCs w:val="24"/>
        </w:rPr>
        <w:t>It consists of four sets of measures covering</w:t>
      </w:r>
      <w:r w:rsidR="00E511DE">
        <w:rPr>
          <w:rFonts w:ascii="Arial" w:hAnsi="Arial" w:cs="Arial"/>
          <w:sz w:val="24"/>
          <w:szCs w:val="24"/>
        </w:rPr>
        <w:t>:</w:t>
      </w:r>
      <w:r w:rsidRPr="007D127A">
        <w:rPr>
          <w:rFonts w:ascii="Arial" w:hAnsi="Arial" w:cs="Arial"/>
          <w:sz w:val="24"/>
          <w:szCs w:val="24"/>
        </w:rPr>
        <w:t xml:space="preserve"> </w:t>
      </w:r>
    </w:p>
    <w:p w14:paraId="712C772D" w14:textId="3CAC8E9D" w:rsidR="00E511DE" w:rsidRDefault="00E87C0F" w:rsidP="00BE2682">
      <w:pPr>
        <w:numPr>
          <w:ilvl w:val="1"/>
          <w:numId w:val="29"/>
        </w:numPr>
        <w:spacing w:after="120" w:line="240" w:lineRule="auto"/>
        <w:ind w:left="1701" w:hanging="329"/>
        <w:rPr>
          <w:rFonts w:ascii="Arial" w:hAnsi="Arial" w:cs="Arial"/>
          <w:sz w:val="24"/>
          <w:szCs w:val="24"/>
        </w:rPr>
      </w:pPr>
      <w:r>
        <w:rPr>
          <w:rFonts w:ascii="Arial" w:hAnsi="Arial" w:cs="Arial"/>
          <w:sz w:val="24"/>
          <w:szCs w:val="24"/>
        </w:rPr>
        <w:t>Non</w:t>
      </w:r>
      <w:r w:rsidR="00E511DE">
        <w:rPr>
          <w:rFonts w:ascii="Arial" w:hAnsi="Arial" w:cs="Arial"/>
          <w:sz w:val="24"/>
          <w:szCs w:val="24"/>
        </w:rPr>
        <w:t>-discrimination;</w:t>
      </w:r>
    </w:p>
    <w:p w14:paraId="562FC006" w14:textId="567E31FD" w:rsidR="00E511DE" w:rsidRDefault="00E87C0F" w:rsidP="00BE2682">
      <w:pPr>
        <w:numPr>
          <w:ilvl w:val="1"/>
          <w:numId w:val="29"/>
        </w:numPr>
        <w:spacing w:after="120" w:line="240" w:lineRule="auto"/>
        <w:ind w:left="1701" w:hanging="329"/>
        <w:rPr>
          <w:rFonts w:ascii="Arial" w:hAnsi="Arial" w:cs="Arial"/>
          <w:sz w:val="24"/>
          <w:szCs w:val="24"/>
        </w:rPr>
      </w:pPr>
      <w:r>
        <w:rPr>
          <w:rFonts w:ascii="Arial" w:hAnsi="Arial" w:cs="Arial"/>
          <w:sz w:val="24"/>
          <w:szCs w:val="24"/>
        </w:rPr>
        <w:t xml:space="preserve">Compliance </w:t>
      </w:r>
      <w:r w:rsidR="00E511DE">
        <w:rPr>
          <w:rFonts w:ascii="Arial" w:hAnsi="Arial" w:cs="Arial"/>
          <w:sz w:val="24"/>
          <w:szCs w:val="24"/>
        </w:rPr>
        <w:t>monitoring</w:t>
      </w:r>
      <w:r w:rsidR="00687A3D">
        <w:rPr>
          <w:rFonts w:ascii="Arial" w:hAnsi="Arial" w:cs="Arial"/>
          <w:sz w:val="24"/>
          <w:szCs w:val="24"/>
        </w:rPr>
        <w:t xml:space="preserve"> of the non-discrimination obligation</w:t>
      </w:r>
      <w:r w:rsidR="00E511DE">
        <w:rPr>
          <w:rFonts w:ascii="Arial" w:hAnsi="Arial" w:cs="Arial"/>
          <w:sz w:val="24"/>
          <w:szCs w:val="24"/>
        </w:rPr>
        <w:t>;</w:t>
      </w:r>
    </w:p>
    <w:p w14:paraId="26A76788" w14:textId="2827036A" w:rsidR="00E511DE" w:rsidRDefault="00E87C0F" w:rsidP="00BE2682">
      <w:pPr>
        <w:numPr>
          <w:ilvl w:val="1"/>
          <w:numId w:val="29"/>
        </w:numPr>
        <w:spacing w:after="120" w:line="240" w:lineRule="auto"/>
        <w:ind w:left="1701" w:hanging="329"/>
        <w:rPr>
          <w:rFonts w:ascii="Arial" w:hAnsi="Arial" w:cs="Arial"/>
          <w:sz w:val="24"/>
          <w:szCs w:val="24"/>
        </w:rPr>
      </w:pPr>
      <w:r w:rsidRPr="007D127A">
        <w:rPr>
          <w:rFonts w:ascii="Arial" w:hAnsi="Arial" w:cs="Arial"/>
          <w:sz w:val="24"/>
          <w:szCs w:val="24"/>
        </w:rPr>
        <w:t xml:space="preserve">Costing </w:t>
      </w:r>
      <w:r w:rsidR="007D127A" w:rsidRPr="007D127A">
        <w:rPr>
          <w:rFonts w:ascii="Arial" w:hAnsi="Arial" w:cs="Arial"/>
          <w:sz w:val="24"/>
          <w:szCs w:val="24"/>
        </w:rPr>
        <w:t>methodology</w:t>
      </w:r>
      <w:r w:rsidR="00E511DE">
        <w:rPr>
          <w:rFonts w:ascii="Arial" w:hAnsi="Arial" w:cs="Arial"/>
          <w:sz w:val="24"/>
          <w:szCs w:val="24"/>
        </w:rPr>
        <w:t>;</w:t>
      </w:r>
      <w:r w:rsidR="007D127A" w:rsidRPr="007D127A">
        <w:rPr>
          <w:rFonts w:ascii="Arial" w:hAnsi="Arial" w:cs="Arial"/>
          <w:sz w:val="24"/>
          <w:szCs w:val="24"/>
        </w:rPr>
        <w:t xml:space="preserve"> and </w:t>
      </w:r>
    </w:p>
    <w:p w14:paraId="118A2336" w14:textId="4753C5A3" w:rsidR="007D127A" w:rsidRPr="007D127A" w:rsidRDefault="00E87C0F" w:rsidP="008C24E9">
      <w:pPr>
        <w:numPr>
          <w:ilvl w:val="1"/>
          <w:numId w:val="29"/>
        </w:numPr>
        <w:spacing w:after="240" w:line="240" w:lineRule="auto"/>
        <w:ind w:left="1701" w:hanging="329"/>
        <w:rPr>
          <w:rFonts w:ascii="Arial" w:hAnsi="Arial" w:cs="Arial"/>
          <w:sz w:val="24"/>
          <w:szCs w:val="24"/>
        </w:rPr>
      </w:pPr>
      <w:r>
        <w:rPr>
          <w:rFonts w:ascii="Arial" w:hAnsi="Arial" w:cs="Arial"/>
          <w:sz w:val="24"/>
          <w:szCs w:val="24"/>
        </w:rPr>
        <w:t xml:space="preserve">The </w:t>
      </w:r>
      <w:r w:rsidR="007D127A" w:rsidRPr="007D127A">
        <w:rPr>
          <w:rFonts w:ascii="Arial" w:hAnsi="Arial" w:cs="Arial"/>
          <w:sz w:val="24"/>
          <w:szCs w:val="24"/>
        </w:rPr>
        <w:t>non-imposition of regulated wholesale prices on NGA networks.</w:t>
      </w:r>
    </w:p>
    <w:p w14:paraId="7B7597F8" w14:textId="24FE10DA" w:rsidR="007D127A" w:rsidRPr="001318DC" w:rsidRDefault="003E48A8" w:rsidP="008C24E9">
      <w:pPr>
        <w:pStyle w:val="ListParagraph"/>
        <w:numPr>
          <w:ilvl w:val="0"/>
          <w:numId w:val="30"/>
        </w:numPr>
        <w:tabs>
          <w:tab w:val="left" w:pos="142"/>
        </w:tabs>
        <w:spacing w:after="240" w:line="240" w:lineRule="auto"/>
        <w:ind w:left="567" w:hanging="567"/>
        <w:contextualSpacing w:val="0"/>
        <w:rPr>
          <w:rFonts w:ascii="Arial" w:hAnsi="Arial" w:cs="Arial"/>
          <w:b/>
          <w:sz w:val="24"/>
          <w:szCs w:val="24"/>
        </w:rPr>
      </w:pPr>
      <w:r w:rsidRPr="001318DC">
        <w:rPr>
          <w:rFonts w:ascii="Arial" w:hAnsi="Arial" w:cs="Arial"/>
          <w:b/>
          <w:sz w:val="24"/>
          <w:szCs w:val="24"/>
        </w:rPr>
        <w:t>Non-discrimination</w:t>
      </w:r>
    </w:p>
    <w:p w14:paraId="4D9A9EF6" w14:textId="7F443528" w:rsidR="001318DC" w:rsidRDefault="001318DC" w:rsidP="008C24E9">
      <w:pPr>
        <w:numPr>
          <w:ilvl w:val="0"/>
          <w:numId w:val="25"/>
        </w:numPr>
        <w:spacing w:after="240" w:line="240" w:lineRule="auto"/>
        <w:ind w:left="567" w:hanging="567"/>
        <w:rPr>
          <w:rFonts w:ascii="Arial" w:hAnsi="Arial" w:cs="Arial"/>
          <w:sz w:val="24"/>
          <w:szCs w:val="24"/>
        </w:rPr>
      </w:pPr>
      <w:r w:rsidRPr="001318DC">
        <w:rPr>
          <w:rFonts w:ascii="Arial" w:hAnsi="Arial" w:cs="Arial"/>
          <w:sz w:val="24"/>
          <w:szCs w:val="24"/>
        </w:rPr>
        <w:t xml:space="preserve">The Recommendation states that an effective level playing field between </w:t>
      </w:r>
      <w:r w:rsidR="00BE2682">
        <w:rPr>
          <w:rFonts w:ascii="Arial" w:hAnsi="Arial" w:cs="Arial"/>
          <w:sz w:val="24"/>
          <w:szCs w:val="24"/>
        </w:rPr>
        <w:t>an</w:t>
      </w:r>
      <w:r w:rsidRPr="001318DC">
        <w:rPr>
          <w:rFonts w:ascii="Arial" w:hAnsi="Arial" w:cs="Arial"/>
          <w:sz w:val="24"/>
          <w:szCs w:val="24"/>
        </w:rPr>
        <w:t xml:space="preserve"> incumbent operator</w:t>
      </w:r>
      <w:r>
        <w:rPr>
          <w:rFonts w:ascii="Arial" w:hAnsi="Arial" w:cs="Arial"/>
          <w:sz w:val="24"/>
          <w:szCs w:val="24"/>
        </w:rPr>
        <w:t xml:space="preserve"> with</w:t>
      </w:r>
      <w:r w:rsidRPr="001318DC">
        <w:rPr>
          <w:rFonts w:ascii="Arial" w:hAnsi="Arial" w:cs="Arial"/>
          <w:sz w:val="24"/>
          <w:szCs w:val="24"/>
        </w:rPr>
        <w:t xml:space="preserve"> a position of Significant Market Power</w:t>
      </w:r>
      <w:r>
        <w:rPr>
          <w:rFonts w:ascii="Arial" w:hAnsi="Arial" w:cs="Arial"/>
          <w:sz w:val="24"/>
          <w:szCs w:val="24"/>
        </w:rPr>
        <w:t xml:space="preserve"> (</w:t>
      </w:r>
      <w:r w:rsidRPr="001318DC">
        <w:rPr>
          <w:rFonts w:ascii="Arial" w:hAnsi="Arial" w:cs="Arial"/>
          <w:sz w:val="24"/>
          <w:szCs w:val="24"/>
        </w:rPr>
        <w:t xml:space="preserve">SMP) and alternative operators is best achieved through the application of Equivalence of </w:t>
      </w:r>
      <w:r w:rsidRPr="001318DC">
        <w:rPr>
          <w:rFonts w:ascii="Arial" w:hAnsi="Arial" w:cs="Arial"/>
          <w:sz w:val="24"/>
          <w:szCs w:val="24"/>
        </w:rPr>
        <w:lastRenderedPageBreak/>
        <w:t>Inputs (EOI)</w:t>
      </w:r>
      <w:r w:rsidR="00C436BF">
        <w:rPr>
          <w:rStyle w:val="FootnoteReference"/>
          <w:rFonts w:ascii="Arial" w:hAnsi="Arial" w:cs="Arial"/>
          <w:sz w:val="24"/>
          <w:szCs w:val="24"/>
        </w:rPr>
        <w:footnoteReference w:id="1"/>
      </w:r>
      <w:r w:rsidR="00A603F5">
        <w:rPr>
          <w:rFonts w:ascii="Arial" w:hAnsi="Arial" w:cs="Arial"/>
          <w:sz w:val="24"/>
          <w:szCs w:val="24"/>
        </w:rPr>
        <w:t>.  It</w:t>
      </w:r>
      <w:r w:rsidRPr="001318DC">
        <w:rPr>
          <w:rFonts w:ascii="Arial" w:hAnsi="Arial" w:cs="Arial"/>
          <w:sz w:val="24"/>
          <w:szCs w:val="24"/>
        </w:rPr>
        <w:t xml:space="preserve"> requires </w:t>
      </w:r>
      <w:r w:rsidR="00BE2682">
        <w:rPr>
          <w:rFonts w:ascii="Arial" w:hAnsi="Arial" w:cs="Arial"/>
          <w:sz w:val="24"/>
          <w:szCs w:val="24"/>
        </w:rPr>
        <w:t>national Regulatory Authorities (</w:t>
      </w:r>
      <w:r w:rsidRPr="001318DC">
        <w:rPr>
          <w:rFonts w:ascii="Arial" w:hAnsi="Arial" w:cs="Arial"/>
          <w:sz w:val="24"/>
          <w:szCs w:val="24"/>
        </w:rPr>
        <w:t>NRAs</w:t>
      </w:r>
      <w:r w:rsidR="00BE2682">
        <w:rPr>
          <w:rFonts w:ascii="Arial" w:hAnsi="Arial" w:cs="Arial"/>
          <w:sz w:val="24"/>
          <w:szCs w:val="24"/>
        </w:rPr>
        <w:t>)</w:t>
      </w:r>
      <w:r w:rsidRPr="001318DC">
        <w:rPr>
          <w:rFonts w:ascii="Arial" w:hAnsi="Arial" w:cs="Arial"/>
          <w:sz w:val="24"/>
          <w:szCs w:val="24"/>
        </w:rPr>
        <w:t xml:space="preserve"> to examine whether it would be proportionate to provide relevant wholesale inputs on this basis.</w:t>
      </w:r>
    </w:p>
    <w:p w14:paraId="6953FEA0" w14:textId="365F8C0C" w:rsidR="007D127A" w:rsidRPr="007D127A" w:rsidRDefault="00BE2682" w:rsidP="0066709A">
      <w:pPr>
        <w:numPr>
          <w:ilvl w:val="0"/>
          <w:numId w:val="25"/>
        </w:numPr>
        <w:spacing w:after="240" w:line="240" w:lineRule="auto"/>
        <w:ind w:left="567" w:hanging="567"/>
        <w:rPr>
          <w:rFonts w:ascii="Arial" w:hAnsi="Arial" w:cs="Arial"/>
          <w:sz w:val="24"/>
          <w:szCs w:val="24"/>
        </w:rPr>
      </w:pPr>
      <w:r w:rsidRPr="00BE2682">
        <w:rPr>
          <w:rFonts w:ascii="Arial" w:hAnsi="Arial" w:cs="Arial"/>
          <w:sz w:val="24"/>
          <w:szCs w:val="24"/>
        </w:rPr>
        <w:t>We agree that EOI is the surest way to achieve effective protection for non-discrimination.  BT’s NGA product (</w:t>
      </w:r>
      <w:r w:rsidR="006E068D">
        <w:rPr>
          <w:rFonts w:ascii="Arial" w:hAnsi="Arial" w:cs="Arial"/>
          <w:sz w:val="24"/>
          <w:szCs w:val="24"/>
        </w:rPr>
        <w:t xml:space="preserve">Virtual Unbundled Local Access - </w:t>
      </w:r>
      <w:r w:rsidRPr="00BE2682">
        <w:rPr>
          <w:rFonts w:ascii="Arial" w:hAnsi="Arial" w:cs="Arial"/>
          <w:sz w:val="24"/>
          <w:szCs w:val="24"/>
        </w:rPr>
        <w:t>VULA) is already subject to the obligation of EOI and</w:t>
      </w:r>
      <w:r w:rsidR="006E068D">
        <w:rPr>
          <w:rFonts w:ascii="Arial" w:hAnsi="Arial" w:cs="Arial"/>
          <w:sz w:val="24"/>
          <w:szCs w:val="24"/>
        </w:rPr>
        <w:t>,</w:t>
      </w:r>
      <w:r w:rsidRPr="00BE2682">
        <w:rPr>
          <w:rFonts w:ascii="Arial" w:hAnsi="Arial" w:cs="Arial"/>
          <w:sz w:val="24"/>
          <w:szCs w:val="24"/>
        </w:rPr>
        <w:t xml:space="preserve"> as a result</w:t>
      </w:r>
      <w:r w:rsidR="006E068D">
        <w:rPr>
          <w:rFonts w:ascii="Arial" w:hAnsi="Arial" w:cs="Arial"/>
          <w:sz w:val="24"/>
          <w:szCs w:val="24"/>
        </w:rPr>
        <w:t>,</w:t>
      </w:r>
      <w:r w:rsidRPr="00BE2682">
        <w:rPr>
          <w:rFonts w:ascii="Arial" w:hAnsi="Arial" w:cs="Arial"/>
          <w:sz w:val="24"/>
          <w:szCs w:val="24"/>
        </w:rPr>
        <w:t xml:space="preserve"> the current UK regulatory framework already </w:t>
      </w:r>
      <w:r w:rsidR="00C308D1">
        <w:rPr>
          <w:rFonts w:ascii="Arial" w:hAnsi="Arial" w:cs="Arial"/>
          <w:sz w:val="24"/>
          <w:szCs w:val="24"/>
        </w:rPr>
        <w:t xml:space="preserve">produces </w:t>
      </w:r>
      <w:r w:rsidRPr="00BE2682">
        <w:rPr>
          <w:rFonts w:ascii="Arial" w:hAnsi="Arial" w:cs="Arial"/>
          <w:sz w:val="24"/>
          <w:szCs w:val="24"/>
        </w:rPr>
        <w:t xml:space="preserve"> outcome</w:t>
      </w:r>
      <w:r w:rsidR="006E068D">
        <w:rPr>
          <w:rFonts w:ascii="Arial" w:hAnsi="Arial" w:cs="Arial"/>
          <w:sz w:val="24"/>
          <w:szCs w:val="24"/>
        </w:rPr>
        <w:t>s</w:t>
      </w:r>
      <w:r w:rsidRPr="00BE2682">
        <w:rPr>
          <w:rFonts w:ascii="Arial" w:hAnsi="Arial" w:cs="Arial"/>
          <w:sz w:val="24"/>
          <w:szCs w:val="24"/>
        </w:rPr>
        <w:t xml:space="preserve"> </w:t>
      </w:r>
      <w:r w:rsidR="006E068D">
        <w:rPr>
          <w:rFonts w:ascii="Arial" w:hAnsi="Arial" w:cs="Arial"/>
          <w:sz w:val="24"/>
          <w:szCs w:val="24"/>
        </w:rPr>
        <w:t>that are</w:t>
      </w:r>
      <w:r w:rsidRPr="00BE2682">
        <w:rPr>
          <w:rFonts w:ascii="Arial" w:hAnsi="Arial" w:cs="Arial"/>
          <w:sz w:val="24"/>
          <w:szCs w:val="24"/>
        </w:rPr>
        <w:t xml:space="preserve"> consistent with the Recommendation</w:t>
      </w:r>
      <w:r w:rsidR="006E068D">
        <w:rPr>
          <w:rFonts w:ascii="Arial" w:hAnsi="Arial" w:cs="Arial"/>
          <w:sz w:val="24"/>
          <w:szCs w:val="24"/>
        </w:rPr>
        <w:t>.</w:t>
      </w:r>
    </w:p>
    <w:p w14:paraId="565C31CA" w14:textId="506DC78A" w:rsidR="007D127A" w:rsidRPr="001318DC" w:rsidRDefault="003E48A8" w:rsidP="0066709A">
      <w:pPr>
        <w:pStyle w:val="ListParagraph"/>
        <w:numPr>
          <w:ilvl w:val="0"/>
          <w:numId w:val="30"/>
        </w:numPr>
        <w:spacing w:after="240" w:line="240" w:lineRule="auto"/>
        <w:ind w:left="567" w:hanging="567"/>
        <w:contextualSpacing w:val="0"/>
        <w:rPr>
          <w:rFonts w:ascii="Arial" w:hAnsi="Arial" w:cs="Arial"/>
          <w:b/>
          <w:sz w:val="24"/>
          <w:szCs w:val="24"/>
        </w:rPr>
      </w:pPr>
      <w:r w:rsidRPr="001318DC">
        <w:rPr>
          <w:rFonts w:ascii="Arial" w:hAnsi="Arial" w:cs="Arial"/>
          <w:b/>
          <w:sz w:val="24"/>
          <w:szCs w:val="24"/>
        </w:rPr>
        <w:t>Compliance</w:t>
      </w:r>
      <w:r w:rsidR="006E068D">
        <w:rPr>
          <w:rFonts w:ascii="Arial" w:hAnsi="Arial" w:cs="Arial"/>
          <w:b/>
          <w:sz w:val="24"/>
          <w:szCs w:val="24"/>
        </w:rPr>
        <w:t xml:space="preserve"> monitoring of the non-discrimination obligation</w:t>
      </w:r>
    </w:p>
    <w:p w14:paraId="29EF0147" w14:textId="0FA89590" w:rsidR="007D127A" w:rsidRPr="007D127A" w:rsidRDefault="00C308D1" w:rsidP="0066709A">
      <w:pPr>
        <w:numPr>
          <w:ilvl w:val="0"/>
          <w:numId w:val="25"/>
        </w:numPr>
        <w:tabs>
          <w:tab w:val="left" w:pos="142"/>
        </w:tabs>
        <w:spacing w:after="240" w:line="240" w:lineRule="auto"/>
        <w:ind w:left="567" w:hanging="567"/>
        <w:rPr>
          <w:rFonts w:ascii="Arial" w:hAnsi="Arial" w:cs="Arial"/>
          <w:sz w:val="24"/>
          <w:szCs w:val="24"/>
        </w:rPr>
      </w:pPr>
      <w:r>
        <w:rPr>
          <w:rFonts w:ascii="Arial" w:hAnsi="Arial" w:cs="Arial"/>
          <w:sz w:val="24"/>
          <w:szCs w:val="24"/>
        </w:rPr>
        <w:t>The Recommendation states that c</w:t>
      </w:r>
      <w:r w:rsidR="007D127A" w:rsidRPr="007D127A">
        <w:rPr>
          <w:rFonts w:ascii="Arial" w:hAnsi="Arial" w:cs="Arial"/>
          <w:sz w:val="24"/>
          <w:szCs w:val="24"/>
        </w:rPr>
        <w:t xml:space="preserve">ompliance with the </w:t>
      </w:r>
      <w:r w:rsidR="006E068D">
        <w:rPr>
          <w:rFonts w:ascii="Arial" w:hAnsi="Arial" w:cs="Arial"/>
          <w:sz w:val="24"/>
          <w:szCs w:val="24"/>
        </w:rPr>
        <w:t>non-discrimination obligation</w:t>
      </w:r>
      <w:r w:rsidR="007D127A" w:rsidRPr="007D127A">
        <w:rPr>
          <w:rFonts w:ascii="Arial" w:hAnsi="Arial" w:cs="Arial"/>
          <w:sz w:val="24"/>
          <w:szCs w:val="24"/>
        </w:rPr>
        <w:t xml:space="preserve"> is to be assured </w:t>
      </w:r>
      <w:r w:rsidR="006E068D">
        <w:rPr>
          <w:rFonts w:ascii="Arial" w:hAnsi="Arial" w:cs="Arial"/>
          <w:sz w:val="24"/>
          <w:szCs w:val="24"/>
        </w:rPr>
        <w:t>through</w:t>
      </w:r>
      <w:r w:rsidR="007D127A" w:rsidRPr="007D127A">
        <w:rPr>
          <w:rFonts w:ascii="Arial" w:hAnsi="Arial" w:cs="Arial"/>
          <w:sz w:val="24"/>
          <w:szCs w:val="24"/>
        </w:rPr>
        <w:t xml:space="preserve"> the use of Key Performance Indicators (KPIs) agreed between </w:t>
      </w:r>
      <w:r w:rsidR="006E068D">
        <w:rPr>
          <w:rFonts w:ascii="Arial" w:hAnsi="Arial" w:cs="Arial"/>
          <w:sz w:val="24"/>
          <w:szCs w:val="24"/>
        </w:rPr>
        <w:t>incumbent (</w:t>
      </w:r>
      <w:r w:rsidR="007D127A" w:rsidRPr="007D127A">
        <w:rPr>
          <w:rFonts w:ascii="Arial" w:hAnsi="Arial" w:cs="Arial"/>
          <w:sz w:val="24"/>
          <w:szCs w:val="24"/>
        </w:rPr>
        <w:t>SMP</w:t>
      </w:r>
      <w:r w:rsidR="006E068D">
        <w:rPr>
          <w:rFonts w:ascii="Arial" w:hAnsi="Arial" w:cs="Arial"/>
          <w:sz w:val="24"/>
          <w:szCs w:val="24"/>
        </w:rPr>
        <w:t>)</w:t>
      </w:r>
      <w:r w:rsidR="007D127A" w:rsidRPr="007D127A">
        <w:rPr>
          <w:rFonts w:ascii="Arial" w:hAnsi="Arial" w:cs="Arial"/>
          <w:sz w:val="24"/>
          <w:szCs w:val="24"/>
        </w:rPr>
        <w:t xml:space="preserve"> </w:t>
      </w:r>
      <w:r w:rsidR="006E068D">
        <w:rPr>
          <w:rFonts w:ascii="Arial" w:hAnsi="Arial" w:cs="Arial"/>
          <w:sz w:val="24"/>
          <w:szCs w:val="24"/>
        </w:rPr>
        <w:t xml:space="preserve">operators </w:t>
      </w:r>
      <w:r w:rsidR="007D127A" w:rsidRPr="007D127A">
        <w:rPr>
          <w:rFonts w:ascii="Arial" w:hAnsi="Arial" w:cs="Arial"/>
          <w:sz w:val="24"/>
          <w:szCs w:val="24"/>
        </w:rPr>
        <w:t xml:space="preserve">and alternative access seekers. These KPIs should be fostered by the </w:t>
      </w:r>
      <w:r w:rsidR="00917151">
        <w:rPr>
          <w:rFonts w:ascii="Arial" w:hAnsi="Arial" w:cs="Arial"/>
          <w:sz w:val="24"/>
          <w:szCs w:val="24"/>
        </w:rPr>
        <w:t xml:space="preserve">NRA </w:t>
      </w:r>
      <w:r w:rsidR="007D127A" w:rsidRPr="007D127A">
        <w:rPr>
          <w:rFonts w:ascii="Arial" w:hAnsi="Arial" w:cs="Arial"/>
          <w:sz w:val="24"/>
          <w:szCs w:val="24"/>
        </w:rPr>
        <w:t xml:space="preserve"> if necessary. They should also be supplemented by Service Level Agreements </w:t>
      </w:r>
      <w:r w:rsidR="006E068D">
        <w:rPr>
          <w:rFonts w:ascii="Arial" w:hAnsi="Arial" w:cs="Arial"/>
          <w:sz w:val="24"/>
          <w:szCs w:val="24"/>
        </w:rPr>
        <w:t xml:space="preserve">(SLAs) </w:t>
      </w:r>
      <w:r w:rsidR="007D127A" w:rsidRPr="007D127A">
        <w:rPr>
          <w:rFonts w:ascii="Arial" w:hAnsi="Arial" w:cs="Arial"/>
          <w:sz w:val="24"/>
          <w:szCs w:val="24"/>
        </w:rPr>
        <w:t>and Service Level Guarantees</w:t>
      </w:r>
      <w:r w:rsidR="006E068D">
        <w:rPr>
          <w:rFonts w:ascii="Arial" w:hAnsi="Arial" w:cs="Arial"/>
          <w:sz w:val="24"/>
          <w:szCs w:val="24"/>
        </w:rPr>
        <w:t xml:space="preserve"> (SLGs)</w:t>
      </w:r>
      <w:r w:rsidR="007D127A" w:rsidRPr="007D127A">
        <w:rPr>
          <w:rFonts w:ascii="Arial" w:hAnsi="Arial" w:cs="Arial"/>
          <w:sz w:val="24"/>
          <w:szCs w:val="24"/>
        </w:rPr>
        <w:t>.</w:t>
      </w:r>
    </w:p>
    <w:p w14:paraId="5110D40A" w14:textId="1E8B33DF" w:rsidR="007D127A" w:rsidRPr="00C436BF" w:rsidRDefault="003E48A8" w:rsidP="0066709A">
      <w:pPr>
        <w:pStyle w:val="ListParagraph"/>
        <w:numPr>
          <w:ilvl w:val="0"/>
          <w:numId w:val="30"/>
        </w:numPr>
        <w:tabs>
          <w:tab w:val="left" w:pos="142"/>
        </w:tabs>
        <w:spacing w:after="240" w:line="240" w:lineRule="auto"/>
        <w:ind w:left="567" w:hanging="567"/>
        <w:contextualSpacing w:val="0"/>
        <w:rPr>
          <w:rFonts w:ascii="Arial" w:hAnsi="Arial" w:cs="Arial"/>
          <w:b/>
          <w:sz w:val="24"/>
          <w:szCs w:val="24"/>
        </w:rPr>
      </w:pPr>
      <w:r w:rsidRPr="00C436BF">
        <w:rPr>
          <w:rFonts w:ascii="Arial" w:hAnsi="Arial" w:cs="Arial"/>
          <w:b/>
          <w:sz w:val="24"/>
          <w:szCs w:val="24"/>
        </w:rPr>
        <w:t>Costing methodology</w:t>
      </w:r>
    </w:p>
    <w:p w14:paraId="6F5F53F0" w14:textId="1A77019A" w:rsidR="00C436BF" w:rsidRPr="00C436BF" w:rsidRDefault="00C436BF" w:rsidP="00C436BF">
      <w:pPr>
        <w:numPr>
          <w:ilvl w:val="0"/>
          <w:numId w:val="25"/>
        </w:numPr>
        <w:spacing w:after="120" w:line="240" w:lineRule="auto"/>
        <w:ind w:left="567" w:hanging="567"/>
        <w:rPr>
          <w:rFonts w:ascii="Arial" w:hAnsi="Arial" w:cs="Arial"/>
          <w:sz w:val="24"/>
          <w:szCs w:val="24"/>
        </w:rPr>
      </w:pPr>
      <w:r w:rsidRPr="00C436BF">
        <w:rPr>
          <w:rFonts w:ascii="Arial" w:hAnsi="Arial" w:cs="Arial"/>
          <w:sz w:val="24"/>
          <w:szCs w:val="24"/>
        </w:rPr>
        <w:t>The Recommendation provides guidance on the costing methods that NRAs should adopt when modelling the costs of wholesale NGA and copper access products provid</w:t>
      </w:r>
      <w:r>
        <w:rPr>
          <w:rFonts w:ascii="Arial" w:hAnsi="Arial" w:cs="Arial"/>
          <w:sz w:val="24"/>
          <w:szCs w:val="24"/>
        </w:rPr>
        <w:t>ing</w:t>
      </w:r>
      <w:r w:rsidRPr="00C436BF">
        <w:rPr>
          <w:rFonts w:ascii="Arial" w:hAnsi="Arial" w:cs="Arial"/>
          <w:sz w:val="24"/>
          <w:szCs w:val="24"/>
        </w:rPr>
        <w:t xml:space="preserve"> detailed guidance on the following </w:t>
      </w:r>
      <w:r>
        <w:rPr>
          <w:rFonts w:ascii="Arial" w:hAnsi="Arial" w:cs="Arial"/>
          <w:sz w:val="24"/>
          <w:szCs w:val="24"/>
        </w:rPr>
        <w:t>important</w:t>
      </w:r>
      <w:r w:rsidRPr="00C436BF">
        <w:rPr>
          <w:rFonts w:ascii="Arial" w:hAnsi="Arial" w:cs="Arial"/>
          <w:sz w:val="24"/>
          <w:szCs w:val="24"/>
        </w:rPr>
        <w:t xml:space="preserve"> elements:</w:t>
      </w:r>
    </w:p>
    <w:p w14:paraId="3723FFAC" w14:textId="738744EB" w:rsidR="00C436BF" w:rsidRPr="00C436BF" w:rsidRDefault="00C436BF" w:rsidP="00C436BF">
      <w:pPr>
        <w:numPr>
          <w:ilvl w:val="0"/>
          <w:numId w:val="31"/>
        </w:numPr>
        <w:spacing w:after="120" w:line="240" w:lineRule="auto"/>
        <w:ind w:left="1701" w:hanging="567"/>
        <w:rPr>
          <w:rFonts w:ascii="Arial" w:hAnsi="Arial" w:cs="Arial"/>
          <w:sz w:val="24"/>
          <w:szCs w:val="24"/>
        </w:rPr>
      </w:pPr>
      <w:r w:rsidRPr="00C436BF">
        <w:rPr>
          <w:rFonts w:ascii="Arial" w:hAnsi="Arial" w:cs="Arial"/>
          <w:sz w:val="24"/>
          <w:szCs w:val="24"/>
        </w:rPr>
        <w:t>How to calculate the costs of an NGA network</w:t>
      </w:r>
      <w:r>
        <w:rPr>
          <w:rStyle w:val="FootnoteReference"/>
          <w:rFonts w:ascii="Arial" w:hAnsi="Arial" w:cs="Arial"/>
          <w:sz w:val="24"/>
          <w:szCs w:val="24"/>
        </w:rPr>
        <w:footnoteReference w:id="2"/>
      </w:r>
      <w:r w:rsidRPr="00C436BF">
        <w:rPr>
          <w:rFonts w:ascii="Arial" w:hAnsi="Arial" w:cs="Arial"/>
          <w:sz w:val="24"/>
          <w:szCs w:val="24"/>
        </w:rPr>
        <w:t xml:space="preserve">; </w:t>
      </w:r>
    </w:p>
    <w:p w14:paraId="7B142918" w14:textId="2CEB3D82" w:rsidR="00C436BF" w:rsidRPr="00C436BF" w:rsidRDefault="00C436BF" w:rsidP="00C436BF">
      <w:pPr>
        <w:numPr>
          <w:ilvl w:val="0"/>
          <w:numId w:val="31"/>
        </w:numPr>
        <w:spacing w:after="120" w:line="240" w:lineRule="auto"/>
        <w:ind w:left="1701" w:hanging="567"/>
        <w:rPr>
          <w:rFonts w:ascii="Arial" w:hAnsi="Arial" w:cs="Arial"/>
          <w:sz w:val="24"/>
          <w:szCs w:val="24"/>
        </w:rPr>
      </w:pPr>
      <w:r w:rsidRPr="00C436BF">
        <w:rPr>
          <w:rFonts w:ascii="Arial" w:hAnsi="Arial" w:cs="Arial"/>
          <w:sz w:val="24"/>
          <w:szCs w:val="24"/>
        </w:rPr>
        <w:t>How to value re-usable civil engineering assets, such as ducts</w:t>
      </w:r>
      <w:r>
        <w:rPr>
          <w:rStyle w:val="FootnoteReference"/>
          <w:rFonts w:ascii="Arial" w:hAnsi="Arial" w:cs="Arial"/>
          <w:sz w:val="24"/>
          <w:szCs w:val="24"/>
        </w:rPr>
        <w:footnoteReference w:id="3"/>
      </w:r>
      <w:r w:rsidRPr="00C436BF">
        <w:rPr>
          <w:rFonts w:ascii="Arial" w:hAnsi="Arial" w:cs="Arial"/>
          <w:sz w:val="24"/>
          <w:szCs w:val="24"/>
        </w:rPr>
        <w:t>;  and</w:t>
      </w:r>
    </w:p>
    <w:p w14:paraId="4F798616" w14:textId="08D3ADEE" w:rsidR="00C436BF" w:rsidRPr="00C436BF" w:rsidRDefault="00C436BF" w:rsidP="00A96DCB">
      <w:pPr>
        <w:numPr>
          <w:ilvl w:val="0"/>
          <w:numId w:val="31"/>
        </w:numPr>
        <w:spacing w:after="240" w:line="240" w:lineRule="auto"/>
        <w:ind w:left="1701" w:hanging="567"/>
        <w:rPr>
          <w:rFonts w:ascii="Arial" w:hAnsi="Arial" w:cs="Arial"/>
          <w:sz w:val="24"/>
          <w:szCs w:val="24"/>
        </w:rPr>
      </w:pPr>
      <w:r w:rsidRPr="00C436BF">
        <w:rPr>
          <w:rFonts w:ascii="Arial" w:hAnsi="Arial" w:cs="Arial"/>
          <w:sz w:val="24"/>
          <w:szCs w:val="24"/>
        </w:rPr>
        <w:t>How calculate the costs of wholesale copper access services.</w:t>
      </w:r>
    </w:p>
    <w:p w14:paraId="0DA355E8" w14:textId="2786A9A2" w:rsidR="007D127A" w:rsidRPr="007D127A" w:rsidRDefault="00C436BF" w:rsidP="00406D5A">
      <w:pPr>
        <w:numPr>
          <w:ilvl w:val="0"/>
          <w:numId w:val="25"/>
        </w:numPr>
        <w:spacing w:after="240" w:line="240" w:lineRule="auto"/>
        <w:ind w:left="567" w:hanging="567"/>
        <w:rPr>
          <w:rFonts w:ascii="Arial" w:hAnsi="Arial" w:cs="Arial"/>
          <w:sz w:val="24"/>
          <w:szCs w:val="24"/>
        </w:rPr>
      </w:pPr>
      <w:r w:rsidRPr="00C436BF">
        <w:rPr>
          <w:rFonts w:ascii="Arial" w:hAnsi="Arial" w:cs="Arial"/>
          <w:sz w:val="24"/>
          <w:szCs w:val="24"/>
        </w:rPr>
        <w:t>The Recommendation anticipates that application of the proposed costing methods will lead to stable copper access prices within a band between €8 and €10 (net of all taxes) expressed in 2012 prices</w:t>
      </w:r>
      <w:r w:rsidR="00E65907">
        <w:rPr>
          <w:rStyle w:val="FootnoteReference"/>
          <w:rFonts w:ascii="Arial" w:hAnsi="Arial" w:cs="Arial"/>
          <w:sz w:val="24"/>
          <w:szCs w:val="24"/>
        </w:rPr>
        <w:footnoteReference w:id="4"/>
      </w:r>
      <w:r w:rsidRPr="00C436BF">
        <w:rPr>
          <w:rFonts w:ascii="Arial" w:hAnsi="Arial" w:cs="Arial"/>
          <w:sz w:val="24"/>
          <w:szCs w:val="24"/>
        </w:rPr>
        <w:t xml:space="preserve">. </w:t>
      </w:r>
      <w:r w:rsidR="007D127A" w:rsidRPr="007D127A">
        <w:rPr>
          <w:rFonts w:ascii="Arial" w:hAnsi="Arial" w:cs="Arial"/>
          <w:sz w:val="24"/>
          <w:szCs w:val="24"/>
        </w:rPr>
        <w:t xml:space="preserve"> </w:t>
      </w:r>
    </w:p>
    <w:p w14:paraId="3F9A7EEC" w14:textId="28638152" w:rsidR="007D127A" w:rsidRPr="007D127A" w:rsidRDefault="00C436BF" w:rsidP="00406D5A">
      <w:pPr>
        <w:numPr>
          <w:ilvl w:val="0"/>
          <w:numId w:val="25"/>
        </w:numPr>
        <w:spacing w:after="240" w:line="240" w:lineRule="auto"/>
        <w:ind w:left="567" w:hanging="567"/>
        <w:rPr>
          <w:rFonts w:ascii="Arial" w:hAnsi="Arial" w:cs="Arial"/>
          <w:sz w:val="24"/>
          <w:szCs w:val="24"/>
        </w:rPr>
      </w:pPr>
      <w:r w:rsidRPr="00C436BF">
        <w:rPr>
          <w:rFonts w:ascii="Arial" w:hAnsi="Arial" w:cs="Arial"/>
          <w:sz w:val="24"/>
          <w:szCs w:val="24"/>
        </w:rPr>
        <w:t xml:space="preserve">Overall, we share the aim of achieving stable copper prices during a period of technological change. Like the Commission, we see an environment of relatively stable copper prices as likely to be conducive to efficient investment in NGA and to </w:t>
      </w:r>
      <w:r w:rsidRPr="00C436BF">
        <w:rPr>
          <w:rFonts w:ascii="Arial" w:hAnsi="Arial" w:cs="Arial"/>
          <w:sz w:val="24"/>
          <w:szCs w:val="24"/>
        </w:rPr>
        <w:lastRenderedPageBreak/>
        <w:t>provide a safeguard to access seekers and ultimately consumers. We also agree with the Commission that copper networks will be replaced by fibre (NGA) networks and from a UK perspective an FTTC network is the network topology being implemented by BT.</w:t>
      </w:r>
      <w:r w:rsidR="007D127A" w:rsidRPr="007D127A">
        <w:rPr>
          <w:rFonts w:ascii="Arial" w:hAnsi="Arial" w:cs="Arial"/>
          <w:sz w:val="24"/>
          <w:szCs w:val="24"/>
        </w:rPr>
        <w:t xml:space="preserve"> </w:t>
      </w:r>
    </w:p>
    <w:p w14:paraId="2503F27C" w14:textId="425145C2" w:rsidR="007D127A" w:rsidRPr="00840F48" w:rsidRDefault="00840F48" w:rsidP="0066709A">
      <w:pPr>
        <w:pStyle w:val="ListParagraph"/>
        <w:numPr>
          <w:ilvl w:val="0"/>
          <w:numId w:val="30"/>
        </w:numPr>
        <w:spacing w:after="240" w:line="240" w:lineRule="auto"/>
        <w:ind w:left="567" w:hanging="567"/>
        <w:contextualSpacing w:val="0"/>
        <w:rPr>
          <w:rFonts w:ascii="Arial" w:hAnsi="Arial" w:cs="Arial"/>
          <w:b/>
          <w:sz w:val="24"/>
          <w:szCs w:val="24"/>
        </w:rPr>
      </w:pPr>
      <w:r w:rsidRPr="00840F48">
        <w:rPr>
          <w:rFonts w:ascii="Arial" w:hAnsi="Arial" w:cs="Arial"/>
          <w:b/>
          <w:sz w:val="24"/>
          <w:szCs w:val="24"/>
        </w:rPr>
        <w:t>The non-imposition of regulated wholesale prices on NGA networks</w:t>
      </w:r>
      <w:r w:rsidR="00A12814" w:rsidRPr="00840F48">
        <w:rPr>
          <w:rFonts w:ascii="Arial" w:hAnsi="Arial" w:cs="Arial"/>
          <w:b/>
          <w:sz w:val="24"/>
          <w:szCs w:val="24"/>
        </w:rPr>
        <w:t xml:space="preserve"> (i.e. fibre networks)</w:t>
      </w:r>
    </w:p>
    <w:p w14:paraId="3D2EFBBB" w14:textId="42CD05A0" w:rsidR="00523C5F" w:rsidRPr="00523C5F" w:rsidRDefault="00523C5F" w:rsidP="0066709A">
      <w:pPr>
        <w:numPr>
          <w:ilvl w:val="0"/>
          <w:numId w:val="25"/>
        </w:numPr>
        <w:spacing w:after="240" w:line="240" w:lineRule="auto"/>
        <w:ind w:left="567" w:hanging="567"/>
        <w:rPr>
          <w:rFonts w:ascii="Arial" w:hAnsi="Arial" w:cs="Arial"/>
          <w:sz w:val="24"/>
          <w:szCs w:val="24"/>
        </w:rPr>
      </w:pPr>
      <w:r w:rsidRPr="00523C5F">
        <w:rPr>
          <w:rFonts w:ascii="Arial" w:hAnsi="Arial" w:cs="Arial"/>
          <w:sz w:val="24"/>
          <w:szCs w:val="24"/>
        </w:rPr>
        <w:t xml:space="preserve">The Recommendation provides guidance on the conditions which need to be satisfied before NRAs can lift (or decide not to impose) strict wholesale pricing obligations on new NGA services. </w:t>
      </w:r>
      <w:r w:rsidR="00C308D1">
        <w:rPr>
          <w:rFonts w:ascii="Arial" w:hAnsi="Arial" w:cs="Arial"/>
          <w:sz w:val="24"/>
          <w:szCs w:val="24"/>
        </w:rPr>
        <w:t>R</w:t>
      </w:r>
      <w:r>
        <w:rPr>
          <w:rFonts w:ascii="Arial" w:hAnsi="Arial" w:cs="Arial"/>
          <w:sz w:val="24"/>
          <w:szCs w:val="24"/>
        </w:rPr>
        <w:t>egulator</w:t>
      </w:r>
      <w:r w:rsidRPr="00523C5F">
        <w:rPr>
          <w:rFonts w:ascii="Arial" w:hAnsi="Arial" w:cs="Arial"/>
          <w:sz w:val="24"/>
          <w:szCs w:val="24"/>
        </w:rPr>
        <w:t xml:space="preserve">s should decide </w:t>
      </w:r>
      <w:r w:rsidR="00C308D1">
        <w:rPr>
          <w:rFonts w:ascii="Arial" w:hAnsi="Arial" w:cs="Arial"/>
          <w:sz w:val="24"/>
          <w:szCs w:val="24"/>
        </w:rPr>
        <w:t>not to</w:t>
      </w:r>
      <w:r w:rsidRPr="00523C5F">
        <w:rPr>
          <w:rFonts w:ascii="Arial" w:hAnsi="Arial" w:cs="Arial"/>
          <w:sz w:val="24"/>
          <w:szCs w:val="24"/>
        </w:rPr>
        <w:t xml:space="preserve"> impose, or to remove, pricing obligations on NGA wholesale inputs only when these inputs are subject to the EOI obligation and significant competitive constraints. </w:t>
      </w:r>
    </w:p>
    <w:p w14:paraId="4E7C0D6C" w14:textId="77777777" w:rsidR="00523C5F" w:rsidRPr="00523C5F" w:rsidRDefault="00523C5F" w:rsidP="00523C5F">
      <w:pPr>
        <w:numPr>
          <w:ilvl w:val="0"/>
          <w:numId w:val="25"/>
        </w:numPr>
        <w:spacing w:after="240" w:line="240" w:lineRule="auto"/>
        <w:ind w:left="567" w:hanging="567"/>
        <w:rPr>
          <w:rFonts w:ascii="Arial" w:hAnsi="Arial" w:cs="Arial"/>
          <w:sz w:val="24"/>
          <w:szCs w:val="24"/>
        </w:rPr>
      </w:pPr>
      <w:r w:rsidRPr="00523C5F">
        <w:rPr>
          <w:rFonts w:ascii="Arial" w:hAnsi="Arial" w:cs="Arial"/>
          <w:sz w:val="24"/>
          <w:szCs w:val="24"/>
        </w:rPr>
        <w:t>The current UK regulatory framework already results in an outcome which is consistent with the Commission’s recommended approach - BT’s NGA product (VULA) is subject to the obligation of EOI, but not any pricing obligations.</w:t>
      </w:r>
    </w:p>
    <w:p w14:paraId="2966A977" w14:textId="0F2A11F0" w:rsidR="007D127A" w:rsidRPr="007D127A" w:rsidRDefault="00523C5F" w:rsidP="00523C5F">
      <w:pPr>
        <w:numPr>
          <w:ilvl w:val="0"/>
          <w:numId w:val="25"/>
        </w:numPr>
        <w:spacing w:after="240" w:line="240" w:lineRule="auto"/>
        <w:ind w:left="567" w:hanging="567"/>
        <w:rPr>
          <w:rFonts w:ascii="Arial" w:hAnsi="Arial" w:cs="Arial"/>
          <w:sz w:val="24"/>
          <w:szCs w:val="24"/>
        </w:rPr>
      </w:pPr>
      <w:r w:rsidRPr="00523C5F">
        <w:rPr>
          <w:rFonts w:ascii="Arial" w:hAnsi="Arial" w:cs="Arial"/>
          <w:sz w:val="24"/>
          <w:szCs w:val="24"/>
        </w:rPr>
        <w:t xml:space="preserve">We agree with the Commission that (wholesale) pricing flexibility has an important role to play in investment in new technology, as it enables operators to trial different pricing arrangements in the early (uncertain) period of such investments.  However the Recommendation goes </w:t>
      </w:r>
      <w:r>
        <w:rPr>
          <w:rFonts w:ascii="Arial" w:hAnsi="Arial" w:cs="Arial"/>
          <w:sz w:val="24"/>
          <w:szCs w:val="24"/>
        </w:rPr>
        <w:t>further</w:t>
      </w:r>
      <w:r w:rsidRPr="00523C5F">
        <w:rPr>
          <w:rFonts w:ascii="Arial" w:hAnsi="Arial" w:cs="Arial"/>
          <w:sz w:val="24"/>
          <w:szCs w:val="24"/>
        </w:rPr>
        <w:t xml:space="preserve"> and </w:t>
      </w:r>
      <w:r>
        <w:rPr>
          <w:rFonts w:ascii="Arial" w:hAnsi="Arial" w:cs="Arial"/>
          <w:sz w:val="24"/>
          <w:szCs w:val="24"/>
        </w:rPr>
        <w:t>stresses</w:t>
      </w:r>
      <w:r w:rsidRPr="00523C5F">
        <w:rPr>
          <w:rFonts w:ascii="Arial" w:hAnsi="Arial" w:cs="Arial"/>
          <w:sz w:val="24"/>
          <w:szCs w:val="24"/>
        </w:rPr>
        <w:t xml:space="preserve"> that such pricing flexibility is particularly </w:t>
      </w:r>
      <w:r>
        <w:rPr>
          <w:rFonts w:ascii="Arial" w:hAnsi="Arial" w:cs="Arial"/>
          <w:sz w:val="24"/>
          <w:szCs w:val="24"/>
        </w:rPr>
        <w:t>important</w:t>
      </w:r>
      <w:r w:rsidRPr="00523C5F">
        <w:rPr>
          <w:rFonts w:ascii="Arial" w:hAnsi="Arial" w:cs="Arial"/>
          <w:sz w:val="24"/>
          <w:szCs w:val="24"/>
        </w:rPr>
        <w:t xml:space="preserve"> when, in addition to the competitive constraints, SMP operators have also implemented EOI effectively. While we recognise the strength of this argument, pricing and non-discrimination obligations affect the market in different ways and therefore are not necessarily substitutable. </w:t>
      </w:r>
      <w:r>
        <w:rPr>
          <w:rFonts w:ascii="Arial" w:hAnsi="Arial" w:cs="Arial"/>
          <w:sz w:val="24"/>
          <w:szCs w:val="24"/>
        </w:rPr>
        <w:t xml:space="preserve">However, </w:t>
      </w:r>
      <w:r w:rsidRPr="00523C5F">
        <w:rPr>
          <w:rFonts w:ascii="Arial" w:hAnsi="Arial" w:cs="Arial"/>
          <w:sz w:val="24"/>
          <w:szCs w:val="24"/>
        </w:rPr>
        <w:t xml:space="preserve">the text of the Recommendation is </w:t>
      </w:r>
      <w:r>
        <w:rPr>
          <w:rFonts w:ascii="Arial" w:hAnsi="Arial" w:cs="Arial"/>
          <w:sz w:val="24"/>
          <w:szCs w:val="24"/>
        </w:rPr>
        <w:t xml:space="preserve">sufficiently </w:t>
      </w:r>
      <w:r w:rsidRPr="00523C5F">
        <w:rPr>
          <w:rFonts w:ascii="Arial" w:hAnsi="Arial" w:cs="Arial"/>
          <w:sz w:val="24"/>
          <w:szCs w:val="24"/>
        </w:rPr>
        <w:t>flexible that, should competitive safeguards fail to constrain the wholesale price of new NGA services, NRAs could still consider the imposition of pricing obligations even where EOI was in place</w:t>
      </w:r>
    </w:p>
    <w:p w14:paraId="693B1728" w14:textId="77777777" w:rsidR="008A50AC" w:rsidRPr="00877B52" w:rsidRDefault="008A50AC" w:rsidP="005424C5">
      <w:pPr>
        <w:tabs>
          <w:tab w:val="left" w:pos="142"/>
        </w:tabs>
        <w:spacing w:after="240" w:line="240" w:lineRule="auto"/>
        <w:rPr>
          <w:rFonts w:ascii="Arial" w:hAnsi="Arial" w:cs="Arial"/>
          <w:b/>
          <w:bCs/>
          <w:sz w:val="24"/>
          <w:szCs w:val="24"/>
          <w:lang w:eastAsia="en-GB"/>
        </w:rPr>
      </w:pPr>
      <w:r w:rsidRPr="00877B52">
        <w:rPr>
          <w:rFonts w:ascii="Arial" w:hAnsi="Arial" w:cs="Arial"/>
          <w:b/>
          <w:bCs/>
          <w:sz w:val="24"/>
          <w:szCs w:val="24"/>
          <w:lang w:eastAsia="en-GB"/>
        </w:rPr>
        <w:t>SCRUTINY HISTORY</w:t>
      </w:r>
    </w:p>
    <w:p w14:paraId="693B172A" w14:textId="7C850D0E" w:rsidR="008A50AC" w:rsidRDefault="008A50AC" w:rsidP="005424C5">
      <w:pPr>
        <w:numPr>
          <w:ilvl w:val="0"/>
          <w:numId w:val="25"/>
        </w:numPr>
        <w:tabs>
          <w:tab w:val="left" w:pos="0"/>
        </w:tabs>
        <w:suppressAutoHyphens/>
        <w:spacing w:after="240" w:line="240" w:lineRule="auto"/>
        <w:ind w:left="567" w:hanging="567"/>
        <w:rPr>
          <w:rFonts w:ascii="Arial" w:hAnsi="Arial" w:cs="Arial"/>
          <w:spacing w:val="-3"/>
          <w:sz w:val="24"/>
          <w:szCs w:val="24"/>
          <w:lang w:eastAsia="en-GB"/>
        </w:rPr>
      </w:pPr>
      <w:r>
        <w:rPr>
          <w:rFonts w:ascii="Arial" w:hAnsi="Arial" w:cs="Arial"/>
          <w:spacing w:val="-3"/>
          <w:sz w:val="24"/>
          <w:szCs w:val="24"/>
          <w:lang w:eastAsia="en-GB"/>
        </w:rPr>
        <w:t xml:space="preserve">This is a new </w:t>
      </w:r>
      <w:r w:rsidR="002B2894">
        <w:rPr>
          <w:rFonts w:ascii="Arial" w:hAnsi="Arial" w:cs="Arial"/>
          <w:spacing w:val="-3"/>
          <w:sz w:val="24"/>
          <w:szCs w:val="24"/>
          <w:lang w:eastAsia="en-GB"/>
        </w:rPr>
        <w:t>Recommendation</w:t>
      </w:r>
      <w:r>
        <w:rPr>
          <w:rFonts w:ascii="Arial" w:hAnsi="Arial" w:cs="Arial"/>
          <w:spacing w:val="-3"/>
          <w:sz w:val="24"/>
          <w:szCs w:val="24"/>
          <w:lang w:eastAsia="en-GB"/>
        </w:rPr>
        <w:t xml:space="preserve"> and so there is no </w:t>
      </w:r>
      <w:r w:rsidR="00326504">
        <w:rPr>
          <w:rFonts w:ascii="Arial" w:hAnsi="Arial" w:cs="Arial"/>
          <w:spacing w:val="-3"/>
          <w:sz w:val="24"/>
          <w:szCs w:val="24"/>
          <w:lang w:eastAsia="en-GB"/>
        </w:rPr>
        <w:t>prior</w:t>
      </w:r>
      <w:r>
        <w:rPr>
          <w:rFonts w:ascii="Arial" w:hAnsi="Arial" w:cs="Arial"/>
          <w:spacing w:val="-3"/>
          <w:sz w:val="24"/>
          <w:szCs w:val="24"/>
          <w:lang w:eastAsia="en-GB"/>
        </w:rPr>
        <w:t xml:space="preserve"> scrutiny history.</w:t>
      </w:r>
    </w:p>
    <w:p w14:paraId="693B172C" w14:textId="4ECBE3A1" w:rsidR="008A50AC" w:rsidRDefault="008A50AC" w:rsidP="00EA0FBE">
      <w:pPr>
        <w:numPr>
          <w:ilvl w:val="0"/>
          <w:numId w:val="25"/>
        </w:numPr>
        <w:spacing w:after="240" w:line="240" w:lineRule="auto"/>
        <w:ind w:left="567" w:hanging="567"/>
        <w:rPr>
          <w:rFonts w:ascii="Arial" w:hAnsi="Arial" w:cs="Arial"/>
          <w:spacing w:val="-3"/>
          <w:sz w:val="24"/>
          <w:szCs w:val="24"/>
          <w:lang w:eastAsia="en-GB"/>
        </w:rPr>
      </w:pPr>
      <w:r w:rsidRPr="00EA0FBE">
        <w:rPr>
          <w:rFonts w:ascii="Arial" w:hAnsi="Arial" w:cs="Arial"/>
          <w:sz w:val="24"/>
          <w:szCs w:val="24"/>
        </w:rPr>
        <w:t>However</w:t>
      </w:r>
      <w:r>
        <w:rPr>
          <w:rFonts w:ascii="Arial" w:hAnsi="Arial" w:cs="Arial"/>
          <w:spacing w:val="-3"/>
          <w:sz w:val="24"/>
          <w:szCs w:val="24"/>
          <w:lang w:eastAsia="en-GB"/>
        </w:rPr>
        <w:t xml:space="preserve">, the </w:t>
      </w:r>
      <w:r w:rsidR="002B2894">
        <w:rPr>
          <w:rFonts w:ascii="Arial" w:hAnsi="Arial" w:cs="Arial"/>
          <w:spacing w:val="-3"/>
          <w:sz w:val="24"/>
          <w:szCs w:val="24"/>
          <w:lang w:eastAsia="en-GB"/>
        </w:rPr>
        <w:t>Recommendation</w:t>
      </w:r>
      <w:r>
        <w:rPr>
          <w:rFonts w:ascii="Arial" w:hAnsi="Arial" w:cs="Arial"/>
          <w:spacing w:val="-3"/>
          <w:sz w:val="24"/>
          <w:szCs w:val="24"/>
          <w:lang w:eastAsia="en-GB"/>
        </w:rPr>
        <w:t xml:space="preserve"> </w:t>
      </w:r>
      <w:r w:rsidR="002B2894">
        <w:rPr>
          <w:rFonts w:ascii="Arial" w:hAnsi="Arial" w:cs="Arial"/>
          <w:spacing w:val="-3"/>
          <w:sz w:val="24"/>
          <w:szCs w:val="24"/>
          <w:lang w:eastAsia="en-GB"/>
        </w:rPr>
        <w:t>is</w:t>
      </w:r>
      <w:r w:rsidR="001B02F7" w:rsidRPr="001B02F7">
        <w:rPr>
          <w:rFonts w:ascii="Arial" w:hAnsi="Arial" w:cs="Arial"/>
          <w:spacing w:val="-3"/>
          <w:sz w:val="24"/>
          <w:szCs w:val="24"/>
          <w:lang w:eastAsia="en-GB"/>
        </w:rPr>
        <w:t xml:space="preserve"> adopted as part of a wider package which includes</w:t>
      </w:r>
      <w:r>
        <w:rPr>
          <w:rFonts w:ascii="Arial" w:hAnsi="Arial" w:cs="Arial"/>
          <w:spacing w:val="-3"/>
          <w:sz w:val="24"/>
          <w:szCs w:val="24"/>
          <w:lang w:eastAsia="en-GB"/>
        </w:rPr>
        <w:t xml:space="preserve"> the </w:t>
      </w:r>
      <w:r w:rsidR="003E2C40" w:rsidRPr="003E2C40">
        <w:rPr>
          <w:rFonts w:ascii="Arial" w:hAnsi="Arial" w:cs="Arial"/>
          <w:spacing w:val="-3"/>
          <w:sz w:val="24"/>
          <w:szCs w:val="24"/>
          <w:lang w:eastAsia="en-GB"/>
        </w:rPr>
        <w:t>Proposal for a Regulation laying down measures concerning the European single market for electronic communications and to achieve a Connected Continent,</w:t>
      </w:r>
      <w:r w:rsidR="003E2C40" w:rsidRPr="003E2C40">
        <w:t xml:space="preserve"> </w:t>
      </w:r>
      <w:r w:rsidR="003E2C40" w:rsidRPr="003E2C40">
        <w:rPr>
          <w:rFonts w:ascii="Arial" w:hAnsi="Arial" w:cs="Arial"/>
          <w:spacing w:val="-3"/>
          <w:sz w:val="24"/>
          <w:szCs w:val="24"/>
          <w:lang w:eastAsia="en-GB"/>
        </w:rPr>
        <w:t>COM (2013) 627 final – 13555/13</w:t>
      </w:r>
      <w:r w:rsidR="00FF3AD3">
        <w:rPr>
          <w:rFonts w:ascii="Arial" w:hAnsi="Arial" w:cs="Arial"/>
          <w:spacing w:val="-3"/>
          <w:sz w:val="24"/>
          <w:szCs w:val="24"/>
          <w:lang w:eastAsia="en-GB"/>
        </w:rPr>
        <w:t>,</w:t>
      </w:r>
      <w:r w:rsidR="003E2C40">
        <w:rPr>
          <w:rFonts w:ascii="Arial" w:hAnsi="Arial" w:cs="Arial"/>
          <w:spacing w:val="-3"/>
          <w:sz w:val="24"/>
          <w:szCs w:val="24"/>
          <w:lang w:eastAsia="en-GB"/>
        </w:rPr>
        <w:t xml:space="preserve"> </w:t>
      </w:r>
      <w:r w:rsidR="00FF3AD3" w:rsidRPr="00FF3AD3">
        <w:rPr>
          <w:rFonts w:ascii="Arial" w:hAnsi="Arial" w:cs="Arial"/>
          <w:spacing w:val="-3"/>
          <w:sz w:val="24"/>
          <w:szCs w:val="24"/>
          <w:lang w:eastAsia="en-GB"/>
        </w:rPr>
        <w:t>which has just been tabled for consideration by the European Council and Parliament.</w:t>
      </w:r>
      <w:r w:rsidR="00FF3AD3">
        <w:rPr>
          <w:rFonts w:ascii="Arial" w:hAnsi="Arial" w:cs="Arial"/>
          <w:spacing w:val="-3"/>
          <w:sz w:val="24"/>
          <w:szCs w:val="24"/>
          <w:lang w:eastAsia="en-GB"/>
        </w:rPr>
        <w:t xml:space="preserve">  </w:t>
      </w:r>
      <w:r w:rsidR="003E2C40">
        <w:rPr>
          <w:rFonts w:ascii="Arial" w:hAnsi="Arial" w:cs="Arial"/>
          <w:spacing w:val="-3"/>
          <w:sz w:val="24"/>
          <w:szCs w:val="24"/>
          <w:lang w:eastAsia="en-GB"/>
        </w:rPr>
        <w:t xml:space="preserve">An Explanatory Memorandum for this proposed regulation is to be submitted on </w:t>
      </w:r>
      <w:r w:rsidR="0024310B">
        <w:rPr>
          <w:rFonts w:ascii="Arial" w:hAnsi="Arial" w:cs="Arial"/>
          <w:spacing w:val="-3"/>
          <w:sz w:val="24"/>
          <w:szCs w:val="24"/>
          <w:lang w:eastAsia="en-GB"/>
        </w:rPr>
        <w:t>10</w:t>
      </w:r>
      <w:r w:rsidR="003E2C40">
        <w:rPr>
          <w:rFonts w:ascii="Arial" w:hAnsi="Arial" w:cs="Arial"/>
          <w:spacing w:val="-3"/>
          <w:sz w:val="24"/>
          <w:szCs w:val="24"/>
          <w:lang w:eastAsia="en-GB"/>
        </w:rPr>
        <w:t xml:space="preserve"> October 2013</w:t>
      </w:r>
      <w:r w:rsidR="0024310B">
        <w:rPr>
          <w:rFonts w:ascii="Arial" w:hAnsi="Arial" w:cs="Arial"/>
          <w:spacing w:val="-3"/>
          <w:sz w:val="24"/>
          <w:szCs w:val="24"/>
          <w:lang w:eastAsia="en-GB"/>
        </w:rPr>
        <w:t>.</w:t>
      </w:r>
    </w:p>
    <w:p w14:paraId="693B1733" w14:textId="77777777" w:rsidR="008A50AC" w:rsidRPr="00877B52" w:rsidRDefault="008A50AC" w:rsidP="005424C5">
      <w:pPr>
        <w:tabs>
          <w:tab w:val="left" w:pos="142"/>
        </w:tabs>
        <w:spacing w:after="240" w:line="240" w:lineRule="auto"/>
        <w:rPr>
          <w:rFonts w:ascii="Arial" w:hAnsi="Arial" w:cs="Arial"/>
          <w:b/>
          <w:bCs/>
          <w:spacing w:val="-3"/>
          <w:sz w:val="24"/>
          <w:szCs w:val="24"/>
          <w:lang w:eastAsia="en-GB"/>
        </w:rPr>
      </w:pPr>
      <w:r w:rsidRPr="00877B52">
        <w:rPr>
          <w:rFonts w:ascii="Arial" w:hAnsi="Arial" w:cs="Arial"/>
          <w:b/>
          <w:bCs/>
          <w:spacing w:val="-3"/>
          <w:sz w:val="24"/>
          <w:szCs w:val="24"/>
          <w:lang w:eastAsia="en-GB"/>
        </w:rPr>
        <w:t xml:space="preserve">MINISTERIAL RESPONSIBILITY </w:t>
      </w:r>
    </w:p>
    <w:p w14:paraId="693B1737" w14:textId="0654166F" w:rsidR="008A50AC" w:rsidRPr="004C3F7A" w:rsidRDefault="008A50AC" w:rsidP="005424C5">
      <w:pPr>
        <w:numPr>
          <w:ilvl w:val="0"/>
          <w:numId w:val="25"/>
        </w:numPr>
        <w:spacing w:after="240" w:line="240" w:lineRule="auto"/>
        <w:ind w:left="567" w:hanging="567"/>
        <w:rPr>
          <w:rFonts w:ascii="Arial" w:hAnsi="Arial" w:cs="Arial"/>
          <w:spacing w:val="-3"/>
          <w:sz w:val="24"/>
          <w:szCs w:val="24"/>
          <w:lang w:eastAsia="en-GB"/>
        </w:rPr>
      </w:pPr>
      <w:r w:rsidRPr="004C3F7A">
        <w:rPr>
          <w:rFonts w:ascii="Arial" w:hAnsi="Arial" w:cs="Arial"/>
          <w:spacing w:val="-3"/>
          <w:sz w:val="24"/>
          <w:szCs w:val="24"/>
          <w:lang w:eastAsia="en-GB"/>
        </w:rPr>
        <w:t>The Secretary of State for Culture, Media and Sport has primary responsibility for the proposal.</w:t>
      </w:r>
      <w:r w:rsidR="004C3F7A" w:rsidRPr="004C3F7A">
        <w:rPr>
          <w:rFonts w:ascii="Arial" w:hAnsi="Arial" w:cs="Arial"/>
          <w:spacing w:val="-3"/>
          <w:sz w:val="24"/>
          <w:szCs w:val="24"/>
          <w:lang w:eastAsia="en-GB"/>
        </w:rPr>
        <w:t xml:space="preserve">  </w:t>
      </w:r>
      <w:r w:rsidRPr="004C3F7A">
        <w:rPr>
          <w:rFonts w:ascii="Arial" w:hAnsi="Arial" w:cs="Arial"/>
          <w:spacing w:val="-3"/>
          <w:sz w:val="24"/>
          <w:szCs w:val="24"/>
          <w:lang w:eastAsia="en-GB"/>
        </w:rPr>
        <w:t>In addition, the Secretary of State for Business, Innovation and Skills has an interest as a European single market measure</w:t>
      </w:r>
      <w:r w:rsidR="002B2894" w:rsidRPr="004C3F7A">
        <w:rPr>
          <w:rFonts w:ascii="Arial" w:hAnsi="Arial" w:cs="Arial"/>
          <w:spacing w:val="-3"/>
          <w:sz w:val="24"/>
          <w:szCs w:val="24"/>
          <w:lang w:eastAsia="en-GB"/>
        </w:rPr>
        <w:t>.</w:t>
      </w:r>
    </w:p>
    <w:p w14:paraId="64B6CFFD" w14:textId="77777777" w:rsidR="008C24E9" w:rsidRDefault="008C24E9">
      <w:pPr>
        <w:spacing w:after="0" w:line="240" w:lineRule="auto"/>
        <w:rPr>
          <w:rFonts w:ascii="Arial" w:hAnsi="Arial" w:cs="Arial"/>
          <w:b/>
          <w:bCs/>
          <w:sz w:val="24"/>
          <w:szCs w:val="24"/>
          <w:lang w:eastAsia="en-GB"/>
        </w:rPr>
      </w:pPr>
      <w:r>
        <w:rPr>
          <w:rFonts w:ascii="Arial" w:hAnsi="Arial" w:cs="Arial"/>
          <w:b/>
          <w:bCs/>
          <w:sz w:val="24"/>
          <w:szCs w:val="24"/>
          <w:lang w:eastAsia="en-GB"/>
        </w:rPr>
        <w:br w:type="page"/>
      </w:r>
    </w:p>
    <w:p w14:paraId="301C95F2" w14:textId="108F4E2D" w:rsidR="005424C5" w:rsidRPr="005424C5" w:rsidRDefault="008A50AC" w:rsidP="0066709A">
      <w:pPr>
        <w:tabs>
          <w:tab w:val="left" w:pos="0"/>
        </w:tabs>
        <w:spacing w:after="240" w:line="240" w:lineRule="auto"/>
        <w:ind w:left="142" w:hanging="142"/>
        <w:rPr>
          <w:rFonts w:ascii="Arial" w:hAnsi="Arial" w:cs="Arial"/>
          <w:sz w:val="24"/>
          <w:szCs w:val="24"/>
          <w:lang w:eastAsia="en-GB"/>
        </w:rPr>
      </w:pPr>
      <w:r w:rsidRPr="005424C5">
        <w:rPr>
          <w:rFonts w:ascii="Arial" w:hAnsi="Arial" w:cs="Arial"/>
          <w:b/>
          <w:bCs/>
          <w:sz w:val="24"/>
          <w:szCs w:val="24"/>
          <w:lang w:eastAsia="en-GB"/>
        </w:rPr>
        <w:lastRenderedPageBreak/>
        <w:t>INTEREST OF THE DEVOLVED ADMINISTRATIONS</w:t>
      </w:r>
    </w:p>
    <w:p w14:paraId="693B173A" w14:textId="53B13E14" w:rsidR="008A50AC" w:rsidRPr="005424C5" w:rsidRDefault="008A50AC" w:rsidP="005424C5">
      <w:pPr>
        <w:pStyle w:val="ListParagraph"/>
        <w:numPr>
          <w:ilvl w:val="0"/>
          <w:numId w:val="25"/>
        </w:numPr>
        <w:spacing w:after="240" w:line="240" w:lineRule="auto"/>
        <w:ind w:left="567" w:hanging="567"/>
        <w:contextualSpacing w:val="0"/>
        <w:rPr>
          <w:rFonts w:ascii="Arial" w:hAnsi="Arial" w:cs="Arial"/>
          <w:sz w:val="24"/>
          <w:szCs w:val="24"/>
          <w:lang w:eastAsia="en-GB"/>
        </w:rPr>
      </w:pPr>
      <w:r w:rsidRPr="005424C5">
        <w:rPr>
          <w:rFonts w:ascii="Arial" w:hAnsi="Arial" w:cs="Arial"/>
          <w:sz w:val="24"/>
          <w:szCs w:val="24"/>
          <w:lang w:eastAsia="en-GB"/>
        </w:rPr>
        <w:t xml:space="preserve">Matters relating to the European single market and telecommunications are a reserved matter. However, the Devolved Administrations </w:t>
      </w:r>
      <w:r w:rsidR="002B2894" w:rsidRPr="005424C5">
        <w:rPr>
          <w:rFonts w:ascii="Arial" w:hAnsi="Arial" w:cs="Arial"/>
          <w:sz w:val="24"/>
          <w:szCs w:val="24"/>
          <w:lang w:eastAsia="en-GB"/>
        </w:rPr>
        <w:t>have been informed of the content of the Recommendation</w:t>
      </w:r>
      <w:r w:rsidRPr="005424C5">
        <w:rPr>
          <w:rFonts w:ascii="Arial" w:hAnsi="Arial" w:cs="Arial"/>
          <w:sz w:val="24"/>
          <w:szCs w:val="24"/>
          <w:lang w:eastAsia="en-GB"/>
        </w:rPr>
        <w:t>.</w:t>
      </w:r>
    </w:p>
    <w:p w14:paraId="693B1740" w14:textId="1DD2C333" w:rsidR="008A50AC" w:rsidRPr="00877B52" w:rsidRDefault="008A50AC" w:rsidP="005424C5">
      <w:pPr>
        <w:tabs>
          <w:tab w:val="left" w:pos="0"/>
          <w:tab w:val="left" w:pos="142"/>
        </w:tabs>
        <w:suppressAutoHyphens/>
        <w:spacing w:after="240" w:line="240" w:lineRule="auto"/>
        <w:rPr>
          <w:rFonts w:ascii="Arial" w:hAnsi="Arial" w:cs="Arial"/>
          <w:b/>
          <w:bCs/>
          <w:spacing w:val="-3"/>
          <w:sz w:val="24"/>
          <w:szCs w:val="24"/>
          <w:lang w:eastAsia="en-GB"/>
        </w:rPr>
      </w:pPr>
      <w:r w:rsidRPr="00877B52">
        <w:rPr>
          <w:rFonts w:ascii="Arial" w:hAnsi="Arial" w:cs="Arial"/>
          <w:b/>
          <w:bCs/>
          <w:spacing w:val="-3"/>
          <w:sz w:val="24"/>
          <w:szCs w:val="24"/>
          <w:lang w:eastAsia="en-GB"/>
        </w:rPr>
        <w:t>LEGAL AND PROCEDURAL ISSUES</w:t>
      </w:r>
    </w:p>
    <w:p w14:paraId="693B1742" w14:textId="77777777" w:rsidR="008A50AC" w:rsidRDefault="008A50AC" w:rsidP="0066709A">
      <w:pPr>
        <w:numPr>
          <w:ilvl w:val="0"/>
          <w:numId w:val="25"/>
        </w:numPr>
        <w:suppressAutoHyphens/>
        <w:spacing w:after="120" w:line="240" w:lineRule="auto"/>
        <w:ind w:hanging="720"/>
        <w:rPr>
          <w:rFonts w:ascii="Arial" w:hAnsi="Arial" w:cs="Arial"/>
          <w:spacing w:val="-3"/>
          <w:sz w:val="24"/>
          <w:szCs w:val="24"/>
          <w:lang w:eastAsia="en-GB"/>
        </w:rPr>
      </w:pPr>
    </w:p>
    <w:p w14:paraId="28CBC191" w14:textId="03076FF9" w:rsidR="000E5AAC" w:rsidRPr="000E5AAC" w:rsidRDefault="000E5AAC" w:rsidP="0066709A">
      <w:pPr>
        <w:pStyle w:val="ListParagraph"/>
        <w:numPr>
          <w:ilvl w:val="0"/>
          <w:numId w:val="23"/>
        </w:numPr>
        <w:spacing w:after="120" w:line="240" w:lineRule="auto"/>
        <w:ind w:left="1276" w:hanging="425"/>
        <w:contextualSpacing w:val="0"/>
        <w:rPr>
          <w:rFonts w:ascii="Arial" w:hAnsi="Arial" w:cs="Arial"/>
          <w:b/>
          <w:spacing w:val="-3"/>
          <w:sz w:val="24"/>
          <w:szCs w:val="24"/>
          <w:lang w:eastAsia="en-GB"/>
        </w:rPr>
      </w:pPr>
      <w:r w:rsidRPr="000E5AAC">
        <w:rPr>
          <w:rFonts w:ascii="Arial" w:hAnsi="Arial" w:cs="Arial"/>
          <w:b/>
          <w:spacing w:val="-3"/>
          <w:sz w:val="24"/>
          <w:szCs w:val="24"/>
          <w:lang w:eastAsia="en-GB"/>
        </w:rPr>
        <w:t>Legal basis</w:t>
      </w:r>
    </w:p>
    <w:p w14:paraId="2BCD927F" w14:textId="77777777" w:rsidR="000E5AAC" w:rsidRPr="000E5AAC" w:rsidRDefault="000E5AAC" w:rsidP="0066709A">
      <w:pPr>
        <w:spacing w:after="120" w:line="240" w:lineRule="auto"/>
        <w:ind w:left="1276"/>
        <w:rPr>
          <w:rFonts w:ascii="Arial" w:hAnsi="Arial" w:cs="Arial"/>
          <w:spacing w:val="-3"/>
          <w:sz w:val="24"/>
          <w:szCs w:val="24"/>
          <w:lang w:eastAsia="en-GB"/>
        </w:rPr>
      </w:pPr>
      <w:r w:rsidRPr="000E5AAC">
        <w:rPr>
          <w:rFonts w:ascii="Arial" w:hAnsi="Arial" w:cs="Arial"/>
          <w:spacing w:val="-3"/>
          <w:sz w:val="24"/>
          <w:szCs w:val="24"/>
          <w:lang w:eastAsia="en-GB"/>
        </w:rPr>
        <w:t>Article 19(1) of Directive 2002/21/EC of the European Parliament and of the Council of 7 March 2002 on a common regulatory framework for electronic communications networks and services (Framework Directive). The Framework Directive was made under Article 95 TEC (now Article 114 TFEU).</w:t>
      </w:r>
    </w:p>
    <w:p w14:paraId="0879DC2B" w14:textId="5CFC8C4D" w:rsidR="000E5AAC" w:rsidRPr="000E5AAC" w:rsidRDefault="000E5AAC" w:rsidP="0066709A">
      <w:pPr>
        <w:pStyle w:val="ListParagraph"/>
        <w:numPr>
          <w:ilvl w:val="0"/>
          <w:numId w:val="23"/>
        </w:numPr>
        <w:spacing w:after="120" w:line="240" w:lineRule="auto"/>
        <w:ind w:left="1276" w:hanging="425"/>
        <w:contextualSpacing w:val="0"/>
        <w:rPr>
          <w:rFonts w:ascii="Arial" w:hAnsi="Arial" w:cs="Arial"/>
          <w:b/>
          <w:spacing w:val="-3"/>
          <w:sz w:val="24"/>
          <w:szCs w:val="24"/>
          <w:lang w:eastAsia="en-GB"/>
        </w:rPr>
      </w:pPr>
      <w:r w:rsidRPr="000E5AAC">
        <w:rPr>
          <w:rFonts w:ascii="Arial" w:hAnsi="Arial" w:cs="Arial"/>
          <w:b/>
          <w:spacing w:val="-3"/>
          <w:sz w:val="24"/>
          <w:szCs w:val="24"/>
          <w:lang w:eastAsia="en-GB"/>
        </w:rPr>
        <w:t>European Parliament procedure</w:t>
      </w:r>
    </w:p>
    <w:p w14:paraId="460022C8" w14:textId="77777777" w:rsidR="000E5AAC" w:rsidRPr="000E5AAC" w:rsidRDefault="000E5AAC" w:rsidP="0066709A">
      <w:pPr>
        <w:spacing w:after="120" w:line="240" w:lineRule="auto"/>
        <w:ind w:left="1276"/>
        <w:rPr>
          <w:rFonts w:ascii="Arial" w:hAnsi="Arial" w:cs="Arial"/>
          <w:spacing w:val="-3"/>
          <w:sz w:val="24"/>
          <w:szCs w:val="24"/>
          <w:lang w:eastAsia="en-GB"/>
        </w:rPr>
      </w:pPr>
      <w:r w:rsidRPr="000E5AAC">
        <w:rPr>
          <w:rFonts w:ascii="Arial" w:hAnsi="Arial" w:cs="Arial"/>
          <w:spacing w:val="-3"/>
          <w:sz w:val="24"/>
          <w:szCs w:val="24"/>
          <w:lang w:eastAsia="en-GB"/>
        </w:rPr>
        <w:t>Not applicable.</w:t>
      </w:r>
    </w:p>
    <w:p w14:paraId="0E431F3C" w14:textId="76AC1FE0" w:rsidR="000E5AAC" w:rsidRPr="000E5AAC" w:rsidRDefault="000E5AAC" w:rsidP="0066709A">
      <w:pPr>
        <w:pStyle w:val="ListParagraph"/>
        <w:numPr>
          <w:ilvl w:val="0"/>
          <w:numId w:val="23"/>
        </w:numPr>
        <w:spacing w:after="120" w:line="240" w:lineRule="auto"/>
        <w:ind w:left="1276" w:hanging="425"/>
        <w:contextualSpacing w:val="0"/>
        <w:rPr>
          <w:rFonts w:ascii="Arial" w:hAnsi="Arial" w:cs="Arial"/>
          <w:b/>
          <w:spacing w:val="-3"/>
          <w:sz w:val="24"/>
          <w:szCs w:val="24"/>
          <w:lang w:eastAsia="en-GB"/>
        </w:rPr>
      </w:pPr>
      <w:r w:rsidRPr="000E5AAC">
        <w:rPr>
          <w:rFonts w:ascii="Arial" w:hAnsi="Arial" w:cs="Arial"/>
          <w:b/>
          <w:spacing w:val="-3"/>
          <w:sz w:val="24"/>
          <w:szCs w:val="24"/>
          <w:lang w:eastAsia="en-GB"/>
        </w:rPr>
        <w:t>Voting procedure</w:t>
      </w:r>
    </w:p>
    <w:p w14:paraId="40120CB3" w14:textId="77777777" w:rsidR="000E5AAC" w:rsidRPr="000E5AAC" w:rsidRDefault="000E5AAC" w:rsidP="0066709A">
      <w:pPr>
        <w:spacing w:after="120" w:line="240" w:lineRule="auto"/>
        <w:ind w:left="1276"/>
        <w:rPr>
          <w:rFonts w:ascii="Arial" w:hAnsi="Arial" w:cs="Arial"/>
          <w:spacing w:val="-3"/>
          <w:sz w:val="24"/>
          <w:szCs w:val="24"/>
          <w:lang w:eastAsia="en-GB"/>
        </w:rPr>
      </w:pPr>
      <w:r w:rsidRPr="000E5AAC">
        <w:rPr>
          <w:rFonts w:ascii="Arial" w:hAnsi="Arial" w:cs="Arial"/>
          <w:spacing w:val="-3"/>
          <w:sz w:val="24"/>
          <w:szCs w:val="24"/>
          <w:lang w:eastAsia="en-GB"/>
        </w:rPr>
        <w:t>Not applicable.</w:t>
      </w:r>
    </w:p>
    <w:p w14:paraId="0F7E08F2" w14:textId="08400117" w:rsidR="000E5AAC" w:rsidRPr="000E5AAC" w:rsidRDefault="000E5AAC" w:rsidP="0066709A">
      <w:pPr>
        <w:pStyle w:val="ListParagraph"/>
        <w:numPr>
          <w:ilvl w:val="0"/>
          <w:numId w:val="23"/>
        </w:numPr>
        <w:spacing w:after="120" w:line="240" w:lineRule="auto"/>
        <w:ind w:left="1276" w:hanging="425"/>
        <w:contextualSpacing w:val="0"/>
        <w:rPr>
          <w:rFonts w:ascii="Arial" w:hAnsi="Arial" w:cs="Arial"/>
          <w:b/>
          <w:spacing w:val="-3"/>
          <w:sz w:val="24"/>
          <w:szCs w:val="24"/>
          <w:lang w:eastAsia="en-GB"/>
        </w:rPr>
      </w:pPr>
      <w:r w:rsidRPr="000E5AAC">
        <w:rPr>
          <w:rFonts w:ascii="Arial" w:hAnsi="Arial" w:cs="Arial"/>
          <w:b/>
          <w:spacing w:val="-3"/>
          <w:sz w:val="24"/>
          <w:szCs w:val="24"/>
          <w:lang w:eastAsia="en-GB"/>
        </w:rPr>
        <w:t>Impact on UK law</w:t>
      </w:r>
    </w:p>
    <w:p w14:paraId="7129DE30" w14:textId="0D09EA5C" w:rsidR="000E5AAC" w:rsidRPr="000E5AAC" w:rsidRDefault="000E5AAC" w:rsidP="0066709A">
      <w:pPr>
        <w:spacing w:after="120" w:line="240" w:lineRule="auto"/>
        <w:ind w:left="1276"/>
        <w:rPr>
          <w:rFonts w:ascii="Arial" w:hAnsi="Arial" w:cs="Arial"/>
          <w:spacing w:val="-3"/>
          <w:sz w:val="24"/>
          <w:szCs w:val="24"/>
          <w:lang w:eastAsia="en-GB"/>
        </w:rPr>
      </w:pPr>
      <w:r w:rsidRPr="000E5AAC">
        <w:rPr>
          <w:rFonts w:ascii="Arial" w:hAnsi="Arial" w:cs="Arial"/>
          <w:spacing w:val="-3"/>
          <w:sz w:val="24"/>
          <w:szCs w:val="24"/>
          <w:lang w:eastAsia="en-GB"/>
        </w:rPr>
        <w:t>None</w:t>
      </w:r>
      <w:r w:rsidR="005424C5">
        <w:rPr>
          <w:rFonts w:ascii="Arial" w:hAnsi="Arial" w:cs="Arial"/>
          <w:spacing w:val="-3"/>
          <w:sz w:val="24"/>
          <w:szCs w:val="24"/>
          <w:lang w:eastAsia="en-GB"/>
        </w:rPr>
        <w:t>.</w:t>
      </w:r>
    </w:p>
    <w:p w14:paraId="6E3DD311" w14:textId="18643209" w:rsidR="000E5AAC" w:rsidRPr="000E5AAC" w:rsidRDefault="000E5AAC" w:rsidP="0066709A">
      <w:pPr>
        <w:pStyle w:val="ListParagraph"/>
        <w:numPr>
          <w:ilvl w:val="0"/>
          <w:numId w:val="23"/>
        </w:numPr>
        <w:spacing w:after="120" w:line="240" w:lineRule="auto"/>
        <w:ind w:left="1276" w:hanging="425"/>
        <w:contextualSpacing w:val="0"/>
        <w:rPr>
          <w:rFonts w:ascii="Arial" w:hAnsi="Arial" w:cs="Arial"/>
          <w:b/>
          <w:spacing w:val="-3"/>
          <w:sz w:val="24"/>
          <w:szCs w:val="24"/>
          <w:lang w:eastAsia="en-GB"/>
        </w:rPr>
      </w:pPr>
      <w:r w:rsidRPr="000E5AAC">
        <w:rPr>
          <w:rFonts w:ascii="Arial" w:hAnsi="Arial" w:cs="Arial"/>
          <w:b/>
          <w:spacing w:val="-3"/>
          <w:sz w:val="24"/>
          <w:szCs w:val="24"/>
          <w:lang w:eastAsia="en-GB"/>
        </w:rPr>
        <w:t>Application to Gibraltar</w:t>
      </w:r>
    </w:p>
    <w:p w14:paraId="54D72823" w14:textId="77777777" w:rsidR="000E5AAC" w:rsidRPr="000E5AAC" w:rsidRDefault="000E5AAC" w:rsidP="0066709A">
      <w:pPr>
        <w:spacing w:after="120" w:line="240" w:lineRule="auto"/>
        <w:ind w:left="1276"/>
        <w:rPr>
          <w:rFonts w:ascii="Arial" w:hAnsi="Arial" w:cs="Arial"/>
          <w:spacing w:val="-3"/>
          <w:sz w:val="24"/>
          <w:szCs w:val="24"/>
          <w:lang w:eastAsia="en-GB"/>
        </w:rPr>
      </w:pPr>
      <w:r w:rsidRPr="000E5AAC">
        <w:rPr>
          <w:rFonts w:ascii="Arial" w:hAnsi="Arial" w:cs="Arial"/>
          <w:spacing w:val="-3"/>
          <w:sz w:val="24"/>
          <w:szCs w:val="24"/>
          <w:lang w:eastAsia="en-GB"/>
        </w:rPr>
        <w:t>Applies to Gibraltar</w:t>
      </w:r>
    </w:p>
    <w:p w14:paraId="5D2BB562" w14:textId="64B51B77" w:rsidR="000E5AAC" w:rsidRPr="000E5AAC" w:rsidRDefault="000E5AAC" w:rsidP="0066709A">
      <w:pPr>
        <w:pStyle w:val="ListParagraph"/>
        <w:numPr>
          <w:ilvl w:val="0"/>
          <w:numId w:val="23"/>
        </w:numPr>
        <w:spacing w:after="120" w:line="240" w:lineRule="auto"/>
        <w:ind w:left="1276" w:hanging="425"/>
        <w:contextualSpacing w:val="0"/>
        <w:rPr>
          <w:rFonts w:ascii="Arial" w:hAnsi="Arial" w:cs="Arial"/>
          <w:b/>
          <w:spacing w:val="-3"/>
          <w:sz w:val="24"/>
          <w:szCs w:val="24"/>
          <w:lang w:eastAsia="en-GB"/>
        </w:rPr>
      </w:pPr>
      <w:r w:rsidRPr="000E5AAC">
        <w:rPr>
          <w:rFonts w:ascii="Arial" w:hAnsi="Arial" w:cs="Arial"/>
          <w:b/>
          <w:spacing w:val="-3"/>
          <w:sz w:val="24"/>
          <w:szCs w:val="24"/>
          <w:lang w:eastAsia="en-GB"/>
        </w:rPr>
        <w:t>Fundamental rights analysis</w:t>
      </w:r>
    </w:p>
    <w:p w14:paraId="693B174B" w14:textId="70DA554D" w:rsidR="008A50AC" w:rsidRDefault="000E5AAC" w:rsidP="005424C5">
      <w:pPr>
        <w:spacing w:after="240" w:line="240" w:lineRule="auto"/>
        <w:ind w:left="1276"/>
        <w:rPr>
          <w:rFonts w:ascii="Arial" w:hAnsi="Arial" w:cs="Arial"/>
          <w:spacing w:val="-3"/>
          <w:sz w:val="24"/>
          <w:szCs w:val="24"/>
          <w:lang w:eastAsia="en-GB"/>
        </w:rPr>
      </w:pPr>
      <w:r w:rsidRPr="000E5AAC">
        <w:rPr>
          <w:rFonts w:ascii="Arial" w:hAnsi="Arial" w:cs="Arial"/>
          <w:spacing w:val="-3"/>
          <w:sz w:val="24"/>
          <w:szCs w:val="24"/>
          <w:lang w:eastAsia="en-GB"/>
        </w:rPr>
        <w:t>There are no fundamental rights issues</w:t>
      </w:r>
    </w:p>
    <w:p w14:paraId="693B174C" w14:textId="77777777" w:rsidR="008A50AC" w:rsidRPr="00877B52" w:rsidRDefault="008A50AC" w:rsidP="005424C5">
      <w:pPr>
        <w:tabs>
          <w:tab w:val="left" w:pos="0"/>
          <w:tab w:val="left" w:pos="142"/>
        </w:tabs>
        <w:suppressAutoHyphens/>
        <w:spacing w:after="240" w:line="240" w:lineRule="auto"/>
        <w:rPr>
          <w:rFonts w:ascii="Arial" w:hAnsi="Arial" w:cs="Arial"/>
          <w:b/>
          <w:bCs/>
          <w:spacing w:val="-3"/>
          <w:sz w:val="24"/>
          <w:szCs w:val="24"/>
          <w:lang w:eastAsia="en-GB"/>
        </w:rPr>
      </w:pPr>
      <w:r w:rsidRPr="00877B52">
        <w:rPr>
          <w:rFonts w:ascii="Arial" w:hAnsi="Arial" w:cs="Arial"/>
          <w:b/>
          <w:bCs/>
          <w:spacing w:val="-3"/>
          <w:sz w:val="24"/>
          <w:szCs w:val="24"/>
          <w:lang w:eastAsia="en-GB"/>
        </w:rPr>
        <w:t>APPLICATION TO THE EUROPEAN ECONOMIC AREA</w:t>
      </w:r>
    </w:p>
    <w:p w14:paraId="693B174E" w14:textId="6E7DE0EF" w:rsidR="008A50AC" w:rsidRPr="00851E72" w:rsidRDefault="008A50AC" w:rsidP="005424C5">
      <w:pPr>
        <w:numPr>
          <w:ilvl w:val="0"/>
          <w:numId w:val="25"/>
        </w:numPr>
        <w:suppressAutoHyphens/>
        <w:spacing w:after="240" w:line="240" w:lineRule="auto"/>
        <w:ind w:left="567" w:hanging="567"/>
        <w:rPr>
          <w:rFonts w:ascii="Arial" w:hAnsi="Arial" w:cs="Arial"/>
          <w:spacing w:val="-3"/>
          <w:sz w:val="24"/>
          <w:szCs w:val="24"/>
          <w:lang w:eastAsia="en-GB"/>
        </w:rPr>
      </w:pPr>
      <w:r w:rsidRPr="00851E72">
        <w:rPr>
          <w:rFonts w:ascii="Arial" w:hAnsi="Arial" w:cs="Arial"/>
          <w:spacing w:val="-3"/>
          <w:sz w:val="24"/>
          <w:szCs w:val="24"/>
          <w:lang w:eastAsia="en-GB"/>
        </w:rPr>
        <w:t>The proposed Re</w:t>
      </w:r>
      <w:r w:rsidR="004F1B46">
        <w:rPr>
          <w:rFonts w:ascii="Arial" w:hAnsi="Arial" w:cs="Arial"/>
          <w:spacing w:val="-3"/>
          <w:sz w:val="24"/>
          <w:szCs w:val="24"/>
          <w:lang w:eastAsia="en-GB"/>
        </w:rPr>
        <w:t>commenda</w:t>
      </w:r>
      <w:r w:rsidRPr="00851E72">
        <w:rPr>
          <w:rFonts w:ascii="Arial" w:hAnsi="Arial" w:cs="Arial"/>
          <w:spacing w:val="-3"/>
          <w:sz w:val="24"/>
          <w:szCs w:val="24"/>
          <w:lang w:eastAsia="en-GB"/>
        </w:rPr>
        <w:t>tion will be applicable in the EEA</w:t>
      </w:r>
      <w:r w:rsidR="003E2C40">
        <w:rPr>
          <w:rFonts w:ascii="Arial" w:hAnsi="Arial" w:cs="Arial"/>
          <w:spacing w:val="-3"/>
          <w:sz w:val="24"/>
          <w:szCs w:val="24"/>
          <w:lang w:eastAsia="en-GB"/>
        </w:rPr>
        <w:t>.</w:t>
      </w:r>
    </w:p>
    <w:p w14:paraId="693B1750" w14:textId="77777777" w:rsidR="008A50AC" w:rsidRPr="00877B52" w:rsidRDefault="008A50AC" w:rsidP="0066709A">
      <w:pPr>
        <w:tabs>
          <w:tab w:val="left" w:pos="0"/>
          <w:tab w:val="left" w:pos="142"/>
        </w:tabs>
        <w:suppressAutoHyphens/>
        <w:spacing w:after="240" w:line="240" w:lineRule="auto"/>
        <w:rPr>
          <w:rFonts w:ascii="Arial" w:hAnsi="Arial" w:cs="Arial"/>
          <w:b/>
          <w:bCs/>
          <w:spacing w:val="-3"/>
          <w:sz w:val="24"/>
          <w:szCs w:val="24"/>
          <w:lang w:eastAsia="en-GB"/>
        </w:rPr>
      </w:pPr>
      <w:r w:rsidRPr="00877B52">
        <w:rPr>
          <w:rFonts w:ascii="Arial" w:hAnsi="Arial" w:cs="Arial"/>
          <w:b/>
          <w:bCs/>
          <w:spacing w:val="-3"/>
          <w:sz w:val="24"/>
          <w:szCs w:val="24"/>
          <w:lang w:eastAsia="en-GB"/>
        </w:rPr>
        <w:t>SUBSIDIARITY</w:t>
      </w:r>
    </w:p>
    <w:p w14:paraId="693B1768" w14:textId="31057E7E" w:rsidR="008A50AC" w:rsidRPr="00BD3FF8" w:rsidRDefault="00BD3FF8" w:rsidP="0066709A">
      <w:pPr>
        <w:pStyle w:val="ListParagraph"/>
        <w:numPr>
          <w:ilvl w:val="0"/>
          <w:numId w:val="25"/>
        </w:numPr>
        <w:suppressAutoHyphens/>
        <w:spacing w:after="240" w:line="240" w:lineRule="auto"/>
        <w:ind w:left="567" w:hanging="567"/>
        <w:contextualSpacing w:val="0"/>
        <w:rPr>
          <w:rFonts w:ascii="Arial" w:hAnsi="Arial" w:cs="Arial"/>
          <w:iCs/>
          <w:spacing w:val="-3"/>
          <w:sz w:val="24"/>
          <w:szCs w:val="24"/>
          <w:lang w:eastAsia="en-GB"/>
        </w:rPr>
      </w:pPr>
      <w:r>
        <w:rPr>
          <w:rFonts w:ascii="Arial" w:hAnsi="Arial" w:cs="Arial"/>
          <w:iCs/>
          <w:spacing w:val="-3"/>
          <w:sz w:val="24"/>
          <w:szCs w:val="24"/>
          <w:lang w:eastAsia="en-GB"/>
        </w:rPr>
        <w:t xml:space="preserve">N/A - </w:t>
      </w:r>
      <w:r w:rsidRPr="004F1B46">
        <w:rPr>
          <w:rFonts w:ascii="Arial" w:hAnsi="Arial" w:cs="Arial"/>
          <w:spacing w:val="-3"/>
          <w:sz w:val="24"/>
          <w:szCs w:val="24"/>
          <w:lang w:eastAsia="en-GB"/>
        </w:rPr>
        <w:t xml:space="preserve">Commission Recommendations are </w:t>
      </w:r>
      <w:r w:rsidR="0090266D">
        <w:rPr>
          <w:rFonts w:ascii="Arial" w:hAnsi="Arial" w:cs="Arial"/>
          <w:spacing w:val="-3"/>
          <w:sz w:val="24"/>
          <w:szCs w:val="24"/>
          <w:lang w:eastAsia="en-GB"/>
        </w:rPr>
        <w:t>not binding and m</w:t>
      </w:r>
      <w:r w:rsidRPr="004F1B46">
        <w:rPr>
          <w:rFonts w:ascii="Arial" w:hAnsi="Arial" w:cs="Arial"/>
          <w:spacing w:val="-3"/>
          <w:sz w:val="24"/>
          <w:szCs w:val="24"/>
          <w:lang w:eastAsia="en-GB"/>
        </w:rPr>
        <w:t>any of the proposals are already implemented in the current UK regulatory framework.</w:t>
      </w:r>
    </w:p>
    <w:p w14:paraId="693B17A6" w14:textId="77777777" w:rsidR="008A50AC" w:rsidRPr="00877B52" w:rsidRDefault="008A50AC" w:rsidP="0066709A">
      <w:pPr>
        <w:tabs>
          <w:tab w:val="left" w:pos="0"/>
          <w:tab w:val="left" w:pos="142"/>
        </w:tabs>
        <w:suppressAutoHyphens/>
        <w:spacing w:after="240" w:line="240" w:lineRule="auto"/>
        <w:rPr>
          <w:rFonts w:ascii="Arial" w:hAnsi="Arial" w:cs="Arial"/>
          <w:b/>
          <w:bCs/>
          <w:spacing w:val="-3"/>
          <w:sz w:val="24"/>
          <w:szCs w:val="24"/>
          <w:lang w:eastAsia="en-GB"/>
        </w:rPr>
      </w:pPr>
      <w:r w:rsidRPr="00877B52">
        <w:rPr>
          <w:rFonts w:ascii="Arial" w:hAnsi="Arial" w:cs="Arial"/>
          <w:b/>
          <w:bCs/>
          <w:spacing w:val="-3"/>
          <w:sz w:val="24"/>
          <w:szCs w:val="24"/>
          <w:lang w:eastAsia="en-GB"/>
        </w:rPr>
        <w:t>CONSULTATION</w:t>
      </w:r>
    </w:p>
    <w:p w14:paraId="693B17A8" w14:textId="1D13D30C" w:rsidR="008A50AC" w:rsidRDefault="008A50AC" w:rsidP="0066709A">
      <w:pPr>
        <w:numPr>
          <w:ilvl w:val="0"/>
          <w:numId w:val="25"/>
        </w:numPr>
        <w:suppressAutoHyphens/>
        <w:spacing w:after="240" w:line="240" w:lineRule="auto"/>
        <w:ind w:left="567" w:hanging="567"/>
        <w:rPr>
          <w:rFonts w:ascii="Arial" w:hAnsi="Arial" w:cs="Arial"/>
          <w:spacing w:val="-3"/>
          <w:sz w:val="24"/>
          <w:szCs w:val="24"/>
          <w:lang w:eastAsia="en-GB"/>
        </w:rPr>
      </w:pPr>
      <w:r>
        <w:rPr>
          <w:rFonts w:ascii="Arial" w:hAnsi="Arial" w:cs="Arial"/>
          <w:spacing w:val="-3"/>
          <w:sz w:val="24"/>
          <w:szCs w:val="24"/>
          <w:lang w:eastAsia="en-GB"/>
        </w:rPr>
        <w:t>Th</w:t>
      </w:r>
      <w:r w:rsidR="004F1B46">
        <w:rPr>
          <w:rFonts w:ascii="Arial" w:hAnsi="Arial" w:cs="Arial"/>
          <w:spacing w:val="-3"/>
          <w:sz w:val="24"/>
          <w:szCs w:val="24"/>
          <w:lang w:eastAsia="en-GB"/>
        </w:rPr>
        <w:t>e</w:t>
      </w:r>
      <w:r>
        <w:rPr>
          <w:rFonts w:ascii="Arial" w:hAnsi="Arial" w:cs="Arial"/>
          <w:spacing w:val="-3"/>
          <w:sz w:val="24"/>
          <w:szCs w:val="24"/>
          <w:lang w:eastAsia="en-GB"/>
        </w:rPr>
        <w:t xml:space="preserve"> </w:t>
      </w:r>
      <w:r w:rsidR="004F1B46">
        <w:rPr>
          <w:rFonts w:ascii="Arial" w:hAnsi="Arial" w:cs="Arial"/>
          <w:spacing w:val="-3"/>
          <w:sz w:val="24"/>
          <w:szCs w:val="24"/>
          <w:lang w:eastAsia="en-GB"/>
        </w:rPr>
        <w:t>Recommendation</w:t>
      </w:r>
      <w:r>
        <w:rPr>
          <w:rFonts w:ascii="Arial" w:hAnsi="Arial" w:cs="Arial"/>
          <w:spacing w:val="-3"/>
          <w:sz w:val="24"/>
          <w:szCs w:val="24"/>
          <w:lang w:eastAsia="en-GB"/>
        </w:rPr>
        <w:t xml:space="preserve"> was widely discussed and considered during </w:t>
      </w:r>
      <w:r w:rsidR="004F1B46">
        <w:rPr>
          <w:rFonts w:ascii="Arial" w:hAnsi="Arial" w:cs="Arial"/>
          <w:spacing w:val="-3"/>
          <w:sz w:val="24"/>
          <w:szCs w:val="24"/>
          <w:lang w:eastAsia="en-GB"/>
        </w:rPr>
        <w:t xml:space="preserve">2012 and 2013.  </w:t>
      </w:r>
      <w:r w:rsidR="004F1B46" w:rsidRPr="004F1B46">
        <w:rPr>
          <w:rFonts w:ascii="Arial" w:hAnsi="Arial" w:cs="Arial"/>
          <w:spacing w:val="-3"/>
          <w:sz w:val="24"/>
          <w:szCs w:val="24"/>
          <w:lang w:eastAsia="en-GB"/>
        </w:rPr>
        <w:t>Ofcom responded to an initial Commission consultation</w:t>
      </w:r>
      <w:r w:rsidR="00214D65">
        <w:rPr>
          <w:rFonts w:ascii="Arial" w:hAnsi="Arial" w:cs="Arial"/>
          <w:spacing w:val="-3"/>
          <w:sz w:val="24"/>
          <w:szCs w:val="24"/>
          <w:lang w:eastAsia="en-GB"/>
        </w:rPr>
        <w:t xml:space="preserve"> in October 2011 (through BEREC</w:t>
      </w:r>
      <w:r w:rsidR="00214D65">
        <w:rPr>
          <w:rStyle w:val="FootnoteReference"/>
          <w:rFonts w:ascii="Arial" w:hAnsi="Arial" w:cs="Arial"/>
          <w:spacing w:val="-3"/>
          <w:sz w:val="24"/>
          <w:szCs w:val="24"/>
          <w:lang w:eastAsia="en-GB"/>
        </w:rPr>
        <w:footnoteReference w:id="5"/>
      </w:r>
      <w:r w:rsidR="004F1B46" w:rsidRPr="004F1B46">
        <w:rPr>
          <w:rFonts w:ascii="Arial" w:hAnsi="Arial" w:cs="Arial"/>
          <w:spacing w:val="-3"/>
          <w:sz w:val="24"/>
          <w:szCs w:val="24"/>
          <w:lang w:eastAsia="en-GB"/>
        </w:rPr>
        <w:t>) and BEREC provided a formal Opinion on the draft Recommendation at the end of March 2013.</w:t>
      </w:r>
    </w:p>
    <w:p w14:paraId="693B17AA" w14:textId="77777777" w:rsidR="008A50AC" w:rsidRPr="00877B52" w:rsidRDefault="008A50AC" w:rsidP="0066709A">
      <w:pPr>
        <w:tabs>
          <w:tab w:val="left" w:pos="0"/>
          <w:tab w:val="left" w:pos="142"/>
        </w:tabs>
        <w:suppressAutoHyphens/>
        <w:spacing w:after="240" w:line="240" w:lineRule="auto"/>
        <w:rPr>
          <w:rFonts w:ascii="Arial" w:hAnsi="Arial" w:cs="Arial"/>
          <w:b/>
          <w:bCs/>
          <w:spacing w:val="-3"/>
          <w:sz w:val="24"/>
          <w:szCs w:val="24"/>
          <w:lang w:eastAsia="en-GB"/>
        </w:rPr>
      </w:pPr>
      <w:r w:rsidRPr="00877B52">
        <w:rPr>
          <w:rFonts w:ascii="Arial" w:hAnsi="Arial" w:cs="Arial"/>
          <w:b/>
          <w:bCs/>
          <w:spacing w:val="-3"/>
          <w:sz w:val="24"/>
          <w:szCs w:val="24"/>
          <w:lang w:eastAsia="en-GB"/>
        </w:rPr>
        <w:lastRenderedPageBreak/>
        <w:t>IMPACT ASSESSMENT</w:t>
      </w:r>
    </w:p>
    <w:p w14:paraId="693B17AC" w14:textId="3A4E20B7" w:rsidR="008A50AC" w:rsidRPr="000E00DC" w:rsidRDefault="004F1B46" w:rsidP="0066709A">
      <w:pPr>
        <w:numPr>
          <w:ilvl w:val="0"/>
          <w:numId w:val="25"/>
        </w:numPr>
        <w:suppressAutoHyphens/>
        <w:spacing w:after="240" w:line="240" w:lineRule="auto"/>
        <w:ind w:left="567" w:hanging="567"/>
        <w:rPr>
          <w:rFonts w:ascii="Arial" w:hAnsi="Arial" w:cs="Arial"/>
          <w:spacing w:val="-3"/>
          <w:sz w:val="24"/>
          <w:szCs w:val="24"/>
          <w:lang w:eastAsia="en-GB"/>
        </w:rPr>
      </w:pPr>
      <w:r w:rsidRPr="004F1B46">
        <w:rPr>
          <w:rFonts w:ascii="Arial" w:hAnsi="Arial" w:cs="Arial"/>
          <w:spacing w:val="-3"/>
          <w:sz w:val="24"/>
          <w:szCs w:val="24"/>
          <w:lang w:eastAsia="en-GB"/>
        </w:rPr>
        <w:t>N/A - Commission Recommendations are</w:t>
      </w:r>
      <w:r w:rsidR="0090266D" w:rsidRPr="0090266D">
        <w:rPr>
          <w:rFonts w:ascii="Arial" w:hAnsi="Arial" w:cs="Arial"/>
          <w:spacing w:val="-3"/>
          <w:sz w:val="24"/>
          <w:szCs w:val="24"/>
          <w:lang w:eastAsia="en-GB"/>
        </w:rPr>
        <w:t xml:space="preserve"> only</w:t>
      </w:r>
      <w:r w:rsidRPr="004F1B46">
        <w:rPr>
          <w:rFonts w:ascii="Arial" w:hAnsi="Arial" w:cs="Arial"/>
          <w:spacing w:val="-3"/>
          <w:sz w:val="24"/>
          <w:szCs w:val="24"/>
          <w:lang w:eastAsia="en-GB"/>
        </w:rPr>
        <w:t xml:space="preserve"> to be </w:t>
      </w:r>
      <w:r>
        <w:rPr>
          <w:rFonts w:ascii="Arial" w:hAnsi="Arial" w:cs="Arial"/>
          <w:spacing w:val="-3"/>
          <w:sz w:val="24"/>
          <w:szCs w:val="24"/>
          <w:lang w:eastAsia="en-GB"/>
        </w:rPr>
        <w:t>‘</w:t>
      </w:r>
      <w:r w:rsidRPr="004F1B46">
        <w:rPr>
          <w:rFonts w:ascii="Arial" w:hAnsi="Arial" w:cs="Arial"/>
          <w:spacing w:val="-3"/>
          <w:sz w:val="24"/>
          <w:szCs w:val="24"/>
          <w:lang w:eastAsia="en-GB"/>
        </w:rPr>
        <w:t>taken utmost account of</w:t>
      </w:r>
      <w:r>
        <w:rPr>
          <w:rFonts w:ascii="Arial" w:hAnsi="Arial" w:cs="Arial"/>
          <w:spacing w:val="-3"/>
          <w:sz w:val="24"/>
          <w:szCs w:val="24"/>
          <w:lang w:eastAsia="en-GB"/>
        </w:rPr>
        <w:t>’</w:t>
      </w:r>
      <w:r w:rsidR="00C308D1">
        <w:rPr>
          <w:rFonts w:ascii="Arial" w:hAnsi="Arial" w:cs="Arial"/>
          <w:spacing w:val="-3"/>
          <w:sz w:val="24"/>
          <w:szCs w:val="24"/>
          <w:lang w:eastAsia="en-GB"/>
        </w:rPr>
        <w:t xml:space="preserve">.  </w:t>
      </w:r>
      <w:r w:rsidRPr="004F1B46">
        <w:rPr>
          <w:rFonts w:ascii="Arial" w:hAnsi="Arial" w:cs="Arial"/>
          <w:spacing w:val="-3"/>
          <w:sz w:val="24"/>
          <w:szCs w:val="24"/>
          <w:lang w:eastAsia="en-GB"/>
        </w:rPr>
        <w:t xml:space="preserve"> </w:t>
      </w:r>
      <w:r w:rsidR="00C308D1">
        <w:rPr>
          <w:rFonts w:ascii="Arial" w:hAnsi="Arial" w:cs="Arial"/>
          <w:spacing w:val="-3"/>
          <w:sz w:val="24"/>
          <w:szCs w:val="24"/>
          <w:lang w:eastAsia="en-GB"/>
        </w:rPr>
        <w:t xml:space="preserve">As </w:t>
      </w:r>
      <w:r w:rsidRPr="004F1B46">
        <w:rPr>
          <w:rFonts w:ascii="Arial" w:hAnsi="Arial" w:cs="Arial"/>
          <w:spacing w:val="-3"/>
          <w:sz w:val="24"/>
          <w:szCs w:val="24"/>
          <w:lang w:eastAsia="en-GB"/>
        </w:rPr>
        <w:t xml:space="preserve">many of the </w:t>
      </w:r>
      <w:r w:rsidR="00C308D1">
        <w:rPr>
          <w:rFonts w:ascii="Arial" w:hAnsi="Arial" w:cs="Arial"/>
          <w:spacing w:val="-3"/>
          <w:sz w:val="24"/>
          <w:szCs w:val="24"/>
          <w:lang w:eastAsia="en-GB"/>
        </w:rPr>
        <w:t>specific recommendations</w:t>
      </w:r>
      <w:r w:rsidR="00C308D1" w:rsidRPr="004F1B46">
        <w:rPr>
          <w:rFonts w:ascii="Arial" w:hAnsi="Arial" w:cs="Arial"/>
          <w:spacing w:val="-3"/>
          <w:sz w:val="24"/>
          <w:szCs w:val="24"/>
          <w:lang w:eastAsia="en-GB"/>
        </w:rPr>
        <w:t xml:space="preserve"> </w:t>
      </w:r>
      <w:r w:rsidRPr="004F1B46">
        <w:rPr>
          <w:rFonts w:ascii="Arial" w:hAnsi="Arial" w:cs="Arial"/>
          <w:spacing w:val="-3"/>
          <w:sz w:val="24"/>
          <w:szCs w:val="24"/>
          <w:lang w:eastAsia="en-GB"/>
        </w:rPr>
        <w:t xml:space="preserve">are already </w:t>
      </w:r>
      <w:r w:rsidR="00C308D1">
        <w:rPr>
          <w:rFonts w:ascii="Arial" w:hAnsi="Arial" w:cs="Arial"/>
          <w:spacing w:val="-3"/>
          <w:sz w:val="24"/>
          <w:szCs w:val="24"/>
          <w:lang w:eastAsia="en-GB"/>
        </w:rPr>
        <w:t>consistent with the way that Ofcom approaches issues of costing and non-dis</w:t>
      </w:r>
      <w:r w:rsidR="00EA0FBE">
        <w:rPr>
          <w:rFonts w:ascii="Arial" w:hAnsi="Arial" w:cs="Arial"/>
          <w:spacing w:val="-3"/>
          <w:sz w:val="24"/>
          <w:szCs w:val="24"/>
          <w:lang w:eastAsia="en-GB"/>
        </w:rPr>
        <w:t xml:space="preserve">crimination </w:t>
      </w:r>
      <w:r w:rsidR="00C308D1">
        <w:rPr>
          <w:rFonts w:ascii="Arial" w:hAnsi="Arial" w:cs="Arial"/>
          <w:spacing w:val="-3"/>
          <w:sz w:val="24"/>
          <w:szCs w:val="24"/>
          <w:lang w:eastAsia="en-GB"/>
        </w:rPr>
        <w:t xml:space="preserve">in the UK, we do not think that this Recommendation would lead to the imposition of costs on business in the UK.  </w:t>
      </w:r>
    </w:p>
    <w:p w14:paraId="693B17B0" w14:textId="328EA0BB" w:rsidR="008A50AC" w:rsidRPr="00877B52" w:rsidRDefault="008A50AC" w:rsidP="0066709A">
      <w:pPr>
        <w:tabs>
          <w:tab w:val="left" w:pos="0"/>
          <w:tab w:val="left" w:pos="142"/>
        </w:tabs>
        <w:suppressAutoHyphens/>
        <w:spacing w:after="240" w:line="240" w:lineRule="auto"/>
        <w:rPr>
          <w:rFonts w:ascii="Arial" w:hAnsi="Arial" w:cs="Arial"/>
          <w:b/>
          <w:bCs/>
          <w:spacing w:val="-3"/>
          <w:sz w:val="24"/>
          <w:szCs w:val="24"/>
          <w:lang w:eastAsia="en-GB"/>
        </w:rPr>
      </w:pPr>
      <w:r w:rsidRPr="00877B52">
        <w:rPr>
          <w:rFonts w:ascii="Arial" w:hAnsi="Arial" w:cs="Arial"/>
          <w:b/>
          <w:bCs/>
          <w:spacing w:val="-3"/>
          <w:sz w:val="24"/>
          <w:szCs w:val="24"/>
          <w:lang w:eastAsia="en-GB"/>
        </w:rPr>
        <w:t>FINANCIAL IMPLICATIONS</w:t>
      </w:r>
    </w:p>
    <w:p w14:paraId="28C80F65" w14:textId="77777777" w:rsidR="00EA0FBE" w:rsidRPr="00EA0FBE" w:rsidRDefault="003F3E3F" w:rsidP="0066709A">
      <w:pPr>
        <w:pStyle w:val="ListParagraph"/>
        <w:numPr>
          <w:ilvl w:val="0"/>
          <w:numId w:val="25"/>
        </w:numPr>
        <w:suppressAutoHyphens/>
        <w:spacing w:after="240" w:line="240" w:lineRule="auto"/>
        <w:ind w:left="567" w:hanging="567"/>
        <w:contextualSpacing w:val="0"/>
        <w:rPr>
          <w:rFonts w:ascii="Arial" w:hAnsi="Arial" w:cs="Arial"/>
          <w:b/>
          <w:bCs/>
          <w:spacing w:val="-3"/>
          <w:sz w:val="24"/>
          <w:szCs w:val="24"/>
          <w:lang w:eastAsia="en-GB"/>
        </w:rPr>
      </w:pPr>
      <w:r w:rsidRPr="00F27B9C">
        <w:rPr>
          <w:rFonts w:ascii="Arial" w:hAnsi="Arial" w:cs="Arial"/>
          <w:iCs/>
          <w:spacing w:val="-3"/>
          <w:sz w:val="24"/>
          <w:szCs w:val="24"/>
          <w:lang w:eastAsia="en-GB"/>
        </w:rPr>
        <w:t>As many</w:t>
      </w:r>
      <w:r w:rsidRPr="00F27B9C">
        <w:rPr>
          <w:rFonts w:ascii="Arial" w:hAnsi="Arial" w:cs="Arial"/>
          <w:spacing w:val="-3"/>
          <w:sz w:val="24"/>
          <w:szCs w:val="24"/>
          <w:lang w:eastAsia="en-GB"/>
        </w:rPr>
        <w:t xml:space="preserve"> of the proposals are already </w:t>
      </w:r>
      <w:r w:rsidR="00F27B9C" w:rsidRPr="00F27B9C">
        <w:rPr>
          <w:rFonts w:ascii="Arial" w:hAnsi="Arial" w:cs="Arial"/>
          <w:spacing w:val="-3"/>
          <w:sz w:val="24"/>
          <w:szCs w:val="24"/>
          <w:lang w:eastAsia="en-GB"/>
        </w:rPr>
        <w:t>consistent with the approach of the UK NRA Ofcom</w:t>
      </w:r>
      <w:r w:rsidRPr="00F27B9C">
        <w:rPr>
          <w:rFonts w:ascii="Arial" w:hAnsi="Arial" w:cs="Arial"/>
          <w:spacing w:val="-3"/>
          <w:sz w:val="24"/>
          <w:szCs w:val="24"/>
          <w:lang w:eastAsia="en-GB"/>
        </w:rPr>
        <w:t xml:space="preserve">, there is not expected to be any financial impact on the UK government. </w:t>
      </w:r>
    </w:p>
    <w:p w14:paraId="693B17B4" w14:textId="1E036784" w:rsidR="008A50AC" w:rsidRPr="002F4934" w:rsidRDefault="003F3E3F" w:rsidP="0066709A">
      <w:pPr>
        <w:tabs>
          <w:tab w:val="left" w:pos="0"/>
          <w:tab w:val="left" w:pos="142"/>
        </w:tabs>
        <w:suppressAutoHyphens/>
        <w:spacing w:after="240" w:line="240" w:lineRule="auto"/>
        <w:rPr>
          <w:rFonts w:ascii="Arial" w:hAnsi="Arial" w:cs="Arial"/>
          <w:b/>
          <w:bCs/>
          <w:spacing w:val="-3"/>
          <w:sz w:val="24"/>
          <w:szCs w:val="24"/>
          <w:lang w:eastAsia="en-GB"/>
        </w:rPr>
      </w:pPr>
      <w:r w:rsidRPr="002F4934">
        <w:rPr>
          <w:rFonts w:ascii="Arial" w:hAnsi="Arial" w:cs="Arial"/>
          <w:spacing w:val="-3"/>
          <w:sz w:val="24"/>
          <w:szCs w:val="24"/>
          <w:lang w:eastAsia="en-GB"/>
        </w:rPr>
        <w:t xml:space="preserve"> </w:t>
      </w:r>
      <w:r w:rsidR="008A50AC" w:rsidRPr="002F4934">
        <w:rPr>
          <w:rFonts w:ascii="Arial" w:hAnsi="Arial" w:cs="Arial"/>
          <w:b/>
          <w:bCs/>
          <w:spacing w:val="-3"/>
          <w:sz w:val="24"/>
          <w:szCs w:val="24"/>
          <w:lang w:eastAsia="en-GB"/>
        </w:rPr>
        <w:t>TIMETABLE</w:t>
      </w:r>
    </w:p>
    <w:p w14:paraId="645B69CB" w14:textId="77777777" w:rsidR="002F4934" w:rsidRPr="002F4934" w:rsidRDefault="002F4934" w:rsidP="0066709A">
      <w:pPr>
        <w:pStyle w:val="ListParagraph"/>
        <w:numPr>
          <w:ilvl w:val="0"/>
          <w:numId w:val="34"/>
        </w:numPr>
        <w:suppressAutoHyphens/>
        <w:spacing w:after="240" w:line="240" w:lineRule="auto"/>
        <w:contextualSpacing w:val="0"/>
        <w:rPr>
          <w:rFonts w:ascii="Arial" w:hAnsi="Arial" w:cs="Arial"/>
          <w:b/>
          <w:bCs/>
          <w:vanish/>
          <w:spacing w:val="-3"/>
          <w:sz w:val="24"/>
          <w:szCs w:val="24"/>
          <w:lang w:eastAsia="en-GB"/>
        </w:rPr>
      </w:pPr>
    </w:p>
    <w:p w14:paraId="07D3921B" w14:textId="77777777" w:rsidR="002F4934" w:rsidRPr="002F4934" w:rsidRDefault="002F4934" w:rsidP="0066709A">
      <w:pPr>
        <w:pStyle w:val="ListParagraph"/>
        <w:numPr>
          <w:ilvl w:val="0"/>
          <w:numId w:val="34"/>
        </w:numPr>
        <w:suppressAutoHyphens/>
        <w:spacing w:after="240" w:line="240" w:lineRule="auto"/>
        <w:contextualSpacing w:val="0"/>
        <w:rPr>
          <w:rFonts w:ascii="Arial" w:hAnsi="Arial" w:cs="Arial"/>
          <w:b/>
          <w:bCs/>
          <w:vanish/>
          <w:spacing w:val="-3"/>
          <w:sz w:val="24"/>
          <w:szCs w:val="24"/>
          <w:lang w:eastAsia="en-GB"/>
        </w:rPr>
      </w:pPr>
    </w:p>
    <w:p w14:paraId="30947C88" w14:textId="77777777" w:rsidR="002F4934" w:rsidRPr="002F4934" w:rsidRDefault="002F4934" w:rsidP="0066709A">
      <w:pPr>
        <w:pStyle w:val="ListParagraph"/>
        <w:numPr>
          <w:ilvl w:val="0"/>
          <w:numId w:val="34"/>
        </w:numPr>
        <w:suppressAutoHyphens/>
        <w:spacing w:after="240" w:line="240" w:lineRule="auto"/>
        <w:contextualSpacing w:val="0"/>
        <w:rPr>
          <w:rFonts w:ascii="Arial" w:hAnsi="Arial" w:cs="Arial"/>
          <w:b/>
          <w:bCs/>
          <w:vanish/>
          <w:spacing w:val="-3"/>
          <w:sz w:val="24"/>
          <w:szCs w:val="24"/>
          <w:lang w:eastAsia="en-GB"/>
        </w:rPr>
      </w:pPr>
    </w:p>
    <w:p w14:paraId="2B658092" w14:textId="77777777" w:rsidR="002F4934" w:rsidRPr="002F4934" w:rsidRDefault="002F4934" w:rsidP="0066709A">
      <w:pPr>
        <w:pStyle w:val="ListParagraph"/>
        <w:numPr>
          <w:ilvl w:val="0"/>
          <w:numId w:val="34"/>
        </w:numPr>
        <w:suppressAutoHyphens/>
        <w:spacing w:after="240" w:line="240" w:lineRule="auto"/>
        <w:contextualSpacing w:val="0"/>
        <w:rPr>
          <w:rFonts w:ascii="Arial" w:hAnsi="Arial" w:cs="Arial"/>
          <w:b/>
          <w:bCs/>
          <w:vanish/>
          <w:spacing w:val="-3"/>
          <w:sz w:val="24"/>
          <w:szCs w:val="24"/>
          <w:lang w:eastAsia="en-GB"/>
        </w:rPr>
      </w:pPr>
    </w:p>
    <w:p w14:paraId="1F54CA07" w14:textId="77777777" w:rsidR="002F4934" w:rsidRPr="002F4934" w:rsidRDefault="002F4934" w:rsidP="0066709A">
      <w:pPr>
        <w:pStyle w:val="ListParagraph"/>
        <w:numPr>
          <w:ilvl w:val="0"/>
          <w:numId w:val="34"/>
        </w:numPr>
        <w:suppressAutoHyphens/>
        <w:spacing w:after="240" w:line="240" w:lineRule="auto"/>
        <w:contextualSpacing w:val="0"/>
        <w:rPr>
          <w:rFonts w:ascii="Arial" w:hAnsi="Arial" w:cs="Arial"/>
          <w:b/>
          <w:bCs/>
          <w:vanish/>
          <w:spacing w:val="-3"/>
          <w:sz w:val="24"/>
          <w:szCs w:val="24"/>
          <w:lang w:eastAsia="en-GB"/>
        </w:rPr>
      </w:pPr>
    </w:p>
    <w:p w14:paraId="62FEA2F3" w14:textId="77777777" w:rsidR="002F4934" w:rsidRPr="002F4934" w:rsidRDefault="002F4934" w:rsidP="0066709A">
      <w:pPr>
        <w:pStyle w:val="ListParagraph"/>
        <w:numPr>
          <w:ilvl w:val="0"/>
          <w:numId w:val="34"/>
        </w:numPr>
        <w:suppressAutoHyphens/>
        <w:spacing w:after="240" w:line="240" w:lineRule="auto"/>
        <w:contextualSpacing w:val="0"/>
        <w:rPr>
          <w:rFonts w:ascii="Arial" w:hAnsi="Arial" w:cs="Arial"/>
          <w:b/>
          <w:bCs/>
          <w:vanish/>
          <w:spacing w:val="-3"/>
          <w:sz w:val="24"/>
          <w:szCs w:val="24"/>
          <w:lang w:eastAsia="en-GB"/>
        </w:rPr>
      </w:pPr>
    </w:p>
    <w:p w14:paraId="66C07B14" w14:textId="77777777" w:rsidR="002F4934" w:rsidRPr="002F4934" w:rsidRDefault="002F4934" w:rsidP="0066709A">
      <w:pPr>
        <w:pStyle w:val="ListParagraph"/>
        <w:numPr>
          <w:ilvl w:val="0"/>
          <w:numId w:val="34"/>
        </w:numPr>
        <w:suppressAutoHyphens/>
        <w:spacing w:after="240" w:line="240" w:lineRule="auto"/>
        <w:contextualSpacing w:val="0"/>
        <w:rPr>
          <w:rFonts w:ascii="Arial" w:hAnsi="Arial" w:cs="Arial"/>
          <w:b/>
          <w:bCs/>
          <w:vanish/>
          <w:spacing w:val="-3"/>
          <w:sz w:val="24"/>
          <w:szCs w:val="24"/>
          <w:lang w:eastAsia="en-GB"/>
        </w:rPr>
      </w:pPr>
    </w:p>
    <w:p w14:paraId="5A455F75" w14:textId="77777777" w:rsidR="002F4934" w:rsidRPr="002F4934" w:rsidRDefault="002F4934" w:rsidP="0066709A">
      <w:pPr>
        <w:pStyle w:val="ListParagraph"/>
        <w:numPr>
          <w:ilvl w:val="0"/>
          <w:numId w:val="34"/>
        </w:numPr>
        <w:suppressAutoHyphens/>
        <w:spacing w:after="240" w:line="240" w:lineRule="auto"/>
        <w:contextualSpacing w:val="0"/>
        <w:rPr>
          <w:rFonts w:ascii="Arial" w:hAnsi="Arial" w:cs="Arial"/>
          <w:b/>
          <w:bCs/>
          <w:vanish/>
          <w:spacing w:val="-3"/>
          <w:sz w:val="24"/>
          <w:szCs w:val="24"/>
          <w:lang w:eastAsia="en-GB"/>
        </w:rPr>
      </w:pPr>
    </w:p>
    <w:p w14:paraId="72A02334" w14:textId="77777777" w:rsidR="002F4934" w:rsidRPr="002F4934" w:rsidRDefault="002F4934" w:rsidP="0066709A">
      <w:pPr>
        <w:pStyle w:val="ListParagraph"/>
        <w:numPr>
          <w:ilvl w:val="0"/>
          <w:numId w:val="34"/>
        </w:numPr>
        <w:suppressAutoHyphens/>
        <w:spacing w:after="240" w:line="240" w:lineRule="auto"/>
        <w:contextualSpacing w:val="0"/>
        <w:rPr>
          <w:rFonts w:ascii="Arial" w:hAnsi="Arial" w:cs="Arial"/>
          <w:b/>
          <w:bCs/>
          <w:vanish/>
          <w:spacing w:val="-3"/>
          <w:sz w:val="24"/>
          <w:szCs w:val="24"/>
          <w:lang w:eastAsia="en-GB"/>
        </w:rPr>
      </w:pPr>
    </w:p>
    <w:p w14:paraId="5B13E9C4" w14:textId="77777777" w:rsidR="002F4934" w:rsidRPr="002F4934" w:rsidRDefault="002F4934" w:rsidP="0066709A">
      <w:pPr>
        <w:pStyle w:val="ListParagraph"/>
        <w:numPr>
          <w:ilvl w:val="0"/>
          <w:numId w:val="34"/>
        </w:numPr>
        <w:suppressAutoHyphens/>
        <w:spacing w:after="240" w:line="240" w:lineRule="auto"/>
        <w:contextualSpacing w:val="0"/>
        <w:rPr>
          <w:rFonts w:ascii="Arial" w:hAnsi="Arial" w:cs="Arial"/>
          <w:b/>
          <w:bCs/>
          <w:vanish/>
          <w:spacing w:val="-3"/>
          <w:sz w:val="24"/>
          <w:szCs w:val="24"/>
          <w:lang w:eastAsia="en-GB"/>
        </w:rPr>
      </w:pPr>
    </w:p>
    <w:p w14:paraId="4AB2FB78" w14:textId="77777777" w:rsidR="002F4934" w:rsidRPr="002F4934" w:rsidRDefault="002F4934" w:rsidP="0066709A">
      <w:pPr>
        <w:pStyle w:val="ListParagraph"/>
        <w:numPr>
          <w:ilvl w:val="0"/>
          <w:numId w:val="34"/>
        </w:numPr>
        <w:suppressAutoHyphens/>
        <w:spacing w:after="240" w:line="240" w:lineRule="auto"/>
        <w:contextualSpacing w:val="0"/>
        <w:rPr>
          <w:rFonts w:ascii="Arial" w:hAnsi="Arial" w:cs="Arial"/>
          <w:b/>
          <w:bCs/>
          <w:vanish/>
          <w:spacing w:val="-3"/>
          <w:sz w:val="24"/>
          <w:szCs w:val="24"/>
          <w:lang w:eastAsia="en-GB"/>
        </w:rPr>
      </w:pPr>
    </w:p>
    <w:p w14:paraId="18B37D44" w14:textId="77777777" w:rsidR="002F4934" w:rsidRPr="002F4934" w:rsidRDefault="002F4934" w:rsidP="0066709A">
      <w:pPr>
        <w:pStyle w:val="ListParagraph"/>
        <w:numPr>
          <w:ilvl w:val="0"/>
          <w:numId w:val="34"/>
        </w:numPr>
        <w:suppressAutoHyphens/>
        <w:spacing w:after="240" w:line="240" w:lineRule="auto"/>
        <w:contextualSpacing w:val="0"/>
        <w:rPr>
          <w:rFonts w:ascii="Arial" w:hAnsi="Arial" w:cs="Arial"/>
          <w:b/>
          <w:bCs/>
          <w:vanish/>
          <w:spacing w:val="-3"/>
          <w:sz w:val="24"/>
          <w:szCs w:val="24"/>
          <w:lang w:eastAsia="en-GB"/>
        </w:rPr>
      </w:pPr>
    </w:p>
    <w:p w14:paraId="03DD0A9A" w14:textId="77777777" w:rsidR="002F4934" w:rsidRPr="002F4934" w:rsidRDefault="002F4934" w:rsidP="0066709A">
      <w:pPr>
        <w:pStyle w:val="ListParagraph"/>
        <w:numPr>
          <w:ilvl w:val="0"/>
          <w:numId w:val="34"/>
        </w:numPr>
        <w:suppressAutoHyphens/>
        <w:spacing w:after="240" w:line="240" w:lineRule="auto"/>
        <w:contextualSpacing w:val="0"/>
        <w:rPr>
          <w:rFonts w:ascii="Arial" w:hAnsi="Arial" w:cs="Arial"/>
          <w:b/>
          <w:bCs/>
          <w:vanish/>
          <w:spacing w:val="-3"/>
          <w:sz w:val="24"/>
          <w:szCs w:val="24"/>
          <w:lang w:eastAsia="en-GB"/>
        </w:rPr>
      </w:pPr>
    </w:p>
    <w:p w14:paraId="75A944FF" w14:textId="77777777" w:rsidR="002F4934" w:rsidRPr="002F4934" w:rsidRDefault="002F4934" w:rsidP="0066709A">
      <w:pPr>
        <w:pStyle w:val="ListParagraph"/>
        <w:numPr>
          <w:ilvl w:val="0"/>
          <w:numId w:val="34"/>
        </w:numPr>
        <w:suppressAutoHyphens/>
        <w:spacing w:after="240" w:line="240" w:lineRule="auto"/>
        <w:contextualSpacing w:val="0"/>
        <w:rPr>
          <w:rFonts w:ascii="Arial" w:hAnsi="Arial" w:cs="Arial"/>
          <w:b/>
          <w:bCs/>
          <w:vanish/>
          <w:spacing w:val="-3"/>
          <w:sz w:val="24"/>
          <w:szCs w:val="24"/>
          <w:lang w:eastAsia="en-GB"/>
        </w:rPr>
      </w:pPr>
    </w:p>
    <w:p w14:paraId="2D41DC21" w14:textId="77777777" w:rsidR="002F4934" w:rsidRPr="002F4934" w:rsidRDefault="002F4934" w:rsidP="0066709A">
      <w:pPr>
        <w:pStyle w:val="ListParagraph"/>
        <w:numPr>
          <w:ilvl w:val="0"/>
          <w:numId w:val="34"/>
        </w:numPr>
        <w:suppressAutoHyphens/>
        <w:spacing w:after="240" w:line="240" w:lineRule="auto"/>
        <w:contextualSpacing w:val="0"/>
        <w:rPr>
          <w:rFonts w:ascii="Arial" w:hAnsi="Arial" w:cs="Arial"/>
          <w:b/>
          <w:bCs/>
          <w:vanish/>
          <w:spacing w:val="-3"/>
          <w:sz w:val="24"/>
          <w:szCs w:val="24"/>
          <w:lang w:eastAsia="en-GB"/>
        </w:rPr>
      </w:pPr>
    </w:p>
    <w:p w14:paraId="60DB9234" w14:textId="77777777" w:rsidR="002F4934" w:rsidRPr="002F4934" w:rsidRDefault="002F4934" w:rsidP="0066709A">
      <w:pPr>
        <w:pStyle w:val="ListParagraph"/>
        <w:numPr>
          <w:ilvl w:val="0"/>
          <w:numId w:val="34"/>
        </w:numPr>
        <w:suppressAutoHyphens/>
        <w:spacing w:after="240" w:line="240" w:lineRule="auto"/>
        <w:contextualSpacing w:val="0"/>
        <w:rPr>
          <w:rFonts w:ascii="Arial" w:hAnsi="Arial" w:cs="Arial"/>
          <w:b/>
          <w:bCs/>
          <w:vanish/>
          <w:spacing w:val="-3"/>
          <w:sz w:val="24"/>
          <w:szCs w:val="24"/>
          <w:lang w:eastAsia="en-GB"/>
        </w:rPr>
      </w:pPr>
    </w:p>
    <w:p w14:paraId="199731EF" w14:textId="77777777" w:rsidR="002F4934" w:rsidRPr="002F4934" w:rsidRDefault="002F4934" w:rsidP="0066709A">
      <w:pPr>
        <w:pStyle w:val="ListParagraph"/>
        <w:numPr>
          <w:ilvl w:val="0"/>
          <w:numId w:val="34"/>
        </w:numPr>
        <w:suppressAutoHyphens/>
        <w:spacing w:after="240" w:line="240" w:lineRule="auto"/>
        <w:contextualSpacing w:val="0"/>
        <w:rPr>
          <w:rFonts w:ascii="Arial" w:hAnsi="Arial" w:cs="Arial"/>
          <w:b/>
          <w:bCs/>
          <w:vanish/>
          <w:spacing w:val="-3"/>
          <w:sz w:val="24"/>
          <w:szCs w:val="24"/>
          <w:lang w:eastAsia="en-GB"/>
        </w:rPr>
      </w:pPr>
    </w:p>
    <w:p w14:paraId="7532C8A4" w14:textId="77777777" w:rsidR="002F4934" w:rsidRPr="002F4934" w:rsidRDefault="002F4934" w:rsidP="0066709A">
      <w:pPr>
        <w:pStyle w:val="ListParagraph"/>
        <w:numPr>
          <w:ilvl w:val="0"/>
          <w:numId w:val="34"/>
        </w:numPr>
        <w:suppressAutoHyphens/>
        <w:spacing w:after="240" w:line="240" w:lineRule="auto"/>
        <w:contextualSpacing w:val="0"/>
        <w:rPr>
          <w:rFonts w:ascii="Arial" w:hAnsi="Arial" w:cs="Arial"/>
          <w:b/>
          <w:bCs/>
          <w:vanish/>
          <w:spacing w:val="-3"/>
          <w:sz w:val="24"/>
          <w:szCs w:val="24"/>
          <w:lang w:eastAsia="en-GB"/>
        </w:rPr>
      </w:pPr>
    </w:p>
    <w:p w14:paraId="4618FA2E" w14:textId="77777777" w:rsidR="002F4934" w:rsidRPr="002F4934" w:rsidRDefault="002F4934" w:rsidP="0066709A">
      <w:pPr>
        <w:pStyle w:val="ListParagraph"/>
        <w:numPr>
          <w:ilvl w:val="0"/>
          <w:numId w:val="34"/>
        </w:numPr>
        <w:suppressAutoHyphens/>
        <w:spacing w:after="240" w:line="240" w:lineRule="auto"/>
        <w:contextualSpacing w:val="0"/>
        <w:rPr>
          <w:rFonts w:ascii="Arial" w:hAnsi="Arial" w:cs="Arial"/>
          <w:b/>
          <w:bCs/>
          <w:vanish/>
          <w:spacing w:val="-3"/>
          <w:sz w:val="24"/>
          <w:szCs w:val="24"/>
          <w:lang w:eastAsia="en-GB"/>
        </w:rPr>
      </w:pPr>
    </w:p>
    <w:p w14:paraId="5E9F2F2E" w14:textId="77777777" w:rsidR="002F4934" w:rsidRPr="002F4934" w:rsidRDefault="002F4934" w:rsidP="0066709A">
      <w:pPr>
        <w:pStyle w:val="ListParagraph"/>
        <w:numPr>
          <w:ilvl w:val="0"/>
          <w:numId w:val="34"/>
        </w:numPr>
        <w:suppressAutoHyphens/>
        <w:spacing w:after="240" w:line="240" w:lineRule="auto"/>
        <w:contextualSpacing w:val="0"/>
        <w:rPr>
          <w:rFonts w:ascii="Arial" w:hAnsi="Arial" w:cs="Arial"/>
          <w:b/>
          <w:bCs/>
          <w:vanish/>
          <w:spacing w:val="-3"/>
          <w:sz w:val="24"/>
          <w:szCs w:val="24"/>
          <w:lang w:eastAsia="en-GB"/>
        </w:rPr>
      </w:pPr>
    </w:p>
    <w:p w14:paraId="424D7317" w14:textId="77777777" w:rsidR="002F4934" w:rsidRPr="002F4934" w:rsidRDefault="002F4934" w:rsidP="0066709A">
      <w:pPr>
        <w:pStyle w:val="ListParagraph"/>
        <w:numPr>
          <w:ilvl w:val="0"/>
          <w:numId w:val="34"/>
        </w:numPr>
        <w:suppressAutoHyphens/>
        <w:spacing w:after="240" w:line="240" w:lineRule="auto"/>
        <w:contextualSpacing w:val="0"/>
        <w:rPr>
          <w:rFonts w:ascii="Arial" w:hAnsi="Arial" w:cs="Arial"/>
          <w:b/>
          <w:bCs/>
          <w:vanish/>
          <w:spacing w:val="-3"/>
          <w:sz w:val="24"/>
          <w:szCs w:val="24"/>
          <w:lang w:eastAsia="en-GB"/>
        </w:rPr>
      </w:pPr>
    </w:p>
    <w:p w14:paraId="67067F6D" w14:textId="77777777" w:rsidR="002F4934" w:rsidRPr="002F4934" w:rsidRDefault="002F4934" w:rsidP="0066709A">
      <w:pPr>
        <w:pStyle w:val="ListParagraph"/>
        <w:numPr>
          <w:ilvl w:val="0"/>
          <w:numId w:val="34"/>
        </w:numPr>
        <w:suppressAutoHyphens/>
        <w:spacing w:after="240" w:line="240" w:lineRule="auto"/>
        <w:contextualSpacing w:val="0"/>
        <w:rPr>
          <w:rFonts w:ascii="Arial" w:hAnsi="Arial" w:cs="Arial"/>
          <w:b/>
          <w:bCs/>
          <w:vanish/>
          <w:spacing w:val="-3"/>
          <w:sz w:val="24"/>
          <w:szCs w:val="24"/>
          <w:lang w:eastAsia="en-GB"/>
        </w:rPr>
      </w:pPr>
    </w:p>
    <w:p w14:paraId="3DB06047" w14:textId="77777777" w:rsidR="002F4934" w:rsidRPr="002F4934" w:rsidRDefault="002F4934" w:rsidP="0066709A">
      <w:pPr>
        <w:pStyle w:val="ListParagraph"/>
        <w:numPr>
          <w:ilvl w:val="0"/>
          <w:numId w:val="34"/>
        </w:numPr>
        <w:suppressAutoHyphens/>
        <w:spacing w:after="240" w:line="240" w:lineRule="auto"/>
        <w:contextualSpacing w:val="0"/>
        <w:rPr>
          <w:rFonts w:ascii="Arial" w:hAnsi="Arial" w:cs="Arial"/>
          <w:b/>
          <w:bCs/>
          <w:vanish/>
          <w:spacing w:val="-3"/>
          <w:sz w:val="24"/>
          <w:szCs w:val="24"/>
          <w:lang w:eastAsia="en-GB"/>
        </w:rPr>
      </w:pPr>
    </w:p>
    <w:p w14:paraId="69AF97A1" w14:textId="7542BC9D" w:rsidR="00F27B9C" w:rsidRPr="00107CB7" w:rsidRDefault="00107CB7" w:rsidP="0066709A">
      <w:pPr>
        <w:pStyle w:val="ListParagraph"/>
        <w:numPr>
          <w:ilvl w:val="0"/>
          <w:numId w:val="34"/>
        </w:numPr>
        <w:suppressAutoHyphens/>
        <w:spacing w:after="240" w:line="240" w:lineRule="auto"/>
        <w:ind w:left="567" w:hanging="567"/>
        <w:contextualSpacing w:val="0"/>
        <w:rPr>
          <w:rFonts w:ascii="Arial" w:hAnsi="Arial" w:cs="Arial"/>
          <w:bCs/>
          <w:spacing w:val="-3"/>
          <w:sz w:val="24"/>
          <w:szCs w:val="24"/>
          <w:lang w:eastAsia="en-GB"/>
        </w:rPr>
      </w:pPr>
      <w:r w:rsidRPr="00107CB7">
        <w:rPr>
          <w:rFonts w:ascii="Arial" w:hAnsi="Arial" w:cs="Arial"/>
          <w:bCs/>
          <w:spacing w:val="-3"/>
          <w:sz w:val="24"/>
          <w:szCs w:val="24"/>
          <w:lang w:eastAsia="en-GB"/>
        </w:rPr>
        <w:t xml:space="preserve">The </w:t>
      </w:r>
      <w:r w:rsidR="0034455C" w:rsidRPr="0034455C">
        <w:rPr>
          <w:rFonts w:ascii="Arial" w:hAnsi="Arial" w:cs="Arial"/>
          <w:bCs/>
          <w:spacing w:val="-3"/>
          <w:sz w:val="24"/>
          <w:szCs w:val="24"/>
          <w:lang w:eastAsia="en-GB"/>
        </w:rPr>
        <w:t>Recommendation</w:t>
      </w:r>
      <w:r w:rsidRPr="00107CB7">
        <w:rPr>
          <w:rFonts w:ascii="Arial" w:hAnsi="Arial" w:cs="Arial"/>
          <w:bCs/>
          <w:spacing w:val="-3"/>
          <w:sz w:val="24"/>
          <w:szCs w:val="24"/>
          <w:lang w:eastAsia="en-GB"/>
        </w:rPr>
        <w:t xml:space="preserve"> was adopted at the July COCOM meeting.  </w:t>
      </w:r>
      <w:r w:rsidR="0034455C">
        <w:rPr>
          <w:rFonts w:ascii="Arial" w:hAnsi="Arial" w:cs="Arial"/>
          <w:bCs/>
          <w:spacing w:val="-3"/>
          <w:sz w:val="24"/>
          <w:szCs w:val="24"/>
          <w:lang w:eastAsia="en-GB"/>
        </w:rPr>
        <w:t>I</w:t>
      </w:r>
      <w:r w:rsidRPr="00107CB7">
        <w:rPr>
          <w:rFonts w:ascii="Arial" w:hAnsi="Arial" w:cs="Arial"/>
          <w:bCs/>
          <w:spacing w:val="-3"/>
          <w:sz w:val="24"/>
          <w:szCs w:val="24"/>
          <w:lang w:eastAsia="en-GB"/>
        </w:rPr>
        <w:t xml:space="preserve">t will </w:t>
      </w:r>
      <w:r w:rsidR="0034455C">
        <w:rPr>
          <w:rFonts w:ascii="Arial" w:hAnsi="Arial" w:cs="Arial"/>
          <w:bCs/>
          <w:spacing w:val="-3"/>
          <w:sz w:val="24"/>
          <w:szCs w:val="24"/>
          <w:lang w:eastAsia="en-GB"/>
        </w:rPr>
        <w:t xml:space="preserve">not </w:t>
      </w:r>
      <w:r w:rsidRPr="00107CB7">
        <w:rPr>
          <w:rFonts w:ascii="Arial" w:hAnsi="Arial" w:cs="Arial"/>
          <w:bCs/>
          <w:spacing w:val="-3"/>
          <w:sz w:val="24"/>
          <w:szCs w:val="24"/>
          <w:lang w:eastAsia="en-GB"/>
        </w:rPr>
        <w:t xml:space="preserve">be considered by the Council.  </w:t>
      </w:r>
    </w:p>
    <w:p w14:paraId="693B17BB" w14:textId="77777777" w:rsidR="008A50AC" w:rsidRPr="00877B52" w:rsidRDefault="008A50AC" w:rsidP="0085688C">
      <w:pPr>
        <w:tabs>
          <w:tab w:val="left" w:pos="0"/>
        </w:tabs>
        <w:suppressAutoHyphens/>
        <w:spacing w:after="0" w:line="240" w:lineRule="auto"/>
        <w:ind w:hanging="567"/>
        <w:rPr>
          <w:rFonts w:ascii="Arial" w:hAnsi="Arial" w:cs="Arial"/>
          <w:spacing w:val="-3"/>
          <w:sz w:val="24"/>
          <w:szCs w:val="24"/>
          <w:lang w:eastAsia="en-GB"/>
        </w:rPr>
      </w:pPr>
    </w:p>
    <w:p w14:paraId="693B17BE" w14:textId="77777777" w:rsidR="008A50AC" w:rsidRPr="003B4B99" w:rsidRDefault="008A50AC" w:rsidP="00877B52">
      <w:pPr>
        <w:tabs>
          <w:tab w:val="left" w:pos="0"/>
        </w:tabs>
        <w:suppressAutoHyphens/>
        <w:spacing w:after="0" w:line="240" w:lineRule="auto"/>
        <w:rPr>
          <w:rFonts w:ascii="Arial" w:hAnsi="Arial" w:cs="Arial"/>
          <w:iCs/>
          <w:spacing w:val="-3"/>
          <w:sz w:val="24"/>
          <w:szCs w:val="24"/>
          <w:lang w:eastAsia="en-GB"/>
        </w:rPr>
      </w:pPr>
    </w:p>
    <w:p w14:paraId="6F41C70A" w14:textId="77777777" w:rsidR="003B4B99" w:rsidRDefault="003B4B99" w:rsidP="00877B52">
      <w:pPr>
        <w:tabs>
          <w:tab w:val="left" w:pos="0"/>
        </w:tabs>
        <w:suppressAutoHyphens/>
        <w:spacing w:after="0" w:line="240" w:lineRule="auto"/>
        <w:rPr>
          <w:rFonts w:ascii="Arial" w:hAnsi="Arial" w:cs="Arial"/>
          <w:iCs/>
          <w:spacing w:val="-3"/>
          <w:sz w:val="24"/>
          <w:szCs w:val="24"/>
          <w:lang w:eastAsia="en-GB"/>
        </w:rPr>
      </w:pPr>
    </w:p>
    <w:p w14:paraId="21AC03A8" w14:textId="77777777" w:rsidR="003B4B99" w:rsidRDefault="003B4B99" w:rsidP="00877B52">
      <w:pPr>
        <w:tabs>
          <w:tab w:val="left" w:pos="0"/>
        </w:tabs>
        <w:suppressAutoHyphens/>
        <w:spacing w:after="0" w:line="240" w:lineRule="auto"/>
        <w:rPr>
          <w:rFonts w:ascii="Arial" w:hAnsi="Arial" w:cs="Arial"/>
          <w:iCs/>
          <w:spacing w:val="-3"/>
          <w:sz w:val="24"/>
          <w:szCs w:val="24"/>
          <w:lang w:eastAsia="en-GB"/>
        </w:rPr>
      </w:pPr>
    </w:p>
    <w:p w14:paraId="5F14FC73" w14:textId="77777777" w:rsidR="003B4B99" w:rsidRPr="003B4B99" w:rsidRDefault="003B4B99" w:rsidP="00877B52">
      <w:pPr>
        <w:tabs>
          <w:tab w:val="left" w:pos="0"/>
        </w:tabs>
        <w:suppressAutoHyphens/>
        <w:spacing w:after="0" w:line="240" w:lineRule="auto"/>
        <w:rPr>
          <w:rFonts w:ascii="Arial" w:hAnsi="Arial" w:cs="Arial"/>
          <w:iCs/>
          <w:spacing w:val="-3"/>
          <w:sz w:val="24"/>
          <w:szCs w:val="24"/>
          <w:lang w:eastAsia="en-GB"/>
        </w:rPr>
      </w:pPr>
    </w:p>
    <w:p w14:paraId="497DB721" w14:textId="77777777" w:rsidR="003B4B99" w:rsidRPr="003B4B99" w:rsidRDefault="003B4B99" w:rsidP="00877B52">
      <w:pPr>
        <w:tabs>
          <w:tab w:val="left" w:pos="0"/>
        </w:tabs>
        <w:suppressAutoHyphens/>
        <w:spacing w:after="0" w:line="240" w:lineRule="auto"/>
        <w:rPr>
          <w:rFonts w:ascii="Arial" w:hAnsi="Arial" w:cs="Arial"/>
          <w:iCs/>
          <w:spacing w:val="-3"/>
          <w:sz w:val="24"/>
          <w:szCs w:val="24"/>
          <w:lang w:eastAsia="en-GB"/>
        </w:rPr>
      </w:pPr>
    </w:p>
    <w:p w14:paraId="76E7476C" w14:textId="77777777" w:rsidR="003B4B99" w:rsidRPr="003B4B99" w:rsidRDefault="003B4B99" w:rsidP="00877B52">
      <w:pPr>
        <w:tabs>
          <w:tab w:val="left" w:pos="0"/>
        </w:tabs>
        <w:suppressAutoHyphens/>
        <w:spacing w:after="0" w:line="240" w:lineRule="auto"/>
        <w:rPr>
          <w:rFonts w:ascii="Arial" w:hAnsi="Arial" w:cs="Arial"/>
          <w:spacing w:val="-3"/>
          <w:sz w:val="24"/>
          <w:szCs w:val="24"/>
          <w:lang w:eastAsia="en-GB"/>
        </w:rPr>
      </w:pPr>
    </w:p>
    <w:p w14:paraId="693B17BF" w14:textId="77777777" w:rsidR="008A50AC" w:rsidRPr="003B4B99" w:rsidRDefault="008A50AC" w:rsidP="00101CB4">
      <w:pPr>
        <w:suppressAutoHyphens/>
        <w:spacing w:after="0" w:line="240" w:lineRule="auto"/>
        <w:jc w:val="center"/>
        <w:rPr>
          <w:rFonts w:ascii="Arial" w:hAnsi="Arial" w:cs="Arial"/>
          <w:b/>
          <w:sz w:val="24"/>
          <w:szCs w:val="24"/>
          <w:lang w:eastAsia="en-GB"/>
        </w:rPr>
      </w:pPr>
      <w:r w:rsidRPr="003B4B99">
        <w:rPr>
          <w:rFonts w:ascii="Arial" w:hAnsi="Arial" w:cs="Arial"/>
          <w:b/>
          <w:sz w:val="24"/>
          <w:szCs w:val="24"/>
          <w:lang w:eastAsia="en-GB"/>
        </w:rPr>
        <w:t>Ed Vaizey</w:t>
      </w:r>
    </w:p>
    <w:p w14:paraId="693B17C0" w14:textId="77777777" w:rsidR="008A50AC" w:rsidRPr="003B4B99" w:rsidRDefault="008A50AC" w:rsidP="00101CB4">
      <w:pPr>
        <w:suppressAutoHyphens/>
        <w:spacing w:after="0" w:line="240" w:lineRule="auto"/>
        <w:jc w:val="center"/>
        <w:rPr>
          <w:rFonts w:ascii="Arial" w:hAnsi="Arial" w:cs="Arial"/>
          <w:b/>
          <w:sz w:val="24"/>
          <w:szCs w:val="24"/>
          <w:lang w:eastAsia="en-GB"/>
        </w:rPr>
      </w:pPr>
    </w:p>
    <w:p w14:paraId="693B17C1" w14:textId="77777777" w:rsidR="008A50AC" w:rsidRPr="003B4B99" w:rsidRDefault="008A50AC" w:rsidP="00101CB4">
      <w:pPr>
        <w:suppressAutoHyphens/>
        <w:spacing w:after="0" w:line="240" w:lineRule="auto"/>
        <w:jc w:val="center"/>
        <w:rPr>
          <w:rFonts w:ascii="Arial" w:hAnsi="Arial" w:cs="Arial"/>
          <w:b/>
          <w:sz w:val="24"/>
          <w:szCs w:val="24"/>
          <w:lang w:eastAsia="en-GB"/>
        </w:rPr>
      </w:pPr>
      <w:r w:rsidRPr="003B4B99">
        <w:rPr>
          <w:rFonts w:ascii="Arial" w:hAnsi="Arial" w:cs="Arial"/>
          <w:b/>
          <w:sz w:val="24"/>
          <w:szCs w:val="24"/>
          <w:lang w:eastAsia="en-GB"/>
        </w:rPr>
        <w:t>Minister for Culture, Communications and Creative Industries</w:t>
      </w:r>
    </w:p>
    <w:p w14:paraId="693B17C2" w14:textId="77777777" w:rsidR="008A50AC" w:rsidRPr="003B4B99" w:rsidRDefault="008A50AC" w:rsidP="00101CB4">
      <w:pPr>
        <w:suppressAutoHyphens/>
        <w:spacing w:after="0" w:line="240" w:lineRule="auto"/>
        <w:jc w:val="center"/>
        <w:rPr>
          <w:rFonts w:ascii="Arial" w:hAnsi="Arial" w:cs="Arial"/>
          <w:b/>
          <w:sz w:val="24"/>
          <w:szCs w:val="24"/>
          <w:lang w:eastAsia="en-GB"/>
        </w:rPr>
      </w:pPr>
    </w:p>
    <w:p w14:paraId="693B17E8" w14:textId="4683A6AE" w:rsidR="008A50AC" w:rsidRPr="00916ED0" w:rsidRDefault="008A50AC" w:rsidP="00226C5C">
      <w:pPr>
        <w:suppressAutoHyphens/>
        <w:spacing w:after="0" w:line="240" w:lineRule="auto"/>
        <w:jc w:val="center"/>
        <w:rPr>
          <w:rFonts w:ascii="Arial" w:hAnsi="Arial" w:cs="Arial"/>
          <w:color w:val="000000"/>
          <w:sz w:val="24"/>
          <w:szCs w:val="24"/>
          <w:lang w:eastAsia="en-GB"/>
        </w:rPr>
      </w:pPr>
      <w:r w:rsidRPr="003B4B99">
        <w:rPr>
          <w:rFonts w:ascii="Arial" w:hAnsi="Arial" w:cs="Arial"/>
          <w:b/>
          <w:sz w:val="24"/>
          <w:szCs w:val="24"/>
          <w:lang w:eastAsia="en-GB"/>
        </w:rPr>
        <w:t>Department for Culture, Media and Sport</w:t>
      </w:r>
    </w:p>
    <w:sectPr w:rsidR="008A50AC" w:rsidRPr="00916ED0" w:rsidSect="009770D5">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A04EA" w14:textId="77777777" w:rsidR="00A44263" w:rsidRDefault="00A44263" w:rsidP="00EB4F71">
      <w:pPr>
        <w:spacing w:after="0" w:line="240" w:lineRule="auto"/>
      </w:pPr>
      <w:r>
        <w:separator/>
      </w:r>
    </w:p>
  </w:endnote>
  <w:endnote w:type="continuationSeparator" w:id="0">
    <w:p w14:paraId="3BEB7D8A" w14:textId="77777777" w:rsidR="00A44263" w:rsidRDefault="00A44263" w:rsidP="00EB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5294252"/>
      <w:docPartObj>
        <w:docPartGallery w:val="Page Numbers (Bottom of Page)"/>
        <w:docPartUnique/>
      </w:docPartObj>
    </w:sdtPr>
    <w:sdtEndPr/>
    <w:sdtContent>
      <w:sdt>
        <w:sdtPr>
          <w:id w:val="-1669238322"/>
          <w:docPartObj>
            <w:docPartGallery w:val="Page Numbers (Top of Page)"/>
            <w:docPartUnique/>
          </w:docPartObj>
        </w:sdtPr>
        <w:sdtEndPr/>
        <w:sdtContent>
          <w:p w14:paraId="693B17ED" w14:textId="77777777" w:rsidR="00EB4F71" w:rsidRDefault="00EB4F71">
            <w:pPr>
              <w:pStyle w:val="Footer"/>
              <w:jc w:val="center"/>
            </w:pPr>
            <w:r w:rsidRPr="00EB4F71">
              <w:rPr>
                <w:rFonts w:ascii="Arial" w:hAnsi="Arial"/>
                <w:sz w:val="24"/>
              </w:rPr>
              <w:t xml:space="preserve">Page </w:t>
            </w:r>
            <w:r w:rsidRPr="00EB4F71">
              <w:rPr>
                <w:rFonts w:ascii="Arial" w:hAnsi="Arial"/>
                <w:bCs/>
                <w:sz w:val="24"/>
                <w:szCs w:val="24"/>
              </w:rPr>
              <w:fldChar w:fldCharType="begin"/>
            </w:r>
            <w:r w:rsidRPr="00EB4F71">
              <w:rPr>
                <w:rFonts w:ascii="Arial" w:hAnsi="Arial"/>
                <w:bCs/>
                <w:sz w:val="24"/>
              </w:rPr>
              <w:instrText xml:space="preserve"> PAGE </w:instrText>
            </w:r>
            <w:r w:rsidRPr="00EB4F71">
              <w:rPr>
                <w:rFonts w:ascii="Arial" w:hAnsi="Arial"/>
                <w:bCs/>
                <w:sz w:val="24"/>
                <w:szCs w:val="24"/>
              </w:rPr>
              <w:fldChar w:fldCharType="separate"/>
            </w:r>
            <w:r w:rsidR="00A90C62">
              <w:rPr>
                <w:rFonts w:ascii="Arial" w:hAnsi="Arial"/>
                <w:bCs/>
                <w:noProof/>
                <w:sz w:val="24"/>
              </w:rPr>
              <w:t>1</w:t>
            </w:r>
            <w:r w:rsidRPr="00EB4F71">
              <w:rPr>
                <w:rFonts w:ascii="Arial" w:hAnsi="Arial"/>
                <w:bCs/>
                <w:sz w:val="24"/>
                <w:szCs w:val="24"/>
              </w:rPr>
              <w:fldChar w:fldCharType="end"/>
            </w:r>
            <w:r w:rsidRPr="00EB4F71">
              <w:rPr>
                <w:rFonts w:ascii="Arial" w:hAnsi="Arial"/>
                <w:sz w:val="24"/>
              </w:rPr>
              <w:t xml:space="preserve"> of </w:t>
            </w:r>
            <w:r w:rsidRPr="00EB4F71">
              <w:rPr>
                <w:rFonts w:ascii="Arial" w:hAnsi="Arial"/>
                <w:bCs/>
                <w:sz w:val="24"/>
                <w:szCs w:val="24"/>
              </w:rPr>
              <w:fldChar w:fldCharType="begin"/>
            </w:r>
            <w:r w:rsidRPr="00EB4F71">
              <w:rPr>
                <w:rFonts w:ascii="Arial" w:hAnsi="Arial"/>
                <w:bCs/>
                <w:sz w:val="24"/>
              </w:rPr>
              <w:instrText xml:space="preserve"> NUMPAGES  </w:instrText>
            </w:r>
            <w:r w:rsidRPr="00EB4F71">
              <w:rPr>
                <w:rFonts w:ascii="Arial" w:hAnsi="Arial"/>
                <w:bCs/>
                <w:sz w:val="24"/>
                <w:szCs w:val="24"/>
              </w:rPr>
              <w:fldChar w:fldCharType="separate"/>
            </w:r>
            <w:r w:rsidR="00A90C62">
              <w:rPr>
                <w:rFonts w:ascii="Arial" w:hAnsi="Arial"/>
                <w:bCs/>
                <w:noProof/>
                <w:sz w:val="24"/>
              </w:rPr>
              <w:t>6</w:t>
            </w:r>
            <w:r w:rsidRPr="00EB4F71">
              <w:rPr>
                <w:rFonts w:ascii="Arial" w:hAnsi="Arial"/>
                <w:bCs/>
                <w:sz w:val="24"/>
                <w:szCs w:val="24"/>
              </w:rPr>
              <w:fldChar w:fldCharType="end"/>
            </w:r>
          </w:p>
        </w:sdtContent>
      </w:sdt>
    </w:sdtContent>
  </w:sdt>
  <w:p w14:paraId="693B17EE" w14:textId="77777777" w:rsidR="00EB4F71" w:rsidRDefault="00EB4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CDED19" w14:textId="77777777" w:rsidR="00A44263" w:rsidRDefault="00A44263" w:rsidP="00EB4F71">
      <w:pPr>
        <w:spacing w:after="0" w:line="240" w:lineRule="auto"/>
      </w:pPr>
      <w:r>
        <w:separator/>
      </w:r>
    </w:p>
  </w:footnote>
  <w:footnote w:type="continuationSeparator" w:id="0">
    <w:p w14:paraId="5AFD2F9E" w14:textId="77777777" w:rsidR="00A44263" w:rsidRDefault="00A44263" w:rsidP="00EB4F71">
      <w:pPr>
        <w:spacing w:after="0" w:line="240" w:lineRule="auto"/>
      </w:pPr>
      <w:r>
        <w:continuationSeparator/>
      </w:r>
    </w:p>
  </w:footnote>
  <w:footnote w:id="1">
    <w:p w14:paraId="76B84F04" w14:textId="65DC59C3" w:rsidR="00C436BF" w:rsidRDefault="00C436BF">
      <w:pPr>
        <w:pStyle w:val="FootnoteText"/>
      </w:pPr>
      <w:r>
        <w:rPr>
          <w:rStyle w:val="FootnoteReference"/>
        </w:rPr>
        <w:footnoteRef/>
      </w:r>
      <w:r>
        <w:t xml:space="preserve"> </w:t>
      </w:r>
      <w:r w:rsidRPr="00C436BF">
        <w:t>EOI means the provision of services and information to internal and third-party access seekers on the same terms and conditions, including price and quality of service levels, within the same time scales using the same systems and processes, and with the same degree of reliability and performance.</w:t>
      </w:r>
    </w:p>
  </w:footnote>
  <w:footnote w:id="2">
    <w:p w14:paraId="276BEC06" w14:textId="3742F5A1" w:rsidR="00C436BF" w:rsidRDefault="00C436BF">
      <w:pPr>
        <w:pStyle w:val="FootnoteText"/>
      </w:pPr>
      <w:r>
        <w:rPr>
          <w:rStyle w:val="FootnoteReference"/>
        </w:rPr>
        <w:footnoteRef/>
      </w:r>
      <w:r>
        <w:t xml:space="preserve"> </w:t>
      </w:r>
      <w:r w:rsidRPr="00C436BF">
        <w:t>The proposed methodology is to be based on the incremental capital and operating costs borne by an efficient provider of access services and add a mark-up for recovery of common costs</w:t>
      </w:r>
      <w:r>
        <w:t>.</w:t>
      </w:r>
    </w:p>
  </w:footnote>
  <w:footnote w:id="3">
    <w:p w14:paraId="57A37260" w14:textId="35A5DE03" w:rsidR="00C436BF" w:rsidRDefault="00C436BF">
      <w:pPr>
        <w:pStyle w:val="FootnoteText"/>
      </w:pPr>
      <w:r>
        <w:rPr>
          <w:rStyle w:val="FootnoteReference"/>
        </w:rPr>
        <w:footnoteRef/>
      </w:r>
      <w:r>
        <w:t xml:space="preserve"> </w:t>
      </w:r>
      <w:r w:rsidRPr="00C436BF">
        <w:t>The proposed methodology is to value these at their indexed net book value. It is recommended that regulators employ a Regulatory Asset Base (RAB) which consists of the civil engineering assets valued at current costs reduced by elapsed economic life (and hence costs already recovered). Once an asset is fully depreciated it is no longer part of the RAB and no longer represents a cost for the alternative access seeker</w:t>
      </w:r>
      <w:r>
        <w:t>.</w:t>
      </w:r>
    </w:p>
  </w:footnote>
  <w:footnote w:id="4">
    <w:p w14:paraId="742667DE" w14:textId="7A6B9BF8" w:rsidR="00E65907" w:rsidRDefault="00E65907">
      <w:pPr>
        <w:pStyle w:val="FootnoteText"/>
      </w:pPr>
      <w:r>
        <w:rPr>
          <w:rStyle w:val="FootnoteReference"/>
        </w:rPr>
        <w:footnoteRef/>
      </w:r>
      <w:r>
        <w:t xml:space="preserve"> </w:t>
      </w:r>
      <w:r w:rsidRPr="00E65907">
        <w:t xml:space="preserve">Full LLU monthly rental fee (voice + ADSL services) </w:t>
      </w:r>
      <w:r w:rsidRPr="00876056">
        <w:rPr>
          <w:b/>
        </w:rPr>
        <w:t>UK</w:t>
      </w:r>
      <w:r w:rsidR="00ED7023" w:rsidRPr="00876056">
        <w:rPr>
          <w:b/>
        </w:rPr>
        <w:t>:</w:t>
      </w:r>
      <w:r w:rsidRPr="00876056">
        <w:rPr>
          <w:b/>
        </w:rPr>
        <w:t xml:space="preserve"> €9.05 =</w:t>
      </w:r>
      <w:r w:rsidR="00876056" w:rsidRPr="00876056">
        <w:rPr>
          <w:b/>
        </w:rPr>
        <w:t xml:space="preserve"> GBP 7.66</w:t>
      </w:r>
      <w:r w:rsidR="00876056" w:rsidRPr="00876056">
        <w:t xml:space="preserve"> </w:t>
      </w:r>
      <w:r w:rsidR="00876056">
        <w:t xml:space="preserve">at today’s exchange rate.  </w:t>
      </w:r>
      <w:r w:rsidR="00876056" w:rsidRPr="00876056">
        <w:rPr>
          <w:b/>
        </w:rPr>
        <w:t>EU27 average €7.97</w:t>
      </w:r>
      <w:r w:rsidRPr="00876056">
        <w:rPr>
          <w:b/>
        </w:rPr>
        <w:t xml:space="preserve"> </w:t>
      </w:r>
      <w:r w:rsidR="00876056" w:rsidRPr="00876056">
        <w:rPr>
          <w:b/>
        </w:rPr>
        <w:t>= GBP 6.74</w:t>
      </w:r>
      <w:r w:rsidR="00876056" w:rsidRPr="00876056">
        <w:t xml:space="preserve"> </w:t>
      </w:r>
      <w:r w:rsidRPr="00E65907">
        <w:t>(Cullen research March 2013</w:t>
      </w:r>
      <w:r w:rsidR="00876056">
        <w:t>)</w:t>
      </w:r>
    </w:p>
  </w:footnote>
  <w:footnote w:id="5">
    <w:p w14:paraId="1C94372C" w14:textId="564A0F74" w:rsidR="00214D65" w:rsidRDefault="00214D65">
      <w:pPr>
        <w:pStyle w:val="FootnoteText"/>
      </w:pPr>
      <w:r>
        <w:rPr>
          <w:rStyle w:val="FootnoteReference"/>
        </w:rPr>
        <w:footnoteRef/>
      </w:r>
      <w:r>
        <w:t xml:space="preserve"> </w:t>
      </w:r>
      <w:r w:rsidRPr="00214D65">
        <w:t xml:space="preserve">Body of European Regulators for Electronic Communications, </w:t>
      </w:r>
      <w:hyperlink r:id="rId1" w:history="1">
        <w:r w:rsidRPr="00731A21">
          <w:rPr>
            <w:rStyle w:val="Hyperlink"/>
          </w:rPr>
          <w:t>http://berec.europa.eu/</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46CA5"/>
    <w:multiLevelType w:val="hybridMultilevel"/>
    <w:tmpl w:val="835001DE"/>
    <w:lvl w:ilvl="0" w:tplc="08090017">
      <w:start w:val="1"/>
      <w:numFmt w:val="lowerLetter"/>
      <w:lvlText w:val="%1)"/>
      <w:lvlJc w:val="left"/>
      <w:pPr>
        <w:ind w:left="2574" w:hanging="360"/>
      </w:pPr>
    </w:lvl>
    <w:lvl w:ilvl="1" w:tplc="08090019" w:tentative="1">
      <w:start w:val="1"/>
      <w:numFmt w:val="lowerLetter"/>
      <w:lvlText w:val="%2."/>
      <w:lvlJc w:val="left"/>
      <w:pPr>
        <w:ind w:left="3294" w:hanging="360"/>
      </w:pPr>
    </w:lvl>
    <w:lvl w:ilvl="2" w:tplc="0809001B" w:tentative="1">
      <w:start w:val="1"/>
      <w:numFmt w:val="lowerRoman"/>
      <w:lvlText w:val="%3."/>
      <w:lvlJc w:val="right"/>
      <w:pPr>
        <w:ind w:left="4014" w:hanging="180"/>
      </w:pPr>
    </w:lvl>
    <w:lvl w:ilvl="3" w:tplc="0809000F" w:tentative="1">
      <w:start w:val="1"/>
      <w:numFmt w:val="decimal"/>
      <w:lvlText w:val="%4."/>
      <w:lvlJc w:val="left"/>
      <w:pPr>
        <w:ind w:left="4734" w:hanging="360"/>
      </w:pPr>
    </w:lvl>
    <w:lvl w:ilvl="4" w:tplc="08090019" w:tentative="1">
      <w:start w:val="1"/>
      <w:numFmt w:val="lowerLetter"/>
      <w:lvlText w:val="%5."/>
      <w:lvlJc w:val="left"/>
      <w:pPr>
        <w:ind w:left="5454" w:hanging="360"/>
      </w:pPr>
    </w:lvl>
    <w:lvl w:ilvl="5" w:tplc="0809001B" w:tentative="1">
      <w:start w:val="1"/>
      <w:numFmt w:val="lowerRoman"/>
      <w:lvlText w:val="%6."/>
      <w:lvlJc w:val="right"/>
      <w:pPr>
        <w:ind w:left="6174" w:hanging="180"/>
      </w:pPr>
    </w:lvl>
    <w:lvl w:ilvl="6" w:tplc="0809000F" w:tentative="1">
      <w:start w:val="1"/>
      <w:numFmt w:val="decimal"/>
      <w:lvlText w:val="%7."/>
      <w:lvlJc w:val="left"/>
      <w:pPr>
        <w:ind w:left="6894" w:hanging="360"/>
      </w:pPr>
    </w:lvl>
    <w:lvl w:ilvl="7" w:tplc="08090019" w:tentative="1">
      <w:start w:val="1"/>
      <w:numFmt w:val="lowerLetter"/>
      <w:lvlText w:val="%8."/>
      <w:lvlJc w:val="left"/>
      <w:pPr>
        <w:ind w:left="7614" w:hanging="360"/>
      </w:pPr>
    </w:lvl>
    <w:lvl w:ilvl="8" w:tplc="0809001B" w:tentative="1">
      <w:start w:val="1"/>
      <w:numFmt w:val="lowerRoman"/>
      <w:lvlText w:val="%9."/>
      <w:lvlJc w:val="right"/>
      <w:pPr>
        <w:ind w:left="8334" w:hanging="180"/>
      </w:pPr>
    </w:lvl>
  </w:abstractNum>
  <w:abstractNum w:abstractNumId="1">
    <w:nsid w:val="037D0CD4"/>
    <w:multiLevelType w:val="hybridMultilevel"/>
    <w:tmpl w:val="970061BC"/>
    <w:lvl w:ilvl="0" w:tplc="180CC92E">
      <w:start w:val="1"/>
      <w:numFmt w:val="decimal"/>
      <w:lvlText w:val="%1."/>
      <w:lvlJc w:val="left"/>
      <w:pPr>
        <w:tabs>
          <w:tab w:val="num" w:pos="360"/>
        </w:tabs>
        <w:ind w:left="360" w:hanging="360"/>
      </w:pPr>
      <w:rPr>
        <w:rFonts w:ascii="Arial" w:hAnsi="Arial" w:hint="default"/>
        <w:b w:val="0"/>
        <w:bCs w:val="0"/>
        <w:i w:val="0"/>
        <w:iCs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111D30C0"/>
    <w:multiLevelType w:val="hybridMultilevel"/>
    <w:tmpl w:val="C52CCA06"/>
    <w:lvl w:ilvl="0" w:tplc="180CC92E">
      <w:start w:val="1"/>
      <w:numFmt w:val="decimal"/>
      <w:lvlText w:val="%1."/>
      <w:lvlJc w:val="left"/>
      <w:pPr>
        <w:tabs>
          <w:tab w:val="num" w:pos="360"/>
        </w:tabs>
        <w:ind w:left="360" w:hanging="360"/>
      </w:pPr>
      <w:rPr>
        <w:rFonts w:ascii="Arial" w:hAnsi="Arial" w:cs="Arial" w:hint="default"/>
        <w:b w:val="0"/>
        <w:bCs w:val="0"/>
        <w:i w:val="0"/>
        <w:iCs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142164A1"/>
    <w:multiLevelType w:val="hybridMultilevel"/>
    <w:tmpl w:val="A620993E"/>
    <w:lvl w:ilvl="0" w:tplc="180CC92E">
      <w:start w:val="1"/>
      <w:numFmt w:val="decimal"/>
      <w:lvlText w:val="%1."/>
      <w:lvlJc w:val="left"/>
      <w:pPr>
        <w:tabs>
          <w:tab w:val="num" w:pos="360"/>
        </w:tabs>
        <w:ind w:left="360" w:hanging="360"/>
      </w:pPr>
      <w:rPr>
        <w:rFonts w:ascii="Arial" w:hAnsi="Arial" w:cs="Arial" w:hint="default"/>
        <w:b w:val="0"/>
        <w:bCs w:val="0"/>
        <w:i w:val="0"/>
        <w:iCs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276459A0"/>
    <w:multiLevelType w:val="hybridMultilevel"/>
    <w:tmpl w:val="8E18DA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5">
    <w:nsid w:val="277D303E"/>
    <w:multiLevelType w:val="hybridMultilevel"/>
    <w:tmpl w:val="D7882CD4"/>
    <w:lvl w:ilvl="0" w:tplc="ABF66E0E">
      <w:start w:val="1"/>
      <w:numFmt w:val="decimal"/>
      <w:lvlText w:val="%1."/>
      <w:lvlJc w:val="left"/>
      <w:pPr>
        <w:ind w:left="720" w:hanging="360"/>
      </w:pPr>
      <w:rPr>
        <w:b w:val="0"/>
        <w:sz w:val="22"/>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B9236F2"/>
    <w:multiLevelType w:val="hybridMultilevel"/>
    <w:tmpl w:val="648A7CAA"/>
    <w:lvl w:ilvl="0" w:tplc="08090001">
      <w:start w:val="1"/>
      <w:numFmt w:val="bullet"/>
      <w:lvlText w:val=""/>
      <w:lvlJc w:val="left"/>
      <w:pPr>
        <w:tabs>
          <w:tab w:val="num" w:pos="720"/>
        </w:tabs>
        <w:ind w:left="720" w:hanging="360"/>
      </w:pPr>
      <w:rPr>
        <w:rFonts w:ascii="Symbol" w:hAnsi="Symbol" w:cs="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303358B7"/>
    <w:multiLevelType w:val="hybridMultilevel"/>
    <w:tmpl w:val="7C765766"/>
    <w:lvl w:ilvl="0" w:tplc="08090001">
      <w:start w:val="1"/>
      <w:numFmt w:val="bullet"/>
      <w:lvlText w:val=""/>
      <w:lvlJc w:val="left"/>
      <w:pPr>
        <w:tabs>
          <w:tab w:val="num" w:pos="360"/>
        </w:tabs>
        <w:ind w:left="360" w:hanging="360"/>
      </w:pPr>
      <w:rPr>
        <w:rFonts w:ascii="Symbol" w:hAnsi="Symbol" w:cs="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cs="Wingdings" w:hint="default"/>
      </w:rPr>
    </w:lvl>
    <w:lvl w:ilvl="3" w:tplc="08090001" w:tentative="1">
      <w:start w:val="1"/>
      <w:numFmt w:val="bullet"/>
      <w:lvlText w:val=""/>
      <w:lvlJc w:val="left"/>
      <w:pPr>
        <w:tabs>
          <w:tab w:val="num" w:pos="2520"/>
        </w:tabs>
        <w:ind w:left="2520" w:hanging="360"/>
      </w:pPr>
      <w:rPr>
        <w:rFonts w:ascii="Symbol" w:hAnsi="Symbol" w:cs="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cs="Wingdings" w:hint="default"/>
      </w:rPr>
    </w:lvl>
    <w:lvl w:ilvl="6" w:tplc="08090001" w:tentative="1">
      <w:start w:val="1"/>
      <w:numFmt w:val="bullet"/>
      <w:lvlText w:val=""/>
      <w:lvlJc w:val="left"/>
      <w:pPr>
        <w:tabs>
          <w:tab w:val="num" w:pos="4680"/>
        </w:tabs>
        <w:ind w:left="4680" w:hanging="360"/>
      </w:pPr>
      <w:rPr>
        <w:rFonts w:ascii="Symbol" w:hAnsi="Symbol" w:cs="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cs="Wingdings" w:hint="default"/>
      </w:rPr>
    </w:lvl>
  </w:abstractNum>
  <w:abstractNum w:abstractNumId="8">
    <w:nsid w:val="31A2614E"/>
    <w:multiLevelType w:val="hybridMultilevel"/>
    <w:tmpl w:val="93A21F8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nsid w:val="3795193A"/>
    <w:multiLevelType w:val="singleLevel"/>
    <w:tmpl w:val="F1922388"/>
    <w:lvl w:ilvl="0">
      <w:start w:val="4"/>
      <w:numFmt w:val="lowerRoman"/>
      <w:lvlText w:val="%1."/>
      <w:lvlJc w:val="left"/>
      <w:pPr>
        <w:tabs>
          <w:tab w:val="num" w:pos="1440"/>
        </w:tabs>
        <w:ind w:left="1440" w:hanging="720"/>
      </w:pPr>
      <w:rPr>
        <w:rFonts w:hint="default"/>
      </w:rPr>
    </w:lvl>
  </w:abstractNum>
  <w:abstractNum w:abstractNumId="10">
    <w:nsid w:val="386C4BAB"/>
    <w:multiLevelType w:val="hybridMultilevel"/>
    <w:tmpl w:val="5AEA1E66"/>
    <w:lvl w:ilvl="0" w:tplc="08090001">
      <w:start w:val="1"/>
      <w:numFmt w:val="bullet"/>
      <w:lvlText w:val=""/>
      <w:lvlJc w:val="left"/>
      <w:pPr>
        <w:tabs>
          <w:tab w:val="num" w:pos="720"/>
        </w:tabs>
        <w:ind w:left="720" w:hanging="360"/>
      </w:pPr>
      <w:rPr>
        <w:rFonts w:ascii="Symbol" w:hAnsi="Symbol" w:cs="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11">
    <w:nsid w:val="398B429F"/>
    <w:multiLevelType w:val="hybridMultilevel"/>
    <w:tmpl w:val="376EE75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2">
    <w:nsid w:val="3AB912CD"/>
    <w:multiLevelType w:val="multilevel"/>
    <w:tmpl w:val="48A68782"/>
    <w:lvl w:ilvl="0">
      <w:start w:val="1"/>
      <w:numFmt w:val="decimal"/>
      <w:lvlText w:val="%1."/>
      <w:lvlJc w:val="left"/>
      <w:pPr>
        <w:tabs>
          <w:tab w:val="num" w:pos="360"/>
        </w:tabs>
        <w:ind w:left="360" w:hanging="360"/>
      </w:pPr>
    </w:lvl>
    <w:lvl w:ilvl="1">
      <w:start w:val="1"/>
      <w:numFmt w:val="bullet"/>
      <w:lvlText w:val=""/>
      <w:lvlJc w:val="left"/>
      <w:pPr>
        <w:tabs>
          <w:tab w:val="num" w:pos="360"/>
        </w:tabs>
        <w:ind w:left="360" w:hanging="360"/>
      </w:pPr>
      <w:rPr>
        <w:rFonts w:ascii="Symbol" w:hAnsi="Symbol" w:cs="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nsid w:val="3BD7728C"/>
    <w:multiLevelType w:val="hybridMultilevel"/>
    <w:tmpl w:val="7F56883C"/>
    <w:lvl w:ilvl="0" w:tplc="ABF66E0E">
      <w:start w:val="1"/>
      <w:numFmt w:val="decimal"/>
      <w:lvlText w:val="%1."/>
      <w:lvlJc w:val="left"/>
      <w:pPr>
        <w:ind w:left="720" w:hanging="360"/>
      </w:pPr>
      <w:rPr>
        <w:b w:val="0"/>
        <w:sz w:val="22"/>
      </w:rPr>
    </w:lvl>
    <w:lvl w:ilvl="1" w:tplc="30D499CE">
      <w:start w:val="1"/>
      <w:numFmt w:val="lowerRoman"/>
      <w:lvlText w:val="(%2)"/>
      <w:lvlJc w:val="righ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1D84977"/>
    <w:multiLevelType w:val="hybridMultilevel"/>
    <w:tmpl w:val="9B5A594C"/>
    <w:lvl w:ilvl="0" w:tplc="E9981B10">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457B5343"/>
    <w:multiLevelType w:val="hybridMultilevel"/>
    <w:tmpl w:val="94F88DF0"/>
    <w:lvl w:ilvl="0" w:tplc="08090001">
      <w:start w:val="1"/>
      <w:numFmt w:val="bullet"/>
      <w:lvlText w:val=""/>
      <w:lvlJc w:val="left"/>
      <w:pPr>
        <w:tabs>
          <w:tab w:val="num" w:pos="720"/>
        </w:tabs>
        <w:ind w:left="720" w:hanging="360"/>
      </w:pPr>
      <w:rPr>
        <w:rFonts w:ascii="Symbol" w:hAnsi="Symbol" w:cs="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16">
    <w:nsid w:val="4BFA6A05"/>
    <w:multiLevelType w:val="hybridMultilevel"/>
    <w:tmpl w:val="9D6A89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516B498F"/>
    <w:multiLevelType w:val="hybridMultilevel"/>
    <w:tmpl w:val="50D8BEE0"/>
    <w:lvl w:ilvl="0" w:tplc="08090001">
      <w:start w:val="1"/>
      <w:numFmt w:val="bullet"/>
      <w:lvlText w:val=""/>
      <w:lvlJc w:val="left"/>
      <w:pPr>
        <w:ind w:left="720" w:hanging="360"/>
      </w:pPr>
      <w:rPr>
        <w:rFonts w:ascii="Symbol" w:hAnsi="Symbol" w:hint="default"/>
        <w:b w:val="0"/>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4BE48E2"/>
    <w:multiLevelType w:val="hybridMultilevel"/>
    <w:tmpl w:val="B484DD5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9">
    <w:nsid w:val="55B83842"/>
    <w:multiLevelType w:val="hybridMultilevel"/>
    <w:tmpl w:val="F25AEA6E"/>
    <w:lvl w:ilvl="0" w:tplc="08090001">
      <w:start w:val="1"/>
      <w:numFmt w:val="bullet"/>
      <w:lvlText w:val=""/>
      <w:lvlJc w:val="left"/>
      <w:pPr>
        <w:tabs>
          <w:tab w:val="num" w:pos="720"/>
        </w:tabs>
        <w:ind w:left="720" w:hanging="360"/>
      </w:pPr>
      <w:rPr>
        <w:rFonts w:ascii="Symbol" w:hAnsi="Symbol" w:cs="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20">
    <w:nsid w:val="56140869"/>
    <w:multiLevelType w:val="hybridMultilevel"/>
    <w:tmpl w:val="C9649EB6"/>
    <w:lvl w:ilvl="0" w:tplc="8824503C">
      <w:start w:val="1"/>
      <w:numFmt w:val="decimal"/>
      <w:lvlText w:val="%1."/>
      <w:lvlJc w:val="left"/>
      <w:pPr>
        <w:ind w:left="780" w:hanging="360"/>
      </w:pPr>
      <w:rPr>
        <w:rFonts w:ascii="Arial" w:hAnsi="Arial" w:hint="default"/>
        <w:b w:val="0"/>
        <w:i w:val="0"/>
        <w:sz w:val="24"/>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1">
    <w:nsid w:val="561D6A8B"/>
    <w:multiLevelType w:val="hybridMultilevel"/>
    <w:tmpl w:val="0320379E"/>
    <w:lvl w:ilvl="0" w:tplc="F3361FAE">
      <w:start w:val="1"/>
      <w:numFmt w:val="lowerRoman"/>
      <w:lvlText w:val="(%1)"/>
      <w:lvlJc w:val="right"/>
      <w:pPr>
        <w:ind w:left="1571" w:hanging="360"/>
      </w:pPr>
      <w:rPr>
        <w:rFonts w:hint="default"/>
        <w:b w:val="0"/>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2">
    <w:nsid w:val="59136EBE"/>
    <w:multiLevelType w:val="singleLevel"/>
    <w:tmpl w:val="5B987408"/>
    <w:lvl w:ilvl="0">
      <w:start w:val="2"/>
      <w:numFmt w:val="bullet"/>
      <w:lvlText w:val="-"/>
      <w:lvlJc w:val="left"/>
      <w:pPr>
        <w:tabs>
          <w:tab w:val="num" w:pos="2160"/>
        </w:tabs>
        <w:ind w:left="2160" w:hanging="720"/>
      </w:pPr>
      <w:rPr>
        <w:rFonts w:ascii="Times New Roman" w:hAnsi="Times New Roman" w:cs="Times New Roman" w:hint="default"/>
      </w:rPr>
    </w:lvl>
  </w:abstractNum>
  <w:abstractNum w:abstractNumId="23">
    <w:nsid w:val="5D6B1E8B"/>
    <w:multiLevelType w:val="hybridMultilevel"/>
    <w:tmpl w:val="D5EC3E2A"/>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4">
    <w:nsid w:val="5DF37DBD"/>
    <w:multiLevelType w:val="hybridMultilevel"/>
    <w:tmpl w:val="4F501AEA"/>
    <w:lvl w:ilvl="0" w:tplc="180CC92E">
      <w:start w:val="1"/>
      <w:numFmt w:val="decimal"/>
      <w:lvlText w:val="%1."/>
      <w:lvlJc w:val="left"/>
      <w:pPr>
        <w:tabs>
          <w:tab w:val="num" w:pos="360"/>
        </w:tabs>
        <w:ind w:left="360" w:hanging="360"/>
      </w:pPr>
      <w:rPr>
        <w:rFonts w:ascii="Arial" w:hAnsi="Arial" w:cs="Arial" w:hint="default"/>
        <w:b w:val="0"/>
        <w:bCs w:val="0"/>
        <w:i w:val="0"/>
        <w:iCs w:val="0"/>
        <w:sz w:val="24"/>
        <w:szCs w:val="24"/>
      </w:rPr>
    </w:lvl>
    <w:lvl w:ilvl="1" w:tplc="180CC92E">
      <w:start w:val="1"/>
      <w:numFmt w:val="decimal"/>
      <w:lvlText w:val="%2."/>
      <w:lvlJc w:val="left"/>
      <w:pPr>
        <w:tabs>
          <w:tab w:val="num" w:pos="360"/>
        </w:tabs>
        <w:ind w:left="360" w:hanging="360"/>
      </w:pPr>
      <w:rPr>
        <w:rFonts w:ascii="Arial" w:hAnsi="Arial" w:cs="Arial" w:hint="default"/>
        <w:b w:val="0"/>
        <w:bCs w:val="0"/>
        <w:i w:val="0"/>
        <w:iCs w:val="0"/>
        <w:sz w:val="24"/>
        <w:szCs w:val="24"/>
      </w:rPr>
    </w:lvl>
    <w:lvl w:ilvl="2" w:tplc="0809001B">
      <w:start w:val="1"/>
      <w:numFmt w:val="lowerRoman"/>
      <w:lvlText w:val="%3."/>
      <w:lvlJc w:val="right"/>
      <w:pPr>
        <w:tabs>
          <w:tab w:val="num" w:pos="1800"/>
        </w:tabs>
        <w:ind w:left="1800" w:hanging="180"/>
      </w:pPr>
    </w:lvl>
    <w:lvl w:ilvl="3" w:tplc="08090001">
      <w:start w:val="1"/>
      <w:numFmt w:val="bullet"/>
      <w:lvlText w:val=""/>
      <w:lvlJc w:val="left"/>
      <w:pPr>
        <w:tabs>
          <w:tab w:val="num" w:pos="2520"/>
        </w:tabs>
        <w:ind w:left="2520" w:hanging="360"/>
      </w:pPr>
      <w:rPr>
        <w:rFonts w:ascii="Symbol" w:hAnsi="Symbol" w:cs="Symbol" w:hint="default"/>
        <w:b w:val="0"/>
        <w:bCs w:val="0"/>
        <w:i w:val="0"/>
        <w:iCs w:val="0"/>
        <w:sz w:val="24"/>
        <w:szCs w:val="24"/>
      </w:r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5">
    <w:nsid w:val="5E34292C"/>
    <w:multiLevelType w:val="hybridMultilevel"/>
    <w:tmpl w:val="63B0EC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07B14BD"/>
    <w:multiLevelType w:val="hybridMultilevel"/>
    <w:tmpl w:val="BAC8108E"/>
    <w:lvl w:ilvl="0" w:tplc="08090019">
      <w:start w:val="1"/>
      <w:numFmt w:val="low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7">
    <w:nsid w:val="60B67DB4"/>
    <w:multiLevelType w:val="hybridMultilevel"/>
    <w:tmpl w:val="64D26B66"/>
    <w:lvl w:ilvl="0" w:tplc="8E2CA1D0">
      <w:start w:val="1"/>
      <w:numFmt w:val="decimal"/>
      <w:lvlText w:val="%1."/>
      <w:lvlJc w:val="left"/>
      <w:pPr>
        <w:ind w:left="1287" w:hanging="360"/>
      </w:pPr>
      <w:rPr>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8">
    <w:nsid w:val="633C4F6F"/>
    <w:multiLevelType w:val="hybridMultilevel"/>
    <w:tmpl w:val="27F66F1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9">
    <w:nsid w:val="6AEC390B"/>
    <w:multiLevelType w:val="hybridMultilevel"/>
    <w:tmpl w:val="278A47CA"/>
    <w:lvl w:ilvl="0" w:tplc="30D499CE">
      <w:start w:val="1"/>
      <w:numFmt w:val="lowerRoman"/>
      <w:lvlText w:val="(%1)"/>
      <w:lvlJc w:val="righ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0">
    <w:nsid w:val="6CF94FB9"/>
    <w:multiLevelType w:val="hybridMultilevel"/>
    <w:tmpl w:val="8146D6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714C2F2D"/>
    <w:multiLevelType w:val="multilevel"/>
    <w:tmpl w:val="83AA933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cs="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nsid w:val="792427A2"/>
    <w:multiLevelType w:val="hybridMultilevel"/>
    <w:tmpl w:val="60DEB0C0"/>
    <w:lvl w:ilvl="0" w:tplc="08090001">
      <w:start w:val="1"/>
      <w:numFmt w:val="bullet"/>
      <w:lvlText w:val=""/>
      <w:lvlJc w:val="left"/>
      <w:pPr>
        <w:ind w:left="873" w:hanging="360"/>
      </w:pPr>
      <w:rPr>
        <w:rFonts w:ascii="Symbol" w:hAnsi="Symbol" w:hint="default"/>
        <w:b w:val="0"/>
        <w:sz w:val="22"/>
      </w:rPr>
    </w:lvl>
    <w:lvl w:ilvl="1" w:tplc="08090019" w:tentative="1">
      <w:start w:val="1"/>
      <w:numFmt w:val="lowerLetter"/>
      <w:lvlText w:val="%2."/>
      <w:lvlJc w:val="left"/>
      <w:pPr>
        <w:ind w:left="1593" w:hanging="360"/>
      </w:pPr>
    </w:lvl>
    <w:lvl w:ilvl="2" w:tplc="0809001B" w:tentative="1">
      <w:start w:val="1"/>
      <w:numFmt w:val="lowerRoman"/>
      <w:lvlText w:val="%3."/>
      <w:lvlJc w:val="right"/>
      <w:pPr>
        <w:ind w:left="2313" w:hanging="180"/>
      </w:pPr>
    </w:lvl>
    <w:lvl w:ilvl="3" w:tplc="0809000F" w:tentative="1">
      <w:start w:val="1"/>
      <w:numFmt w:val="decimal"/>
      <w:lvlText w:val="%4."/>
      <w:lvlJc w:val="left"/>
      <w:pPr>
        <w:ind w:left="3033" w:hanging="360"/>
      </w:pPr>
    </w:lvl>
    <w:lvl w:ilvl="4" w:tplc="08090019" w:tentative="1">
      <w:start w:val="1"/>
      <w:numFmt w:val="lowerLetter"/>
      <w:lvlText w:val="%5."/>
      <w:lvlJc w:val="left"/>
      <w:pPr>
        <w:ind w:left="3753" w:hanging="360"/>
      </w:pPr>
    </w:lvl>
    <w:lvl w:ilvl="5" w:tplc="0809001B" w:tentative="1">
      <w:start w:val="1"/>
      <w:numFmt w:val="lowerRoman"/>
      <w:lvlText w:val="%6."/>
      <w:lvlJc w:val="right"/>
      <w:pPr>
        <w:ind w:left="4473" w:hanging="180"/>
      </w:pPr>
    </w:lvl>
    <w:lvl w:ilvl="6" w:tplc="0809000F" w:tentative="1">
      <w:start w:val="1"/>
      <w:numFmt w:val="decimal"/>
      <w:lvlText w:val="%7."/>
      <w:lvlJc w:val="left"/>
      <w:pPr>
        <w:ind w:left="5193" w:hanging="360"/>
      </w:pPr>
    </w:lvl>
    <w:lvl w:ilvl="7" w:tplc="08090019" w:tentative="1">
      <w:start w:val="1"/>
      <w:numFmt w:val="lowerLetter"/>
      <w:lvlText w:val="%8."/>
      <w:lvlJc w:val="left"/>
      <w:pPr>
        <w:ind w:left="5913" w:hanging="360"/>
      </w:pPr>
    </w:lvl>
    <w:lvl w:ilvl="8" w:tplc="0809001B" w:tentative="1">
      <w:start w:val="1"/>
      <w:numFmt w:val="lowerRoman"/>
      <w:lvlText w:val="%9."/>
      <w:lvlJc w:val="right"/>
      <w:pPr>
        <w:ind w:left="6633" w:hanging="180"/>
      </w:pPr>
    </w:lvl>
  </w:abstractNum>
  <w:abstractNum w:abstractNumId="33">
    <w:nsid w:val="7D7A781C"/>
    <w:multiLevelType w:val="hybridMultilevel"/>
    <w:tmpl w:val="3440E2C8"/>
    <w:lvl w:ilvl="0" w:tplc="9FA03BF2">
      <w:start w:val="1"/>
      <w:numFmt w:val="decimal"/>
      <w:lvlText w:val="%1."/>
      <w:lvlJc w:val="left"/>
      <w:pPr>
        <w:ind w:left="720" w:hanging="360"/>
      </w:pPr>
      <w:rPr>
        <w:b w:val="0"/>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11"/>
  </w:num>
  <w:num w:numId="3">
    <w:abstractNumId w:val="6"/>
  </w:num>
  <w:num w:numId="4">
    <w:abstractNumId w:val="10"/>
  </w:num>
  <w:num w:numId="5">
    <w:abstractNumId w:val="9"/>
    <w:lvlOverride w:ilvl="0">
      <w:startOverride w:val="4"/>
    </w:lvlOverride>
  </w:num>
  <w:num w:numId="6">
    <w:abstractNumId w:val="4"/>
  </w:num>
  <w:num w:numId="7">
    <w:abstractNumId w:val="19"/>
  </w:num>
  <w:num w:numId="8">
    <w:abstractNumId w:val="8"/>
  </w:num>
  <w:num w:numId="9">
    <w:abstractNumId w:val="24"/>
  </w:num>
  <w:num w:numId="10">
    <w:abstractNumId w:val="31"/>
  </w:num>
  <w:num w:numId="11">
    <w:abstractNumId w:val="23"/>
  </w:num>
  <w:num w:numId="12">
    <w:abstractNumId w:val="28"/>
  </w:num>
  <w:num w:numId="13">
    <w:abstractNumId w:val="18"/>
  </w:num>
  <w:num w:numId="14">
    <w:abstractNumId w:val="12"/>
  </w:num>
  <w:num w:numId="15">
    <w:abstractNumId w:val="1"/>
  </w:num>
  <w:num w:numId="16">
    <w:abstractNumId w:val="7"/>
  </w:num>
  <w:num w:numId="17">
    <w:abstractNumId w:val="3"/>
  </w:num>
  <w:num w:numId="18">
    <w:abstractNumId w:val="2"/>
  </w:num>
  <w:num w:numId="19">
    <w:abstractNumId w:val="15"/>
  </w:num>
  <w:num w:numId="20">
    <w:abstractNumId w:val="30"/>
  </w:num>
  <w:num w:numId="21">
    <w:abstractNumId w:val="25"/>
  </w:num>
  <w:num w:numId="22">
    <w:abstractNumId w:val="16"/>
  </w:num>
  <w:num w:numId="23">
    <w:abstractNumId w:val="21"/>
  </w:num>
  <w:num w:numId="24">
    <w:abstractNumId w:val="29"/>
  </w:num>
  <w:num w:numId="25">
    <w:abstractNumId w:val="33"/>
  </w:num>
  <w:num w:numId="26">
    <w:abstractNumId w:val="0"/>
  </w:num>
  <w:num w:numId="27">
    <w:abstractNumId w:val="32"/>
  </w:num>
  <w:num w:numId="28">
    <w:abstractNumId w:val="5"/>
  </w:num>
  <w:num w:numId="29">
    <w:abstractNumId w:val="13"/>
  </w:num>
  <w:num w:numId="30">
    <w:abstractNumId w:val="14"/>
  </w:num>
  <w:num w:numId="31">
    <w:abstractNumId w:val="17"/>
  </w:num>
  <w:num w:numId="32">
    <w:abstractNumId w:val="26"/>
  </w:num>
  <w:num w:numId="33">
    <w:abstractNumId w:val="20"/>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B52"/>
    <w:rsid w:val="00036007"/>
    <w:rsid w:val="000A74C6"/>
    <w:rsid w:val="000C0171"/>
    <w:rsid w:val="000E00DC"/>
    <w:rsid w:val="000E5AAC"/>
    <w:rsid w:val="000E6ED6"/>
    <w:rsid w:val="00101958"/>
    <w:rsid w:val="00101CB4"/>
    <w:rsid w:val="00107CB7"/>
    <w:rsid w:val="00112CBB"/>
    <w:rsid w:val="001318DC"/>
    <w:rsid w:val="00152F92"/>
    <w:rsid w:val="001530D5"/>
    <w:rsid w:val="001B02F7"/>
    <w:rsid w:val="001B4CD8"/>
    <w:rsid w:val="001C3AD3"/>
    <w:rsid w:val="001E184D"/>
    <w:rsid w:val="001E2E75"/>
    <w:rsid w:val="001E7BF1"/>
    <w:rsid w:val="00214D65"/>
    <w:rsid w:val="00225EA5"/>
    <w:rsid w:val="00226C5C"/>
    <w:rsid w:val="00240CC0"/>
    <w:rsid w:val="0024310B"/>
    <w:rsid w:val="002454BF"/>
    <w:rsid w:val="00280292"/>
    <w:rsid w:val="00285CC1"/>
    <w:rsid w:val="002B2894"/>
    <w:rsid w:val="002B68E6"/>
    <w:rsid w:val="002C0778"/>
    <w:rsid w:val="002C39EE"/>
    <w:rsid w:val="002D2F5C"/>
    <w:rsid w:val="002E7260"/>
    <w:rsid w:val="002F4934"/>
    <w:rsid w:val="00321DD2"/>
    <w:rsid w:val="00326504"/>
    <w:rsid w:val="00341F3D"/>
    <w:rsid w:val="0034455C"/>
    <w:rsid w:val="0036411D"/>
    <w:rsid w:val="003B4B99"/>
    <w:rsid w:val="003C031F"/>
    <w:rsid w:val="003D12C5"/>
    <w:rsid w:val="003E2C40"/>
    <w:rsid w:val="003E48A8"/>
    <w:rsid w:val="003E5F0D"/>
    <w:rsid w:val="003E6FE6"/>
    <w:rsid w:val="003F3E3F"/>
    <w:rsid w:val="0040067B"/>
    <w:rsid w:val="00406D5A"/>
    <w:rsid w:val="0043478C"/>
    <w:rsid w:val="0046607C"/>
    <w:rsid w:val="00492102"/>
    <w:rsid w:val="00495BE2"/>
    <w:rsid w:val="004978D4"/>
    <w:rsid w:val="004C3F7A"/>
    <w:rsid w:val="004D4F46"/>
    <w:rsid w:val="004E4EE4"/>
    <w:rsid w:val="004E5136"/>
    <w:rsid w:val="004E6E28"/>
    <w:rsid w:val="004F1B46"/>
    <w:rsid w:val="004F21D0"/>
    <w:rsid w:val="00510786"/>
    <w:rsid w:val="00522FDE"/>
    <w:rsid w:val="00523C5F"/>
    <w:rsid w:val="0053778C"/>
    <w:rsid w:val="005424C5"/>
    <w:rsid w:val="0054369E"/>
    <w:rsid w:val="005457EA"/>
    <w:rsid w:val="005479B2"/>
    <w:rsid w:val="00564655"/>
    <w:rsid w:val="005945E9"/>
    <w:rsid w:val="005B3402"/>
    <w:rsid w:val="00604C9E"/>
    <w:rsid w:val="0063209A"/>
    <w:rsid w:val="0066709A"/>
    <w:rsid w:val="00684D12"/>
    <w:rsid w:val="00687A3D"/>
    <w:rsid w:val="00691890"/>
    <w:rsid w:val="006A083A"/>
    <w:rsid w:val="006B0226"/>
    <w:rsid w:val="006B6B1E"/>
    <w:rsid w:val="006E068D"/>
    <w:rsid w:val="006F3092"/>
    <w:rsid w:val="006F583E"/>
    <w:rsid w:val="00711E6C"/>
    <w:rsid w:val="00717C8E"/>
    <w:rsid w:val="0072153F"/>
    <w:rsid w:val="007716D6"/>
    <w:rsid w:val="00795EBF"/>
    <w:rsid w:val="00796A4F"/>
    <w:rsid w:val="007A20DF"/>
    <w:rsid w:val="007C0128"/>
    <w:rsid w:val="007C5CEE"/>
    <w:rsid w:val="007D127A"/>
    <w:rsid w:val="00807816"/>
    <w:rsid w:val="0081194E"/>
    <w:rsid w:val="00817FBC"/>
    <w:rsid w:val="00840F48"/>
    <w:rsid w:val="00851E72"/>
    <w:rsid w:val="0085688C"/>
    <w:rsid w:val="008700B6"/>
    <w:rsid w:val="00876056"/>
    <w:rsid w:val="00877B52"/>
    <w:rsid w:val="008A239F"/>
    <w:rsid w:val="008A50AC"/>
    <w:rsid w:val="008C24E9"/>
    <w:rsid w:val="008C3D3D"/>
    <w:rsid w:val="008E4BDA"/>
    <w:rsid w:val="0090266D"/>
    <w:rsid w:val="00903FD1"/>
    <w:rsid w:val="00916ED0"/>
    <w:rsid w:val="00917151"/>
    <w:rsid w:val="009226C5"/>
    <w:rsid w:val="00930B00"/>
    <w:rsid w:val="00931E30"/>
    <w:rsid w:val="009431BD"/>
    <w:rsid w:val="009568E9"/>
    <w:rsid w:val="009770D5"/>
    <w:rsid w:val="00977AE2"/>
    <w:rsid w:val="00990F05"/>
    <w:rsid w:val="009E5695"/>
    <w:rsid w:val="00A12814"/>
    <w:rsid w:val="00A32C15"/>
    <w:rsid w:val="00A44263"/>
    <w:rsid w:val="00A46F04"/>
    <w:rsid w:val="00A603F5"/>
    <w:rsid w:val="00A6356B"/>
    <w:rsid w:val="00A90446"/>
    <w:rsid w:val="00A90C62"/>
    <w:rsid w:val="00A96DCB"/>
    <w:rsid w:val="00AA7CBA"/>
    <w:rsid w:val="00AC7E27"/>
    <w:rsid w:val="00AD2E8E"/>
    <w:rsid w:val="00AD453E"/>
    <w:rsid w:val="00B4525D"/>
    <w:rsid w:val="00B601D3"/>
    <w:rsid w:val="00BA55A8"/>
    <w:rsid w:val="00BC4600"/>
    <w:rsid w:val="00BD3FF8"/>
    <w:rsid w:val="00BE2682"/>
    <w:rsid w:val="00C14AEE"/>
    <w:rsid w:val="00C308D1"/>
    <w:rsid w:val="00C436BF"/>
    <w:rsid w:val="00C44245"/>
    <w:rsid w:val="00C57088"/>
    <w:rsid w:val="00C626F4"/>
    <w:rsid w:val="00C84842"/>
    <w:rsid w:val="00CB3258"/>
    <w:rsid w:val="00CD1BEB"/>
    <w:rsid w:val="00CE738C"/>
    <w:rsid w:val="00CE7B48"/>
    <w:rsid w:val="00D70E4C"/>
    <w:rsid w:val="00D90BE6"/>
    <w:rsid w:val="00D91ACA"/>
    <w:rsid w:val="00DF2F86"/>
    <w:rsid w:val="00E153E8"/>
    <w:rsid w:val="00E511DE"/>
    <w:rsid w:val="00E65907"/>
    <w:rsid w:val="00E6602E"/>
    <w:rsid w:val="00E6778E"/>
    <w:rsid w:val="00E87C0F"/>
    <w:rsid w:val="00EA0FBE"/>
    <w:rsid w:val="00EB4F71"/>
    <w:rsid w:val="00ED56D5"/>
    <w:rsid w:val="00ED7023"/>
    <w:rsid w:val="00F27B9C"/>
    <w:rsid w:val="00FC5FAC"/>
    <w:rsid w:val="00FF3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3B1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CEE"/>
    <w:pPr>
      <w:spacing w:after="200" w:line="276" w:lineRule="auto"/>
    </w:pPr>
    <w:rPr>
      <w:rFonts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226C5"/>
    <w:pPr>
      <w:spacing w:before="150" w:after="150" w:line="240" w:lineRule="auto"/>
      <w:ind w:left="675" w:right="525"/>
    </w:pPr>
    <w:rPr>
      <w:rFonts w:ascii="Times New Roman" w:hAnsi="Times New Roman" w:cs="Times New Roman"/>
      <w:sz w:val="19"/>
      <w:szCs w:val="19"/>
      <w:lang w:eastAsia="en-GB"/>
    </w:rPr>
  </w:style>
  <w:style w:type="paragraph" w:customStyle="1" w:styleId="ecxdefault">
    <w:name w:val="ecxdefault"/>
    <w:basedOn w:val="Normal"/>
    <w:uiPriority w:val="99"/>
    <w:rsid w:val="00916ED0"/>
    <w:pPr>
      <w:shd w:val="clear" w:color="auto" w:fill="FFFFFF"/>
      <w:spacing w:after="324" w:line="240" w:lineRule="auto"/>
    </w:pPr>
    <w:rPr>
      <w:rFonts w:ascii="Times New Roman" w:hAnsi="Times New Roman" w:cs="Times New Roman"/>
      <w:sz w:val="24"/>
      <w:szCs w:val="24"/>
      <w:lang w:eastAsia="en-GB"/>
    </w:rPr>
  </w:style>
  <w:style w:type="paragraph" w:customStyle="1" w:styleId="ecxmsonormal">
    <w:name w:val="ecxmsonormal"/>
    <w:basedOn w:val="Normal"/>
    <w:uiPriority w:val="99"/>
    <w:rsid w:val="00916ED0"/>
    <w:pPr>
      <w:shd w:val="clear" w:color="auto" w:fill="FFFFFF"/>
      <w:spacing w:after="324" w:line="240" w:lineRule="auto"/>
    </w:pPr>
    <w:rPr>
      <w:rFonts w:ascii="Times New Roman" w:hAnsi="Times New Roman" w:cs="Times New Roman"/>
      <w:sz w:val="24"/>
      <w:szCs w:val="24"/>
      <w:lang w:eastAsia="en-GB"/>
    </w:rPr>
  </w:style>
  <w:style w:type="paragraph" w:styleId="ListParagraph">
    <w:name w:val="List Paragraph"/>
    <w:basedOn w:val="Normal"/>
    <w:uiPriority w:val="34"/>
    <w:qFormat/>
    <w:rsid w:val="00EB4F71"/>
    <w:pPr>
      <w:ind w:left="720"/>
      <w:contextualSpacing/>
    </w:pPr>
  </w:style>
  <w:style w:type="paragraph" w:styleId="Header">
    <w:name w:val="header"/>
    <w:basedOn w:val="Normal"/>
    <w:link w:val="HeaderChar"/>
    <w:uiPriority w:val="99"/>
    <w:unhideWhenUsed/>
    <w:rsid w:val="00EB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F71"/>
    <w:rPr>
      <w:rFonts w:cs="Calibri"/>
      <w:lang w:eastAsia="en-US"/>
    </w:rPr>
  </w:style>
  <w:style w:type="paragraph" w:styleId="Footer">
    <w:name w:val="footer"/>
    <w:basedOn w:val="Normal"/>
    <w:link w:val="FooterChar"/>
    <w:uiPriority w:val="99"/>
    <w:unhideWhenUsed/>
    <w:rsid w:val="00EB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F71"/>
    <w:rPr>
      <w:rFonts w:cs="Calibri"/>
      <w:lang w:eastAsia="en-US"/>
    </w:rPr>
  </w:style>
  <w:style w:type="paragraph" w:styleId="BalloonText">
    <w:name w:val="Balloon Text"/>
    <w:basedOn w:val="Normal"/>
    <w:link w:val="BalloonTextChar"/>
    <w:uiPriority w:val="99"/>
    <w:semiHidden/>
    <w:unhideWhenUsed/>
    <w:rsid w:val="00E6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78E"/>
    <w:rPr>
      <w:rFonts w:ascii="Tahoma" w:hAnsi="Tahoma" w:cs="Tahoma"/>
      <w:sz w:val="16"/>
      <w:szCs w:val="16"/>
      <w:lang w:eastAsia="en-US"/>
    </w:rPr>
  </w:style>
  <w:style w:type="paragraph" w:styleId="FootnoteText">
    <w:name w:val="footnote text"/>
    <w:basedOn w:val="Normal"/>
    <w:link w:val="FootnoteTextChar"/>
    <w:uiPriority w:val="99"/>
    <w:semiHidden/>
    <w:unhideWhenUsed/>
    <w:rsid w:val="00C436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36BF"/>
    <w:rPr>
      <w:rFonts w:cs="Calibri"/>
      <w:sz w:val="20"/>
      <w:szCs w:val="20"/>
      <w:lang w:eastAsia="en-US"/>
    </w:rPr>
  </w:style>
  <w:style w:type="character" w:styleId="FootnoteReference">
    <w:name w:val="footnote reference"/>
    <w:basedOn w:val="DefaultParagraphFont"/>
    <w:uiPriority w:val="99"/>
    <w:semiHidden/>
    <w:unhideWhenUsed/>
    <w:rsid w:val="00C436BF"/>
    <w:rPr>
      <w:vertAlign w:val="superscript"/>
    </w:rPr>
  </w:style>
  <w:style w:type="character" w:styleId="Hyperlink">
    <w:name w:val="Hyperlink"/>
    <w:basedOn w:val="DefaultParagraphFont"/>
    <w:uiPriority w:val="99"/>
    <w:unhideWhenUsed/>
    <w:rsid w:val="00214D65"/>
    <w:rPr>
      <w:color w:val="0000FF" w:themeColor="hyperlink"/>
      <w:u w:val="single"/>
    </w:rPr>
  </w:style>
  <w:style w:type="character" w:styleId="FollowedHyperlink">
    <w:name w:val="FollowedHyperlink"/>
    <w:basedOn w:val="DefaultParagraphFont"/>
    <w:uiPriority w:val="99"/>
    <w:semiHidden/>
    <w:unhideWhenUsed/>
    <w:rsid w:val="00990F05"/>
    <w:rPr>
      <w:color w:val="800080" w:themeColor="followedHyperlink"/>
      <w:u w:val="single"/>
    </w:rPr>
  </w:style>
  <w:style w:type="character" w:styleId="CommentReference">
    <w:name w:val="annotation reference"/>
    <w:basedOn w:val="DefaultParagraphFont"/>
    <w:uiPriority w:val="99"/>
    <w:semiHidden/>
    <w:unhideWhenUsed/>
    <w:rsid w:val="00C308D1"/>
    <w:rPr>
      <w:sz w:val="16"/>
      <w:szCs w:val="16"/>
    </w:rPr>
  </w:style>
  <w:style w:type="paragraph" w:styleId="CommentText">
    <w:name w:val="annotation text"/>
    <w:basedOn w:val="Normal"/>
    <w:link w:val="CommentTextChar"/>
    <w:uiPriority w:val="99"/>
    <w:semiHidden/>
    <w:unhideWhenUsed/>
    <w:rsid w:val="00C308D1"/>
    <w:pPr>
      <w:spacing w:line="240" w:lineRule="auto"/>
    </w:pPr>
    <w:rPr>
      <w:sz w:val="20"/>
      <w:szCs w:val="20"/>
    </w:rPr>
  </w:style>
  <w:style w:type="character" w:customStyle="1" w:styleId="CommentTextChar">
    <w:name w:val="Comment Text Char"/>
    <w:basedOn w:val="DefaultParagraphFont"/>
    <w:link w:val="CommentText"/>
    <w:uiPriority w:val="99"/>
    <w:semiHidden/>
    <w:rsid w:val="00C308D1"/>
    <w:rPr>
      <w:rFonts w:cs="Calibri"/>
      <w:sz w:val="20"/>
      <w:szCs w:val="20"/>
      <w:lang w:eastAsia="en-US"/>
    </w:rPr>
  </w:style>
  <w:style w:type="paragraph" w:styleId="CommentSubject">
    <w:name w:val="annotation subject"/>
    <w:basedOn w:val="CommentText"/>
    <w:next w:val="CommentText"/>
    <w:link w:val="CommentSubjectChar"/>
    <w:uiPriority w:val="99"/>
    <w:semiHidden/>
    <w:unhideWhenUsed/>
    <w:rsid w:val="00C308D1"/>
    <w:rPr>
      <w:b/>
      <w:bCs/>
    </w:rPr>
  </w:style>
  <w:style w:type="character" w:customStyle="1" w:styleId="CommentSubjectChar">
    <w:name w:val="Comment Subject Char"/>
    <w:basedOn w:val="CommentTextChar"/>
    <w:link w:val="CommentSubject"/>
    <w:uiPriority w:val="99"/>
    <w:semiHidden/>
    <w:rsid w:val="00C308D1"/>
    <w:rPr>
      <w:rFonts w:cs="Calibri"/>
      <w:b/>
      <w:bCs/>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CEE"/>
    <w:pPr>
      <w:spacing w:after="200" w:line="276" w:lineRule="auto"/>
    </w:pPr>
    <w:rPr>
      <w:rFonts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226C5"/>
    <w:pPr>
      <w:spacing w:before="150" w:after="150" w:line="240" w:lineRule="auto"/>
      <w:ind w:left="675" w:right="525"/>
    </w:pPr>
    <w:rPr>
      <w:rFonts w:ascii="Times New Roman" w:hAnsi="Times New Roman" w:cs="Times New Roman"/>
      <w:sz w:val="19"/>
      <w:szCs w:val="19"/>
      <w:lang w:eastAsia="en-GB"/>
    </w:rPr>
  </w:style>
  <w:style w:type="paragraph" w:customStyle="1" w:styleId="ecxdefault">
    <w:name w:val="ecxdefault"/>
    <w:basedOn w:val="Normal"/>
    <w:uiPriority w:val="99"/>
    <w:rsid w:val="00916ED0"/>
    <w:pPr>
      <w:shd w:val="clear" w:color="auto" w:fill="FFFFFF"/>
      <w:spacing w:after="324" w:line="240" w:lineRule="auto"/>
    </w:pPr>
    <w:rPr>
      <w:rFonts w:ascii="Times New Roman" w:hAnsi="Times New Roman" w:cs="Times New Roman"/>
      <w:sz w:val="24"/>
      <w:szCs w:val="24"/>
      <w:lang w:eastAsia="en-GB"/>
    </w:rPr>
  </w:style>
  <w:style w:type="paragraph" w:customStyle="1" w:styleId="ecxmsonormal">
    <w:name w:val="ecxmsonormal"/>
    <w:basedOn w:val="Normal"/>
    <w:uiPriority w:val="99"/>
    <w:rsid w:val="00916ED0"/>
    <w:pPr>
      <w:shd w:val="clear" w:color="auto" w:fill="FFFFFF"/>
      <w:spacing w:after="324" w:line="240" w:lineRule="auto"/>
    </w:pPr>
    <w:rPr>
      <w:rFonts w:ascii="Times New Roman" w:hAnsi="Times New Roman" w:cs="Times New Roman"/>
      <w:sz w:val="24"/>
      <w:szCs w:val="24"/>
      <w:lang w:eastAsia="en-GB"/>
    </w:rPr>
  </w:style>
  <w:style w:type="paragraph" w:styleId="ListParagraph">
    <w:name w:val="List Paragraph"/>
    <w:basedOn w:val="Normal"/>
    <w:uiPriority w:val="34"/>
    <w:qFormat/>
    <w:rsid w:val="00EB4F71"/>
    <w:pPr>
      <w:ind w:left="720"/>
      <w:contextualSpacing/>
    </w:pPr>
  </w:style>
  <w:style w:type="paragraph" w:styleId="Header">
    <w:name w:val="header"/>
    <w:basedOn w:val="Normal"/>
    <w:link w:val="HeaderChar"/>
    <w:uiPriority w:val="99"/>
    <w:unhideWhenUsed/>
    <w:rsid w:val="00EB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F71"/>
    <w:rPr>
      <w:rFonts w:cs="Calibri"/>
      <w:lang w:eastAsia="en-US"/>
    </w:rPr>
  </w:style>
  <w:style w:type="paragraph" w:styleId="Footer">
    <w:name w:val="footer"/>
    <w:basedOn w:val="Normal"/>
    <w:link w:val="FooterChar"/>
    <w:uiPriority w:val="99"/>
    <w:unhideWhenUsed/>
    <w:rsid w:val="00EB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F71"/>
    <w:rPr>
      <w:rFonts w:cs="Calibri"/>
      <w:lang w:eastAsia="en-US"/>
    </w:rPr>
  </w:style>
  <w:style w:type="paragraph" w:styleId="BalloonText">
    <w:name w:val="Balloon Text"/>
    <w:basedOn w:val="Normal"/>
    <w:link w:val="BalloonTextChar"/>
    <w:uiPriority w:val="99"/>
    <w:semiHidden/>
    <w:unhideWhenUsed/>
    <w:rsid w:val="00E6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78E"/>
    <w:rPr>
      <w:rFonts w:ascii="Tahoma" w:hAnsi="Tahoma" w:cs="Tahoma"/>
      <w:sz w:val="16"/>
      <w:szCs w:val="16"/>
      <w:lang w:eastAsia="en-US"/>
    </w:rPr>
  </w:style>
  <w:style w:type="paragraph" w:styleId="FootnoteText">
    <w:name w:val="footnote text"/>
    <w:basedOn w:val="Normal"/>
    <w:link w:val="FootnoteTextChar"/>
    <w:uiPriority w:val="99"/>
    <w:semiHidden/>
    <w:unhideWhenUsed/>
    <w:rsid w:val="00C436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36BF"/>
    <w:rPr>
      <w:rFonts w:cs="Calibri"/>
      <w:sz w:val="20"/>
      <w:szCs w:val="20"/>
      <w:lang w:eastAsia="en-US"/>
    </w:rPr>
  </w:style>
  <w:style w:type="character" w:styleId="FootnoteReference">
    <w:name w:val="footnote reference"/>
    <w:basedOn w:val="DefaultParagraphFont"/>
    <w:uiPriority w:val="99"/>
    <w:semiHidden/>
    <w:unhideWhenUsed/>
    <w:rsid w:val="00C436BF"/>
    <w:rPr>
      <w:vertAlign w:val="superscript"/>
    </w:rPr>
  </w:style>
  <w:style w:type="character" w:styleId="Hyperlink">
    <w:name w:val="Hyperlink"/>
    <w:basedOn w:val="DefaultParagraphFont"/>
    <w:uiPriority w:val="99"/>
    <w:unhideWhenUsed/>
    <w:rsid w:val="00214D65"/>
    <w:rPr>
      <w:color w:val="0000FF" w:themeColor="hyperlink"/>
      <w:u w:val="single"/>
    </w:rPr>
  </w:style>
  <w:style w:type="character" w:styleId="FollowedHyperlink">
    <w:name w:val="FollowedHyperlink"/>
    <w:basedOn w:val="DefaultParagraphFont"/>
    <w:uiPriority w:val="99"/>
    <w:semiHidden/>
    <w:unhideWhenUsed/>
    <w:rsid w:val="00990F05"/>
    <w:rPr>
      <w:color w:val="800080" w:themeColor="followedHyperlink"/>
      <w:u w:val="single"/>
    </w:rPr>
  </w:style>
  <w:style w:type="character" w:styleId="CommentReference">
    <w:name w:val="annotation reference"/>
    <w:basedOn w:val="DefaultParagraphFont"/>
    <w:uiPriority w:val="99"/>
    <w:semiHidden/>
    <w:unhideWhenUsed/>
    <w:rsid w:val="00C308D1"/>
    <w:rPr>
      <w:sz w:val="16"/>
      <w:szCs w:val="16"/>
    </w:rPr>
  </w:style>
  <w:style w:type="paragraph" w:styleId="CommentText">
    <w:name w:val="annotation text"/>
    <w:basedOn w:val="Normal"/>
    <w:link w:val="CommentTextChar"/>
    <w:uiPriority w:val="99"/>
    <w:semiHidden/>
    <w:unhideWhenUsed/>
    <w:rsid w:val="00C308D1"/>
    <w:pPr>
      <w:spacing w:line="240" w:lineRule="auto"/>
    </w:pPr>
    <w:rPr>
      <w:sz w:val="20"/>
      <w:szCs w:val="20"/>
    </w:rPr>
  </w:style>
  <w:style w:type="character" w:customStyle="1" w:styleId="CommentTextChar">
    <w:name w:val="Comment Text Char"/>
    <w:basedOn w:val="DefaultParagraphFont"/>
    <w:link w:val="CommentText"/>
    <w:uiPriority w:val="99"/>
    <w:semiHidden/>
    <w:rsid w:val="00C308D1"/>
    <w:rPr>
      <w:rFonts w:cs="Calibri"/>
      <w:sz w:val="20"/>
      <w:szCs w:val="20"/>
      <w:lang w:eastAsia="en-US"/>
    </w:rPr>
  </w:style>
  <w:style w:type="paragraph" w:styleId="CommentSubject">
    <w:name w:val="annotation subject"/>
    <w:basedOn w:val="CommentText"/>
    <w:next w:val="CommentText"/>
    <w:link w:val="CommentSubjectChar"/>
    <w:uiPriority w:val="99"/>
    <w:semiHidden/>
    <w:unhideWhenUsed/>
    <w:rsid w:val="00C308D1"/>
    <w:rPr>
      <w:b/>
      <w:bCs/>
    </w:rPr>
  </w:style>
  <w:style w:type="character" w:customStyle="1" w:styleId="CommentSubjectChar">
    <w:name w:val="Comment Subject Char"/>
    <w:basedOn w:val="CommentTextChar"/>
    <w:link w:val="CommentSubject"/>
    <w:uiPriority w:val="99"/>
    <w:semiHidden/>
    <w:rsid w:val="00C308D1"/>
    <w:rPr>
      <w:rFonts w:cs="Calibr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672508">
      <w:bodyDiv w:val="1"/>
      <w:marLeft w:val="0"/>
      <w:marRight w:val="0"/>
      <w:marTop w:val="0"/>
      <w:marBottom w:val="0"/>
      <w:divBdr>
        <w:top w:val="none" w:sz="0" w:space="0" w:color="auto"/>
        <w:left w:val="none" w:sz="0" w:space="0" w:color="auto"/>
        <w:bottom w:val="none" w:sz="0" w:space="0" w:color="auto"/>
        <w:right w:val="none" w:sz="0" w:space="0" w:color="auto"/>
      </w:divBdr>
    </w:div>
    <w:div w:id="1640189292">
      <w:marLeft w:val="0"/>
      <w:marRight w:val="0"/>
      <w:marTop w:val="0"/>
      <w:marBottom w:val="0"/>
      <w:divBdr>
        <w:top w:val="none" w:sz="0" w:space="0" w:color="auto"/>
        <w:left w:val="none" w:sz="0" w:space="0" w:color="auto"/>
        <w:bottom w:val="none" w:sz="0" w:space="0" w:color="auto"/>
        <w:right w:val="none" w:sz="0" w:space="0" w:color="auto"/>
      </w:divBdr>
      <w:divsChild>
        <w:div w:id="1640189288">
          <w:marLeft w:val="0"/>
          <w:marRight w:val="0"/>
          <w:marTop w:val="0"/>
          <w:marBottom w:val="0"/>
          <w:divBdr>
            <w:top w:val="none" w:sz="0" w:space="0" w:color="auto"/>
            <w:left w:val="none" w:sz="0" w:space="0" w:color="auto"/>
            <w:bottom w:val="none" w:sz="0" w:space="0" w:color="auto"/>
            <w:right w:val="none" w:sz="0" w:space="0" w:color="auto"/>
          </w:divBdr>
          <w:divsChild>
            <w:div w:id="1640189282">
              <w:marLeft w:val="0"/>
              <w:marRight w:val="0"/>
              <w:marTop w:val="0"/>
              <w:marBottom w:val="0"/>
              <w:divBdr>
                <w:top w:val="none" w:sz="0" w:space="0" w:color="auto"/>
                <w:left w:val="none" w:sz="0" w:space="0" w:color="auto"/>
                <w:bottom w:val="none" w:sz="0" w:space="0" w:color="auto"/>
                <w:right w:val="none" w:sz="0" w:space="0" w:color="auto"/>
              </w:divBdr>
              <w:divsChild>
                <w:div w:id="1640189290">
                  <w:marLeft w:val="0"/>
                  <w:marRight w:val="0"/>
                  <w:marTop w:val="0"/>
                  <w:marBottom w:val="0"/>
                  <w:divBdr>
                    <w:top w:val="none" w:sz="0" w:space="0" w:color="auto"/>
                    <w:left w:val="none" w:sz="0" w:space="0" w:color="auto"/>
                    <w:bottom w:val="none" w:sz="0" w:space="0" w:color="auto"/>
                    <w:right w:val="none" w:sz="0" w:space="0" w:color="auto"/>
                  </w:divBdr>
                  <w:divsChild>
                    <w:div w:id="1640189296">
                      <w:marLeft w:val="0"/>
                      <w:marRight w:val="0"/>
                      <w:marTop w:val="0"/>
                      <w:marBottom w:val="0"/>
                      <w:divBdr>
                        <w:top w:val="none" w:sz="0" w:space="0" w:color="auto"/>
                        <w:left w:val="none" w:sz="0" w:space="0" w:color="auto"/>
                        <w:bottom w:val="none" w:sz="0" w:space="0" w:color="auto"/>
                        <w:right w:val="none" w:sz="0" w:space="0" w:color="auto"/>
                      </w:divBdr>
                      <w:divsChild>
                        <w:div w:id="1640189287">
                          <w:marLeft w:val="0"/>
                          <w:marRight w:val="0"/>
                          <w:marTop w:val="0"/>
                          <w:marBottom w:val="0"/>
                          <w:divBdr>
                            <w:top w:val="none" w:sz="0" w:space="0" w:color="auto"/>
                            <w:left w:val="none" w:sz="0" w:space="0" w:color="auto"/>
                            <w:bottom w:val="none" w:sz="0" w:space="0" w:color="auto"/>
                            <w:right w:val="none" w:sz="0" w:space="0" w:color="auto"/>
                          </w:divBdr>
                          <w:divsChild>
                            <w:div w:id="1640189283">
                              <w:marLeft w:val="0"/>
                              <w:marRight w:val="0"/>
                              <w:marTop w:val="0"/>
                              <w:marBottom w:val="0"/>
                              <w:divBdr>
                                <w:top w:val="none" w:sz="0" w:space="0" w:color="auto"/>
                                <w:left w:val="none" w:sz="0" w:space="0" w:color="auto"/>
                                <w:bottom w:val="none" w:sz="0" w:space="0" w:color="auto"/>
                                <w:right w:val="none" w:sz="0" w:space="0" w:color="auto"/>
                              </w:divBdr>
                              <w:divsChild>
                                <w:div w:id="1640189306">
                                  <w:marLeft w:val="0"/>
                                  <w:marRight w:val="0"/>
                                  <w:marTop w:val="0"/>
                                  <w:marBottom w:val="0"/>
                                  <w:divBdr>
                                    <w:top w:val="none" w:sz="0" w:space="0" w:color="auto"/>
                                    <w:left w:val="none" w:sz="0" w:space="0" w:color="auto"/>
                                    <w:bottom w:val="none" w:sz="0" w:space="0" w:color="auto"/>
                                    <w:right w:val="none" w:sz="0" w:space="0" w:color="auto"/>
                                  </w:divBdr>
                                  <w:divsChild>
                                    <w:div w:id="1640189298">
                                      <w:marLeft w:val="0"/>
                                      <w:marRight w:val="0"/>
                                      <w:marTop w:val="0"/>
                                      <w:marBottom w:val="0"/>
                                      <w:divBdr>
                                        <w:top w:val="none" w:sz="0" w:space="0" w:color="auto"/>
                                        <w:left w:val="none" w:sz="0" w:space="0" w:color="auto"/>
                                        <w:bottom w:val="none" w:sz="0" w:space="0" w:color="auto"/>
                                        <w:right w:val="none" w:sz="0" w:space="0" w:color="auto"/>
                                      </w:divBdr>
                                      <w:divsChild>
                                        <w:div w:id="1640189289">
                                          <w:marLeft w:val="0"/>
                                          <w:marRight w:val="0"/>
                                          <w:marTop w:val="0"/>
                                          <w:marBottom w:val="0"/>
                                          <w:divBdr>
                                            <w:top w:val="none" w:sz="0" w:space="0" w:color="auto"/>
                                            <w:left w:val="none" w:sz="0" w:space="0" w:color="auto"/>
                                            <w:bottom w:val="none" w:sz="0" w:space="0" w:color="auto"/>
                                            <w:right w:val="none" w:sz="0" w:space="0" w:color="auto"/>
                                          </w:divBdr>
                                          <w:divsChild>
                                            <w:div w:id="1640189295">
                                              <w:marLeft w:val="0"/>
                                              <w:marRight w:val="0"/>
                                              <w:marTop w:val="0"/>
                                              <w:marBottom w:val="0"/>
                                              <w:divBdr>
                                                <w:top w:val="none" w:sz="0" w:space="0" w:color="auto"/>
                                                <w:left w:val="none" w:sz="0" w:space="0" w:color="auto"/>
                                                <w:bottom w:val="none" w:sz="0" w:space="0" w:color="auto"/>
                                                <w:right w:val="none" w:sz="0" w:space="0" w:color="auto"/>
                                              </w:divBdr>
                                              <w:divsChild>
                                                <w:div w:id="1640189307">
                                                  <w:marLeft w:val="0"/>
                                                  <w:marRight w:val="0"/>
                                                  <w:marTop w:val="0"/>
                                                  <w:marBottom w:val="0"/>
                                                  <w:divBdr>
                                                    <w:top w:val="none" w:sz="0" w:space="0" w:color="auto"/>
                                                    <w:left w:val="none" w:sz="0" w:space="0" w:color="auto"/>
                                                    <w:bottom w:val="none" w:sz="0" w:space="0" w:color="auto"/>
                                                    <w:right w:val="none" w:sz="0" w:space="0" w:color="auto"/>
                                                  </w:divBdr>
                                                  <w:divsChild>
                                                    <w:div w:id="1640189293">
                                                      <w:marLeft w:val="0"/>
                                                      <w:marRight w:val="300"/>
                                                      <w:marTop w:val="0"/>
                                                      <w:marBottom w:val="0"/>
                                                      <w:divBdr>
                                                        <w:top w:val="none" w:sz="0" w:space="0" w:color="auto"/>
                                                        <w:left w:val="none" w:sz="0" w:space="0" w:color="auto"/>
                                                        <w:bottom w:val="none" w:sz="0" w:space="0" w:color="auto"/>
                                                        <w:right w:val="none" w:sz="0" w:space="0" w:color="auto"/>
                                                      </w:divBdr>
                                                      <w:divsChild>
                                                        <w:div w:id="1640189305">
                                                          <w:marLeft w:val="0"/>
                                                          <w:marRight w:val="300"/>
                                                          <w:marTop w:val="0"/>
                                                          <w:marBottom w:val="0"/>
                                                          <w:divBdr>
                                                            <w:top w:val="none" w:sz="0" w:space="0" w:color="auto"/>
                                                            <w:left w:val="none" w:sz="0" w:space="0" w:color="auto"/>
                                                            <w:bottom w:val="none" w:sz="0" w:space="0" w:color="auto"/>
                                                            <w:right w:val="none" w:sz="0" w:space="0" w:color="auto"/>
                                                          </w:divBdr>
                                                          <w:divsChild>
                                                            <w:div w:id="1640189302">
                                                              <w:marLeft w:val="0"/>
                                                              <w:marRight w:val="0"/>
                                                              <w:marTop w:val="0"/>
                                                              <w:marBottom w:val="0"/>
                                                              <w:divBdr>
                                                                <w:top w:val="none" w:sz="0" w:space="0" w:color="auto"/>
                                                                <w:left w:val="none" w:sz="0" w:space="0" w:color="auto"/>
                                                                <w:bottom w:val="none" w:sz="0" w:space="0" w:color="auto"/>
                                                                <w:right w:val="none" w:sz="0" w:space="0" w:color="auto"/>
                                                              </w:divBdr>
                                                              <w:divsChild>
                                                                <w:div w:id="1640189301">
                                                                  <w:marLeft w:val="0"/>
                                                                  <w:marRight w:val="0"/>
                                                                  <w:marTop w:val="0"/>
                                                                  <w:marBottom w:val="0"/>
                                                                  <w:divBdr>
                                                                    <w:top w:val="none" w:sz="0" w:space="0" w:color="auto"/>
                                                                    <w:left w:val="none" w:sz="0" w:space="0" w:color="auto"/>
                                                                    <w:bottom w:val="none" w:sz="0" w:space="0" w:color="auto"/>
                                                                    <w:right w:val="none" w:sz="0" w:space="0" w:color="auto"/>
                                                                  </w:divBdr>
                                                                  <w:divsChild>
                                                                    <w:div w:id="1640189299">
                                                                      <w:marLeft w:val="0"/>
                                                                      <w:marRight w:val="0"/>
                                                                      <w:marTop w:val="0"/>
                                                                      <w:marBottom w:val="0"/>
                                                                      <w:divBdr>
                                                                        <w:top w:val="none" w:sz="0" w:space="0" w:color="auto"/>
                                                                        <w:left w:val="none" w:sz="0" w:space="0" w:color="auto"/>
                                                                        <w:bottom w:val="none" w:sz="0" w:space="0" w:color="auto"/>
                                                                        <w:right w:val="none" w:sz="0" w:space="0" w:color="auto"/>
                                                                      </w:divBdr>
                                                                      <w:divsChild>
                                                                        <w:div w:id="1640189304">
                                                                          <w:marLeft w:val="0"/>
                                                                          <w:marRight w:val="300"/>
                                                                          <w:marTop w:val="0"/>
                                                                          <w:marBottom w:val="0"/>
                                                                          <w:divBdr>
                                                                            <w:top w:val="none" w:sz="0" w:space="0" w:color="auto"/>
                                                                            <w:left w:val="none" w:sz="0" w:space="0" w:color="auto"/>
                                                                            <w:bottom w:val="none" w:sz="0" w:space="0" w:color="auto"/>
                                                                            <w:right w:val="none" w:sz="0" w:space="0" w:color="auto"/>
                                                                          </w:divBdr>
                                                                          <w:divsChild>
                                                                            <w:div w:id="1640189294">
                                                                              <w:marLeft w:val="0"/>
                                                                              <w:marRight w:val="300"/>
                                                                              <w:marTop w:val="0"/>
                                                                              <w:marBottom w:val="0"/>
                                                                              <w:divBdr>
                                                                                <w:top w:val="none" w:sz="0" w:space="0" w:color="auto"/>
                                                                                <w:left w:val="none" w:sz="0" w:space="0" w:color="auto"/>
                                                                                <w:bottom w:val="none" w:sz="0" w:space="0" w:color="auto"/>
                                                                                <w:right w:val="none" w:sz="0" w:space="0" w:color="auto"/>
                                                                              </w:divBdr>
                                                                              <w:divsChild>
                                                                                <w:div w:id="1640189291">
                                                                                  <w:marLeft w:val="0"/>
                                                                                  <w:marRight w:val="0"/>
                                                                                  <w:marTop w:val="0"/>
                                                                                  <w:marBottom w:val="0"/>
                                                                                  <w:divBdr>
                                                                                    <w:top w:val="none" w:sz="0" w:space="0" w:color="auto"/>
                                                                                    <w:left w:val="none" w:sz="0" w:space="0" w:color="auto"/>
                                                                                    <w:bottom w:val="none" w:sz="0" w:space="0" w:color="auto"/>
                                                                                    <w:right w:val="none" w:sz="0" w:space="0" w:color="auto"/>
                                                                                  </w:divBdr>
                                                                                  <w:divsChild>
                                                                                    <w:div w:id="1640189303">
                                                                                      <w:marLeft w:val="0"/>
                                                                                      <w:marRight w:val="300"/>
                                                                                      <w:marTop w:val="0"/>
                                                                                      <w:marBottom w:val="0"/>
                                                                                      <w:divBdr>
                                                                                        <w:top w:val="none" w:sz="0" w:space="0" w:color="auto"/>
                                                                                        <w:left w:val="none" w:sz="0" w:space="0" w:color="auto"/>
                                                                                        <w:bottom w:val="none" w:sz="0" w:space="0" w:color="auto"/>
                                                                                        <w:right w:val="none" w:sz="0" w:space="0" w:color="auto"/>
                                                                                      </w:divBdr>
                                                                                      <w:divsChild>
                                                                                        <w:div w:id="1640189286">
                                                                                          <w:marLeft w:val="0"/>
                                                                                          <w:marRight w:val="300"/>
                                                                                          <w:marTop w:val="0"/>
                                                                                          <w:marBottom w:val="0"/>
                                                                                          <w:divBdr>
                                                                                            <w:top w:val="none" w:sz="0" w:space="0" w:color="auto"/>
                                                                                            <w:left w:val="none" w:sz="0" w:space="0" w:color="auto"/>
                                                                                            <w:bottom w:val="none" w:sz="0" w:space="0" w:color="auto"/>
                                                                                            <w:right w:val="none" w:sz="0" w:space="0" w:color="auto"/>
                                                                                          </w:divBdr>
                                                                                          <w:divsChild>
                                                                                            <w:div w:id="16401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0189297">
      <w:marLeft w:val="0"/>
      <w:marRight w:val="0"/>
      <w:marTop w:val="0"/>
      <w:marBottom w:val="0"/>
      <w:divBdr>
        <w:top w:val="none" w:sz="0" w:space="0" w:color="auto"/>
        <w:left w:val="none" w:sz="0" w:space="0" w:color="auto"/>
        <w:bottom w:val="none" w:sz="0" w:space="0" w:color="auto"/>
        <w:right w:val="none" w:sz="0" w:space="0" w:color="auto"/>
      </w:divBdr>
      <w:divsChild>
        <w:div w:id="1640189285">
          <w:marLeft w:val="3"/>
          <w:marRight w:val="3"/>
          <w:marTop w:val="0"/>
          <w:marBottom w:val="0"/>
          <w:divBdr>
            <w:top w:val="single" w:sz="6" w:space="0" w:color="112449"/>
            <w:left w:val="single" w:sz="6" w:space="0" w:color="112449"/>
            <w:bottom w:val="single" w:sz="6" w:space="0" w:color="112449"/>
            <w:right w:val="single" w:sz="6" w:space="0" w:color="112449"/>
          </w:divBdr>
          <w:divsChild>
            <w:div w:id="1640189300">
              <w:marLeft w:val="3"/>
              <w:marRight w:val="3"/>
              <w:marTop w:val="0"/>
              <w:marBottom w:val="0"/>
              <w:divBdr>
                <w:top w:val="single" w:sz="6" w:space="0" w:color="112449"/>
                <w:left w:val="single" w:sz="6" w:space="0" w:color="112449"/>
                <w:bottom w:val="single" w:sz="6" w:space="0" w:color="112449"/>
                <w:right w:val="single" w:sz="6" w:space="0" w:color="112449"/>
              </w:divBdr>
              <w:divsChild>
                <w:div w:id="1640189284">
                  <w:marLeft w:val="3"/>
                  <w:marRight w:val="3"/>
                  <w:marTop w:val="0"/>
                  <w:marBottom w:val="0"/>
                  <w:divBdr>
                    <w:top w:val="single" w:sz="6" w:space="0" w:color="112449"/>
                    <w:left w:val="single" w:sz="6" w:space="0" w:color="112449"/>
                    <w:bottom w:val="single" w:sz="6" w:space="0" w:color="112449"/>
                    <w:right w:val="single" w:sz="6" w:space="0" w:color="112449"/>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berec.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33EE1-95FA-48AB-9A19-CC834A3B1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1219</Words>
  <Characters>6860</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LEGISLATION AND DOCUMENTS</vt:lpstr>
    </vt:vector>
  </TitlesOfParts>
  <Company>Flex</Company>
  <LinksUpToDate>false</LinksUpToDate>
  <CharactersWithSpaces>8063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LEGISLATION AND DOCUMENTS</dc:title>
  <dc:creator>Saunders, Les - Cabinet Office [Restricted]</dc:creator>
  <cp:lastModifiedBy>Lawrence, Ellen - Cabinet Office [Restricted]</cp:lastModifiedBy>
  <cp:revision>2</cp:revision>
  <cp:lastPrinted>2013-09-30T10:01:00Z</cp:lastPrinted>
  <dcterms:created xsi:type="dcterms:W3CDTF">2013-10-09T11:21:00Z</dcterms:created>
  <dcterms:modified xsi:type="dcterms:W3CDTF">2013-10-09T11:21:00Z</dcterms:modified>
</cp:coreProperties>
</file>