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532" w:rsidRPr="00D64DC9" w:rsidRDefault="005D55A5">
      <w:pPr>
        <w:jc w:val="right"/>
        <w:rPr>
          <w:rFonts w:ascii="Arial" w:hAnsi="Arial" w:cs="Arial"/>
          <w:b/>
        </w:rPr>
      </w:pPr>
      <w:bookmarkStart w:id="0" w:name="_GoBack"/>
      <w:bookmarkEnd w:id="0"/>
      <w:r>
        <w:rPr>
          <w:rFonts w:ascii="Arial" w:hAnsi="Arial" w:cs="Arial"/>
          <w:b/>
        </w:rPr>
        <w:t>14289/13</w:t>
      </w:r>
      <w:r w:rsidR="00310532" w:rsidRPr="00D64DC9">
        <w:rPr>
          <w:rFonts w:ascii="Arial" w:hAnsi="Arial" w:cs="Arial"/>
          <w:b/>
        </w:rPr>
        <w:t xml:space="preserve"> and ADD1</w:t>
      </w:r>
      <w:r w:rsidR="008622BE" w:rsidRPr="00D64DC9">
        <w:rPr>
          <w:rFonts w:ascii="Arial" w:hAnsi="Arial" w:cs="Arial"/>
          <w:b/>
        </w:rPr>
        <w:t>+2</w:t>
      </w:r>
    </w:p>
    <w:p w:rsidR="008A5C05" w:rsidRDefault="00310532">
      <w:pPr>
        <w:jc w:val="right"/>
        <w:rPr>
          <w:rFonts w:ascii="Arial" w:hAnsi="Arial" w:cs="Arial"/>
          <w:b/>
        </w:rPr>
      </w:pPr>
      <w:r w:rsidRPr="00D64DC9">
        <w:rPr>
          <w:rFonts w:ascii="Arial" w:hAnsi="Arial" w:cs="Arial"/>
          <w:b/>
        </w:rPr>
        <w:t>COM</w:t>
      </w:r>
      <w:r w:rsidR="005D55A5">
        <w:rPr>
          <w:rFonts w:ascii="Arial" w:hAnsi="Arial" w:cs="Arial"/>
          <w:b/>
        </w:rPr>
        <w:t xml:space="preserve"> (2013) 668</w:t>
      </w:r>
      <w:r w:rsidR="008622BE" w:rsidRPr="00D64DC9">
        <w:rPr>
          <w:rFonts w:ascii="Arial" w:hAnsi="Arial" w:cs="Arial"/>
          <w:b/>
        </w:rPr>
        <w:t xml:space="preserve"> final, </w:t>
      </w:r>
    </w:p>
    <w:p w:rsidR="008A5C05" w:rsidRDefault="005D55A5">
      <w:pPr>
        <w:jc w:val="right"/>
        <w:rPr>
          <w:rFonts w:ascii="Arial" w:hAnsi="Arial" w:cs="Arial"/>
          <w:b/>
        </w:rPr>
      </w:pPr>
      <w:r>
        <w:rPr>
          <w:rFonts w:ascii="Arial" w:hAnsi="Arial" w:cs="Arial"/>
          <w:b/>
        </w:rPr>
        <w:t>SWD (2013) 348</w:t>
      </w:r>
      <w:r w:rsidR="008622BE" w:rsidRPr="00D64DC9">
        <w:rPr>
          <w:rFonts w:ascii="Arial" w:hAnsi="Arial" w:cs="Arial"/>
          <w:b/>
        </w:rPr>
        <w:t xml:space="preserve"> </w:t>
      </w:r>
    </w:p>
    <w:p w:rsidR="00310532" w:rsidRPr="00D64DC9" w:rsidRDefault="005D55A5">
      <w:pPr>
        <w:jc w:val="right"/>
        <w:rPr>
          <w:b/>
        </w:rPr>
      </w:pPr>
      <w:r>
        <w:rPr>
          <w:rFonts w:ascii="Arial" w:hAnsi="Arial" w:cs="Arial"/>
          <w:b/>
        </w:rPr>
        <w:t>SWD (2013</w:t>
      </w:r>
      <w:r w:rsidR="008A5C05">
        <w:rPr>
          <w:rFonts w:ascii="Arial" w:hAnsi="Arial" w:cs="Arial"/>
          <w:b/>
        </w:rPr>
        <w:t xml:space="preserve">) </w:t>
      </w:r>
      <w:r>
        <w:rPr>
          <w:rFonts w:ascii="Arial" w:hAnsi="Arial" w:cs="Arial"/>
          <w:b/>
        </w:rPr>
        <w:t>349</w:t>
      </w:r>
    </w:p>
    <w:p w:rsidR="00310532" w:rsidRPr="00D64DC9" w:rsidRDefault="00310532">
      <w:pPr>
        <w:ind w:firstLine="720"/>
        <w:jc w:val="right"/>
      </w:pPr>
    </w:p>
    <w:p w:rsidR="00310532" w:rsidRPr="00D64DC9" w:rsidRDefault="00310532" w:rsidP="008A5C05">
      <w:pPr>
        <w:pStyle w:val="Heading1"/>
        <w:jc w:val="left"/>
      </w:pPr>
      <w:r w:rsidRPr="00D64DC9">
        <w:t xml:space="preserve">EXPLANATORY MEMORANDUM ON EUROPEAN </w:t>
      </w:r>
      <w:r w:rsidR="008622BE" w:rsidRPr="00D64DC9">
        <w:t>UNION</w:t>
      </w:r>
      <w:r w:rsidRPr="00D64DC9">
        <w:t xml:space="preserve"> DOCUMENT</w:t>
      </w:r>
      <w:r w:rsidR="008A5C05">
        <w:t>S</w:t>
      </w:r>
    </w:p>
    <w:p w:rsidR="00310532" w:rsidRPr="00D64DC9" w:rsidRDefault="00310532">
      <w:pPr>
        <w:autoSpaceDE w:val="0"/>
        <w:autoSpaceDN w:val="0"/>
        <w:adjustRightInd w:val="0"/>
        <w:rPr>
          <w:rFonts w:ascii="Arial" w:hAnsi="Arial" w:cs="Arial"/>
        </w:rPr>
      </w:pPr>
    </w:p>
    <w:p w:rsidR="00310532" w:rsidRPr="00D64DC9" w:rsidRDefault="008622BE" w:rsidP="008A5C05">
      <w:pPr>
        <w:autoSpaceDE w:val="0"/>
        <w:autoSpaceDN w:val="0"/>
        <w:adjustRightInd w:val="0"/>
        <w:jc w:val="both"/>
        <w:rPr>
          <w:rFonts w:ascii="Arial" w:hAnsi="Arial" w:cs="Arial"/>
          <w:b/>
          <w:bCs/>
        </w:rPr>
      </w:pPr>
      <w:r w:rsidRPr="00D64DC9">
        <w:rPr>
          <w:rFonts w:ascii="Arial" w:hAnsi="Arial" w:cs="Arial"/>
          <w:b/>
          <w:bCs/>
        </w:rPr>
        <w:t>REPORT FROM THE COMMISSION</w:t>
      </w:r>
      <w:r w:rsidR="00310532" w:rsidRPr="00D64DC9">
        <w:rPr>
          <w:rFonts w:ascii="Arial" w:hAnsi="Arial" w:cs="Arial"/>
          <w:b/>
          <w:bCs/>
        </w:rPr>
        <w:t xml:space="preserve"> </w:t>
      </w:r>
      <w:r w:rsidRPr="00D64DC9">
        <w:rPr>
          <w:rFonts w:ascii="Arial" w:hAnsi="Arial" w:cs="Arial"/>
          <w:b/>
          <w:bCs/>
        </w:rPr>
        <w:t>TO THE EUROPEAN PARLIAMENT AND THE COUNCIL ON THE FOLLOW-UP</w:t>
      </w:r>
      <w:r w:rsidR="00310532" w:rsidRPr="00D64DC9">
        <w:rPr>
          <w:rFonts w:ascii="Arial" w:hAnsi="Arial" w:cs="Arial"/>
          <w:b/>
          <w:bCs/>
        </w:rPr>
        <w:t xml:space="preserve"> </w:t>
      </w:r>
      <w:r w:rsidR="005D55A5">
        <w:rPr>
          <w:rFonts w:ascii="Arial" w:hAnsi="Arial" w:cs="Arial"/>
          <w:b/>
          <w:bCs/>
        </w:rPr>
        <w:t>TO THE DISCHARGE FOR THE 2011</w:t>
      </w:r>
      <w:r w:rsidRPr="00D64DC9">
        <w:rPr>
          <w:rFonts w:ascii="Arial" w:hAnsi="Arial" w:cs="Arial"/>
          <w:b/>
          <w:bCs/>
        </w:rPr>
        <w:t xml:space="preserve"> FINANCIAL YEAR (SUMMARY)</w:t>
      </w:r>
      <w:r w:rsidR="00310532" w:rsidRPr="00D64DC9">
        <w:rPr>
          <w:rFonts w:ascii="Arial" w:hAnsi="Arial" w:cs="Arial"/>
          <w:b/>
          <w:bCs/>
        </w:rPr>
        <w:t xml:space="preserve"> </w:t>
      </w:r>
    </w:p>
    <w:p w:rsidR="005D55A5" w:rsidRDefault="005D55A5" w:rsidP="005D55A5">
      <w:pPr>
        <w:autoSpaceDE w:val="0"/>
        <w:autoSpaceDN w:val="0"/>
        <w:adjustRightInd w:val="0"/>
        <w:jc w:val="both"/>
        <w:rPr>
          <w:rFonts w:ascii="Arial" w:hAnsi="Arial" w:cs="Arial"/>
          <w:b/>
          <w:lang w:eastAsia="en-GB"/>
        </w:rPr>
      </w:pPr>
    </w:p>
    <w:p w:rsidR="005D55A5" w:rsidRPr="00D64DC9" w:rsidRDefault="005D55A5" w:rsidP="005D55A5">
      <w:pPr>
        <w:autoSpaceDE w:val="0"/>
        <w:autoSpaceDN w:val="0"/>
        <w:adjustRightInd w:val="0"/>
        <w:jc w:val="both"/>
        <w:rPr>
          <w:rFonts w:ascii="Arial" w:hAnsi="Arial" w:cs="Arial"/>
          <w:b/>
          <w:bCs/>
        </w:rPr>
      </w:pPr>
      <w:r w:rsidRPr="00D64DC9">
        <w:rPr>
          <w:rFonts w:ascii="Arial" w:hAnsi="Arial" w:cs="Arial"/>
          <w:b/>
          <w:lang w:eastAsia="en-GB"/>
        </w:rPr>
        <w:t xml:space="preserve">COMMISSION STAFF WORKING </w:t>
      </w:r>
      <w:r>
        <w:rPr>
          <w:rFonts w:ascii="Arial" w:hAnsi="Arial" w:cs="Arial"/>
          <w:b/>
          <w:lang w:eastAsia="en-GB"/>
        </w:rPr>
        <w:t xml:space="preserve">DOCUMENT </w:t>
      </w:r>
      <w:r w:rsidRPr="00D64DC9">
        <w:rPr>
          <w:rFonts w:ascii="Arial" w:hAnsi="Arial" w:cs="Arial"/>
          <w:b/>
          <w:lang w:eastAsia="en-GB"/>
        </w:rPr>
        <w:t xml:space="preserve">ACCOMPANYING THE DOCUMENT REPORT </w:t>
      </w:r>
      <w:r w:rsidRPr="00D64DC9">
        <w:rPr>
          <w:rFonts w:ascii="Arial" w:hAnsi="Arial" w:cs="Arial"/>
          <w:b/>
          <w:bCs/>
        </w:rPr>
        <w:t xml:space="preserve">FROM THE COMMISSION TO THE EUROPEAN PARLIAMENT AND </w:t>
      </w:r>
      <w:r>
        <w:rPr>
          <w:rFonts w:ascii="Arial" w:hAnsi="Arial" w:cs="Arial"/>
          <w:b/>
          <w:bCs/>
        </w:rPr>
        <w:t xml:space="preserve">TO </w:t>
      </w:r>
      <w:r w:rsidRPr="00D64DC9">
        <w:rPr>
          <w:rFonts w:ascii="Arial" w:hAnsi="Arial" w:cs="Arial"/>
          <w:b/>
          <w:bCs/>
        </w:rPr>
        <w:t xml:space="preserve">THE COUNCIL </w:t>
      </w:r>
      <w:r>
        <w:rPr>
          <w:rFonts w:ascii="Arial" w:hAnsi="Arial" w:cs="Arial"/>
          <w:b/>
          <w:bCs/>
        </w:rPr>
        <w:t>ON THE FOLLOW-UP TO 2011</w:t>
      </w:r>
      <w:r w:rsidR="00F51652">
        <w:rPr>
          <w:rFonts w:ascii="Arial" w:hAnsi="Arial" w:cs="Arial"/>
          <w:b/>
          <w:bCs/>
        </w:rPr>
        <w:t xml:space="preserve"> DISCHARGE -</w:t>
      </w:r>
      <w:r w:rsidRPr="00D64DC9">
        <w:rPr>
          <w:rFonts w:ascii="Arial" w:hAnsi="Arial" w:cs="Arial"/>
          <w:b/>
          <w:bCs/>
        </w:rPr>
        <w:t xml:space="preserve"> REPLIES TO REQUESTS FROM THE EUROPEAN PARLIAMENT</w:t>
      </w:r>
    </w:p>
    <w:p w:rsidR="005D55A5" w:rsidRDefault="005D55A5" w:rsidP="008A5C05">
      <w:pPr>
        <w:autoSpaceDE w:val="0"/>
        <w:autoSpaceDN w:val="0"/>
        <w:adjustRightInd w:val="0"/>
        <w:jc w:val="both"/>
        <w:rPr>
          <w:rFonts w:ascii="Arial" w:hAnsi="Arial" w:cs="Arial"/>
          <w:b/>
          <w:lang w:eastAsia="en-GB"/>
        </w:rPr>
      </w:pPr>
    </w:p>
    <w:p w:rsidR="008622BE" w:rsidRPr="00D64DC9" w:rsidRDefault="008622BE" w:rsidP="008A5C05">
      <w:pPr>
        <w:autoSpaceDE w:val="0"/>
        <w:autoSpaceDN w:val="0"/>
        <w:adjustRightInd w:val="0"/>
        <w:jc w:val="both"/>
        <w:rPr>
          <w:rFonts w:ascii="Arial" w:hAnsi="Arial" w:cs="Arial"/>
          <w:b/>
          <w:bCs/>
        </w:rPr>
      </w:pPr>
      <w:r w:rsidRPr="00D64DC9">
        <w:rPr>
          <w:rFonts w:ascii="Arial" w:hAnsi="Arial" w:cs="Arial"/>
          <w:b/>
          <w:lang w:eastAsia="en-GB"/>
        </w:rPr>
        <w:t xml:space="preserve">COMMISSION STAFF WORKING </w:t>
      </w:r>
      <w:r w:rsidR="005D55A5">
        <w:rPr>
          <w:rFonts w:ascii="Arial" w:hAnsi="Arial" w:cs="Arial"/>
          <w:b/>
          <w:lang w:eastAsia="en-GB"/>
        </w:rPr>
        <w:t>DOCUMENT -</w:t>
      </w:r>
      <w:r w:rsidRPr="00D64DC9">
        <w:rPr>
          <w:rFonts w:ascii="Arial" w:hAnsi="Arial" w:cs="Arial"/>
          <w:b/>
          <w:lang w:eastAsia="en-GB"/>
        </w:rPr>
        <w:t xml:space="preserve"> ACCOMPANYING THE DOCUMENT REPORT </w:t>
      </w:r>
      <w:r w:rsidRPr="00D64DC9">
        <w:rPr>
          <w:rFonts w:ascii="Arial" w:hAnsi="Arial" w:cs="Arial"/>
          <w:b/>
          <w:bCs/>
        </w:rPr>
        <w:t>FROM THE COMMIS</w:t>
      </w:r>
      <w:r w:rsidR="00A27D29" w:rsidRPr="00D64DC9">
        <w:rPr>
          <w:rFonts w:ascii="Arial" w:hAnsi="Arial" w:cs="Arial"/>
          <w:b/>
          <w:bCs/>
        </w:rPr>
        <w:t xml:space="preserve">SION TO THE EUROPEAN PARLIAMENT </w:t>
      </w:r>
      <w:r w:rsidRPr="00D64DC9">
        <w:rPr>
          <w:rFonts w:ascii="Arial" w:hAnsi="Arial" w:cs="Arial"/>
          <w:b/>
          <w:bCs/>
        </w:rPr>
        <w:t xml:space="preserve">AND </w:t>
      </w:r>
      <w:r w:rsidR="005D55A5">
        <w:rPr>
          <w:rFonts w:ascii="Arial" w:hAnsi="Arial" w:cs="Arial"/>
          <w:b/>
          <w:bCs/>
        </w:rPr>
        <w:t xml:space="preserve">TO </w:t>
      </w:r>
      <w:r w:rsidRPr="00D64DC9">
        <w:rPr>
          <w:rFonts w:ascii="Arial" w:hAnsi="Arial" w:cs="Arial"/>
          <w:b/>
          <w:bCs/>
        </w:rPr>
        <w:t xml:space="preserve">THE COUNCIL ON THE FOLLOW-UP TO </w:t>
      </w:r>
      <w:r w:rsidR="005D55A5">
        <w:rPr>
          <w:rFonts w:ascii="Arial" w:hAnsi="Arial" w:cs="Arial"/>
          <w:b/>
          <w:bCs/>
        </w:rPr>
        <w:t>2011</w:t>
      </w:r>
      <w:r w:rsidR="00F47DBA" w:rsidRPr="00D64DC9">
        <w:rPr>
          <w:rFonts w:ascii="Arial" w:hAnsi="Arial" w:cs="Arial"/>
          <w:b/>
          <w:bCs/>
        </w:rPr>
        <w:t xml:space="preserve"> </w:t>
      </w:r>
      <w:r w:rsidRPr="00D64DC9">
        <w:rPr>
          <w:rFonts w:ascii="Arial" w:hAnsi="Arial" w:cs="Arial"/>
          <w:b/>
          <w:bCs/>
        </w:rPr>
        <w:t xml:space="preserve">DISCHARGE </w:t>
      </w:r>
      <w:r w:rsidR="00EC770B">
        <w:rPr>
          <w:rFonts w:ascii="Arial" w:hAnsi="Arial" w:cs="Arial"/>
          <w:b/>
          <w:bCs/>
        </w:rPr>
        <w:t>-</w:t>
      </w:r>
      <w:r w:rsidR="00F47DBA" w:rsidRPr="00D64DC9">
        <w:rPr>
          <w:rFonts w:ascii="Arial" w:hAnsi="Arial" w:cs="Arial"/>
          <w:b/>
          <w:bCs/>
        </w:rPr>
        <w:t xml:space="preserve"> REPLIES TO REQUESTS FROM THE COUNCIL</w:t>
      </w:r>
    </w:p>
    <w:p w:rsidR="00F47DBA" w:rsidRPr="00D64DC9" w:rsidRDefault="00F47DBA" w:rsidP="00F47DBA">
      <w:pPr>
        <w:pStyle w:val="ListParagraph"/>
        <w:ind w:left="0"/>
        <w:rPr>
          <w:rFonts w:ascii="Arial" w:hAnsi="Arial" w:cs="Arial"/>
          <w:b/>
          <w:bCs/>
        </w:rPr>
      </w:pPr>
    </w:p>
    <w:p w:rsidR="00F47DBA" w:rsidRPr="00D64DC9" w:rsidRDefault="00F47DBA" w:rsidP="00F47DBA">
      <w:pPr>
        <w:autoSpaceDE w:val="0"/>
        <w:autoSpaceDN w:val="0"/>
        <w:adjustRightInd w:val="0"/>
        <w:ind w:left="720"/>
        <w:jc w:val="both"/>
        <w:rPr>
          <w:rFonts w:ascii="Arial" w:hAnsi="Arial" w:cs="Arial"/>
          <w:b/>
          <w:bCs/>
        </w:rPr>
      </w:pPr>
    </w:p>
    <w:p w:rsidR="00310532" w:rsidRPr="00D64DC9" w:rsidRDefault="00310532">
      <w:pPr>
        <w:autoSpaceDE w:val="0"/>
        <w:autoSpaceDN w:val="0"/>
        <w:adjustRightInd w:val="0"/>
        <w:jc w:val="both"/>
        <w:rPr>
          <w:rFonts w:ascii="Arial" w:hAnsi="Arial" w:cs="Arial"/>
        </w:rPr>
      </w:pPr>
      <w:r w:rsidRPr="00D64DC9">
        <w:rPr>
          <w:rFonts w:ascii="Arial" w:hAnsi="Arial" w:cs="Arial"/>
        </w:rPr>
        <w:t>Submitted by HM Treasury</w:t>
      </w:r>
      <w:r w:rsidRPr="00D64DC9">
        <w:rPr>
          <w:rFonts w:ascii="Arial" w:hAnsi="Arial" w:cs="Arial"/>
        </w:rPr>
        <w:tab/>
      </w:r>
    </w:p>
    <w:p w:rsidR="00310532" w:rsidRPr="00D64DC9" w:rsidRDefault="005D55A5">
      <w:pPr>
        <w:pStyle w:val="Heading3"/>
        <w:rPr>
          <w:b w:val="0"/>
          <w:bCs w:val="0"/>
        </w:rPr>
      </w:pPr>
      <w:r>
        <w:rPr>
          <w:b w:val="0"/>
          <w:bCs w:val="0"/>
        </w:rPr>
        <w:t>October 2013</w:t>
      </w:r>
    </w:p>
    <w:p w:rsidR="00310532" w:rsidRPr="00D64DC9" w:rsidRDefault="00310532">
      <w:pPr>
        <w:autoSpaceDE w:val="0"/>
        <w:autoSpaceDN w:val="0"/>
        <w:adjustRightInd w:val="0"/>
        <w:jc w:val="both"/>
        <w:rPr>
          <w:rFonts w:ascii="Arial" w:hAnsi="Arial" w:cs="Arial"/>
        </w:rPr>
      </w:pPr>
    </w:p>
    <w:p w:rsidR="00310532" w:rsidRPr="00D64DC9" w:rsidRDefault="00310532">
      <w:pPr>
        <w:pStyle w:val="Heading2"/>
        <w:jc w:val="both"/>
      </w:pPr>
      <w:r w:rsidRPr="00D64DC9">
        <w:t>SUBJECT MATTER</w:t>
      </w:r>
    </w:p>
    <w:p w:rsidR="00310532" w:rsidRPr="00D64DC9" w:rsidRDefault="00310532">
      <w:pPr>
        <w:jc w:val="both"/>
        <w:rPr>
          <w:rFonts w:ascii="Arial" w:hAnsi="Arial" w:cs="Arial"/>
        </w:rPr>
      </w:pPr>
    </w:p>
    <w:p w:rsidR="00FA73C1" w:rsidRPr="00FA73C1" w:rsidRDefault="00FA73C1" w:rsidP="00AE0E30">
      <w:pPr>
        <w:numPr>
          <w:ilvl w:val="0"/>
          <w:numId w:val="3"/>
        </w:numPr>
        <w:jc w:val="both"/>
        <w:rPr>
          <w:rFonts w:ascii="Arial" w:hAnsi="Arial" w:cs="Arial"/>
          <w:b/>
          <w:bCs/>
          <w:u w:val="single"/>
        </w:rPr>
      </w:pPr>
      <w:r w:rsidRPr="00FA73C1">
        <w:rPr>
          <w:rFonts w:ascii="Arial" w:hAnsi="Arial" w:cs="Arial"/>
        </w:rPr>
        <w:t>This is the Commission's report to the European Parliament (EP) and the Council on the follow-up to the EP discharge resolutions and the Council Recommendation for the 2011 financial year</w:t>
      </w:r>
      <w:r w:rsidR="008D6155">
        <w:rPr>
          <w:rFonts w:ascii="Arial" w:hAnsi="Arial" w:cs="Arial"/>
        </w:rPr>
        <w:t>,</w:t>
      </w:r>
      <w:r w:rsidR="00AE0E30" w:rsidRPr="00AE0E30">
        <w:rPr>
          <w:rFonts w:ascii="Arial" w:hAnsi="Arial" w:cs="Arial"/>
        </w:rPr>
        <w:t xml:space="preserve"> issued</w:t>
      </w:r>
      <w:r w:rsidR="008D6155">
        <w:rPr>
          <w:rFonts w:ascii="Arial" w:hAnsi="Arial" w:cs="Arial"/>
        </w:rPr>
        <w:t xml:space="preserve"> in accordance with Article 319</w:t>
      </w:r>
      <w:r w:rsidR="00AE0E30" w:rsidRPr="00AE0E30">
        <w:rPr>
          <w:rFonts w:ascii="Arial" w:hAnsi="Arial" w:cs="Arial"/>
        </w:rPr>
        <w:t>(3) on the Treaty of the Functioning of the European Union (TFEU), Article 166 of the Financial Regulation (FR)</w:t>
      </w:r>
      <w:r>
        <w:rPr>
          <w:rFonts w:ascii="Arial" w:hAnsi="Arial" w:cs="Arial"/>
        </w:rPr>
        <w:t>,</w:t>
      </w:r>
      <w:r w:rsidR="00AE0E30" w:rsidRPr="00AE0E30">
        <w:rPr>
          <w:rFonts w:ascii="Arial" w:hAnsi="Arial" w:cs="Arial"/>
        </w:rPr>
        <w:t xml:space="preserve"> and Article 119(5) of the </w:t>
      </w:r>
      <w:r w:rsidR="00AE0E30" w:rsidRPr="00AE0E30">
        <w:rPr>
          <w:rFonts w:ascii="Arial" w:hAnsi="Arial" w:cs="Arial"/>
          <w:lang w:eastAsia="en-GB"/>
        </w:rPr>
        <w:t xml:space="preserve">European Development Funds (EDF) Financial Regulation. </w:t>
      </w:r>
      <w:r w:rsidR="00AE0E30" w:rsidRPr="00AE0E30">
        <w:rPr>
          <w:rFonts w:ascii="Arial" w:hAnsi="Arial" w:cs="Arial"/>
        </w:rPr>
        <w:t xml:space="preserve"> </w:t>
      </w:r>
    </w:p>
    <w:p w:rsidR="00FA73C1" w:rsidRPr="00FA73C1" w:rsidRDefault="00FA73C1" w:rsidP="00FA73C1">
      <w:pPr>
        <w:ind w:left="360"/>
        <w:jc w:val="both"/>
        <w:rPr>
          <w:rFonts w:ascii="Arial" w:hAnsi="Arial" w:cs="Arial"/>
          <w:b/>
          <w:bCs/>
          <w:u w:val="single"/>
        </w:rPr>
      </w:pPr>
    </w:p>
    <w:p w:rsidR="00FE4A7E" w:rsidRPr="00FA73C1" w:rsidRDefault="00940C65" w:rsidP="00FA73C1">
      <w:pPr>
        <w:numPr>
          <w:ilvl w:val="0"/>
          <w:numId w:val="3"/>
        </w:numPr>
        <w:jc w:val="both"/>
        <w:rPr>
          <w:rFonts w:ascii="Arial" w:hAnsi="Arial" w:cs="Arial"/>
          <w:b/>
          <w:bCs/>
          <w:u w:val="single"/>
        </w:rPr>
      </w:pPr>
      <w:r w:rsidRPr="00AE0E30">
        <w:rPr>
          <w:rFonts w:ascii="Arial" w:hAnsi="Arial" w:cs="Arial"/>
          <w:lang w:eastAsia="en-GB"/>
        </w:rPr>
        <w:t>T</w:t>
      </w:r>
      <w:r w:rsidR="00AE0E30" w:rsidRPr="00AE0E30">
        <w:rPr>
          <w:rFonts w:ascii="Arial" w:hAnsi="Arial" w:cs="Arial"/>
        </w:rPr>
        <w:t>he</w:t>
      </w:r>
      <w:r w:rsidRPr="00AE0E30">
        <w:rPr>
          <w:rFonts w:ascii="Arial" w:hAnsi="Arial" w:cs="Arial"/>
        </w:rPr>
        <w:t xml:space="preserve"> </w:t>
      </w:r>
      <w:r w:rsidR="00AE0E30" w:rsidRPr="00AE0E30">
        <w:rPr>
          <w:rFonts w:ascii="Arial" w:hAnsi="Arial" w:cs="Arial"/>
        </w:rPr>
        <w:t xml:space="preserve">report </w:t>
      </w:r>
      <w:r w:rsidR="00BA0894" w:rsidRPr="00AE0E30">
        <w:rPr>
          <w:rFonts w:ascii="Arial" w:hAnsi="Arial" w:cs="Arial"/>
        </w:rPr>
        <w:t xml:space="preserve">sets out </w:t>
      </w:r>
      <w:r w:rsidR="00310532" w:rsidRPr="00AE0E30">
        <w:rPr>
          <w:rFonts w:ascii="Arial" w:hAnsi="Arial" w:cs="Arial"/>
        </w:rPr>
        <w:t>the action</w:t>
      </w:r>
      <w:r w:rsidR="00BA0894" w:rsidRPr="00AE0E30">
        <w:rPr>
          <w:rFonts w:ascii="Arial" w:hAnsi="Arial" w:cs="Arial"/>
        </w:rPr>
        <w:t>s</w:t>
      </w:r>
      <w:r w:rsidR="00AE0E30" w:rsidRPr="00AE0E30">
        <w:rPr>
          <w:rFonts w:ascii="Arial" w:hAnsi="Arial" w:cs="Arial"/>
        </w:rPr>
        <w:t xml:space="preserve"> the Commission has </w:t>
      </w:r>
      <w:r w:rsidR="00310532" w:rsidRPr="00AE0E30">
        <w:rPr>
          <w:rFonts w:ascii="Arial" w:hAnsi="Arial" w:cs="Arial"/>
        </w:rPr>
        <w:t>taken, intends to take</w:t>
      </w:r>
      <w:r w:rsidR="008D6155">
        <w:rPr>
          <w:rFonts w:ascii="Arial" w:hAnsi="Arial" w:cs="Arial"/>
        </w:rPr>
        <w:t>,</w:t>
      </w:r>
      <w:r w:rsidR="00310532" w:rsidRPr="00AE0E30">
        <w:rPr>
          <w:rFonts w:ascii="Arial" w:hAnsi="Arial" w:cs="Arial"/>
        </w:rPr>
        <w:t xml:space="preserve"> or is unable to follow up</w:t>
      </w:r>
      <w:r w:rsidR="008D6155">
        <w:rPr>
          <w:rFonts w:ascii="Arial" w:hAnsi="Arial" w:cs="Arial"/>
        </w:rPr>
        <w:t>,</w:t>
      </w:r>
      <w:r w:rsidR="00310532" w:rsidRPr="00AE0E30">
        <w:rPr>
          <w:rFonts w:ascii="Arial" w:hAnsi="Arial" w:cs="Arial"/>
        </w:rPr>
        <w:t xml:space="preserve"> in response to </w:t>
      </w:r>
      <w:r w:rsidR="00FA73C1">
        <w:rPr>
          <w:rFonts w:ascii="Arial" w:hAnsi="Arial" w:cs="Arial"/>
        </w:rPr>
        <w:t xml:space="preserve">both the </w:t>
      </w:r>
      <w:r w:rsidR="00310532" w:rsidRPr="00AE0E30">
        <w:rPr>
          <w:rFonts w:ascii="Arial" w:hAnsi="Arial" w:cs="Arial"/>
        </w:rPr>
        <w:t xml:space="preserve">Council recommendations and the </w:t>
      </w:r>
      <w:r w:rsidR="00FA73C1">
        <w:rPr>
          <w:rFonts w:ascii="Arial" w:hAnsi="Arial" w:cs="Arial"/>
        </w:rPr>
        <w:t>EP’s</w:t>
      </w:r>
      <w:r w:rsidR="00BA0894" w:rsidRPr="00AE0E30">
        <w:rPr>
          <w:rFonts w:ascii="Arial" w:hAnsi="Arial" w:cs="Arial"/>
        </w:rPr>
        <w:t xml:space="preserve"> </w:t>
      </w:r>
      <w:r w:rsidR="00310532" w:rsidRPr="00AE0E30">
        <w:rPr>
          <w:rFonts w:ascii="Arial" w:hAnsi="Arial" w:cs="Arial"/>
        </w:rPr>
        <w:t>resolution on discharge</w:t>
      </w:r>
      <w:r w:rsidR="00C54CB5" w:rsidRPr="00AE0E30">
        <w:rPr>
          <w:rFonts w:ascii="Arial" w:hAnsi="Arial" w:cs="Arial"/>
        </w:rPr>
        <w:t xml:space="preserve"> for the 2011 </w:t>
      </w:r>
      <w:r w:rsidR="00BA0894" w:rsidRPr="00AE0E30">
        <w:rPr>
          <w:rFonts w:ascii="Arial" w:hAnsi="Arial" w:cs="Arial"/>
        </w:rPr>
        <w:t>EU Budget</w:t>
      </w:r>
      <w:r w:rsidR="00310532" w:rsidRPr="00AE0E30">
        <w:rPr>
          <w:rFonts w:ascii="Arial" w:hAnsi="Arial" w:cs="Arial"/>
        </w:rPr>
        <w:t xml:space="preserve">. </w:t>
      </w:r>
      <w:r w:rsidR="00FA73C1" w:rsidRPr="00FA73C1">
        <w:rPr>
          <w:rFonts w:ascii="Arial" w:hAnsi="Arial" w:cs="Arial"/>
        </w:rPr>
        <w:t xml:space="preserve">It </w:t>
      </w:r>
      <w:r w:rsidR="00C54CB5" w:rsidRPr="00FA73C1">
        <w:rPr>
          <w:rFonts w:ascii="Arial" w:hAnsi="Arial" w:cs="Arial"/>
        </w:rPr>
        <w:t>focuses</w:t>
      </w:r>
      <w:r w:rsidR="00C54CB5" w:rsidRPr="00FA73C1">
        <w:rPr>
          <w:rFonts w:ascii="Arial" w:hAnsi="Arial" w:cs="Arial"/>
          <w:lang w:eastAsia="en-GB"/>
        </w:rPr>
        <w:t xml:space="preserve"> on the four priority actions </w:t>
      </w:r>
      <w:r w:rsidR="00B354D7" w:rsidRPr="00FA73C1">
        <w:rPr>
          <w:rFonts w:ascii="Arial" w:hAnsi="Arial" w:cs="Arial"/>
          <w:lang w:eastAsia="en-GB"/>
        </w:rPr>
        <w:t xml:space="preserve">of </w:t>
      </w:r>
      <w:r w:rsidR="00A5366F" w:rsidRPr="00FA73C1">
        <w:rPr>
          <w:rFonts w:ascii="Arial" w:hAnsi="Arial" w:cs="Arial"/>
          <w:lang w:eastAsia="en-GB"/>
        </w:rPr>
        <w:t>“</w:t>
      </w:r>
      <w:r w:rsidR="00B354D7" w:rsidRPr="00FA73C1">
        <w:rPr>
          <w:rFonts w:ascii="Arial" w:hAnsi="Arial" w:cs="Arial"/>
          <w:lang w:eastAsia="en-GB"/>
        </w:rPr>
        <w:t>institutional accountability and financial nature</w:t>
      </w:r>
      <w:r w:rsidR="00A5366F" w:rsidRPr="00FA73C1">
        <w:rPr>
          <w:rFonts w:ascii="Arial" w:hAnsi="Arial" w:cs="Arial"/>
          <w:lang w:eastAsia="en-GB"/>
        </w:rPr>
        <w:t>”</w:t>
      </w:r>
      <w:r w:rsidR="00B354D7" w:rsidRPr="00FA73C1">
        <w:rPr>
          <w:rFonts w:ascii="Arial" w:hAnsi="Arial" w:cs="Arial"/>
          <w:lang w:eastAsia="en-GB"/>
        </w:rPr>
        <w:t xml:space="preserve"> </w:t>
      </w:r>
      <w:r w:rsidR="00AA75BA" w:rsidRPr="00FA73C1">
        <w:rPr>
          <w:rFonts w:ascii="Arial" w:hAnsi="Arial" w:cs="Arial"/>
          <w:lang w:eastAsia="en-GB"/>
        </w:rPr>
        <w:t>highlighted by the EP</w:t>
      </w:r>
      <w:r w:rsidR="00A5366F" w:rsidRPr="00FA73C1">
        <w:rPr>
          <w:rFonts w:ascii="Arial" w:hAnsi="Arial" w:cs="Arial"/>
          <w:lang w:eastAsia="en-GB"/>
        </w:rPr>
        <w:t xml:space="preserve"> in the general discharge resolution for 2011.</w:t>
      </w:r>
    </w:p>
    <w:p w:rsidR="00FA73C1" w:rsidRPr="00FA73C1" w:rsidRDefault="00FA73C1" w:rsidP="00FA73C1">
      <w:pPr>
        <w:ind w:left="360"/>
        <w:jc w:val="both"/>
        <w:rPr>
          <w:rFonts w:ascii="Arial" w:hAnsi="Arial" w:cs="Arial"/>
          <w:lang w:eastAsia="en-GB"/>
        </w:rPr>
      </w:pPr>
    </w:p>
    <w:p w:rsidR="00D04926" w:rsidRPr="00FA73C1" w:rsidRDefault="00FA73C1" w:rsidP="00FA73C1">
      <w:pPr>
        <w:numPr>
          <w:ilvl w:val="0"/>
          <w:numId w:val="3"/>
        </w:numPr>
        <w:jc w:val="both"/>
        <w:rPr>
          <w:rFonts w:ascii="Arial" w:hAnsi="Arial" w:cs="Arial"/>
          <w:b/>
          <w:bCs/>
          <w:u w:val="single"/>
        </w:rPr>
      </w:pPr>
      <w:r>
        <w:rPr>
          <w:rFonts w:ascii="Arial" w:hAnsi="Arial" w:cs="Arial"/>
        </w:rPr>
        <w:t xml:space="preserve">The report </w:t>
      </w:r>
      <w:r w:rsidRPr="00D64DC9">
        <w:rPr>
          <w:rFonts w:ascii="Arial" w:hAnsi="Arial" w:cs="Arial"/>
        </w:rPr>
        <w:t>is accompanied by two Com</w:t>
      </w:r>
      <w:r>
        <w:rPr>
          <w:rFonts w:ascii="Arial" w:hAnsi="Arial" w:cs="Arial"/>
        </w:rPr>
        <w:t>mission Staff Working Documents that detail the Commission’s responses</w:t>
      </w:r>
      <w:r w:rsidRPr="00D64DC9">
        <w:rPr>
          <w:rFonts w:ascii="Arial" w:hAnsi="Arial" w:cs="Arial"/>
        </w:rPr>
        <w:t xml:space="preserve"> to</w:t>
      </w:r>
      <w:r>
        <w:rPr>
          <w:rFonts w:ascii="Arial" w:hAnsi="Arial" w:cs="Arial"/>
        </w:rPr>
        <w:t xml:space="preserve"> the</w:t>
      </w:r>
      <w:r w:rsidRPr="00D64DC9">
        <w:rPr>
          <w:rFonts w:ascii="Arial" w:hAnsi="Arial" w:cs="Arial"/>
        </w:rPr>
        <w:t xml:space="preserve"> </w:t>
      </w:r>
      <w:r>
        <w:rPr>
          <w:rFonts w:ascii="Arial" w:hAnsi="Arial" w:cs="Arial"/>
        </w:rPr>
        <w:t xml:space="preserve">387 requests from the EP and 87 from the Council. </w:t>
      </w:r>
      <w:r w:rsidR="00AA75BA" w:rsidRPr="00FA73C1">
        <w:rPr>
          <w:rFonts w:ascii="Arial" w:hAnsi="Arial" w:cs="Arial"/>
        </w:rPr>
        <w:t>In total, t</w:t>
      </w:r>
      <w:r w:rsidR="006846F9" w:rsidRPr="00FA73C1">
        <w:rPr>
          <w:rFonts w:ascii="Arial" w:hAnsi="Arial" w:cs="Arial"/>
        </w:rPr>
        <w:t>he Commission</w:t>
      </w:r>
      <w:r w:rsidR="00AA75BA" w:rsidRPr="00FA73C1">
        <w:rPr>
          <w:rFonts w:ascii="Arial" w:hAnsi="Arial" w:cs="Arial"/>
        </w:rPr>
        <w:t>:</w:t>
      </w:r>
      <w:r w:rsidR="006846F9" w:rsidRPr="00FA73C1">
        <w:rPr>
          <w:rFonts w:ascii="Arial" w:hAnsi="Arial" w:cs="Arial"/>
        </w:rPr>
        <w:t xml:space="preserve"> agreed </w:t>
      </w:r>
      <w:r w:rsidR="00AA75BA" w:rsidRPr="00FA73C1">
        <w:rPr>
          <w:rFonts w:ascii="Arial" w:hAnsi="Arial" w:cs="Arial"/>
        </w:rPr>
        <w:t>to action</w:t>
      </w:r>
      <w:r w:rsidR="006846F9" w:rsidRPr="00FA73C1">
        <w:rPr>
          <w:rFonts w:ascii="Arial" w:hAnsi="Arial" w:cs="Arial"/>
        </w:rPr>
        <w:t xml:space="preserve"> 181 requ</w:t>
      </w:r>
      <w:r w:rsidR="00AA75BA" w:rsidRPr="00FA73C1">
        <w:rPr>
          <w:rFonts w:ascii="Arial" w:hAnsi="Arial" w:cs="Arial"/>
        </w:rPr>
        <w:t xml:space="preserve">ests </w:t>
      </w:r>
      <w:r w:rsidR="00C54CB5" w:rsidRPr="00FA73C1">
        <w:rPr>
          <w:rFonts w:ascii="Arial" w:hAnsi="Arial" w:cs="Arial"/>
        </w:rPr>
        <w:t>(143 from the EP and 38 fro</w:t>
      </w:r>
      <w:r w:rsidR="00B354D7" w:rsidRPr="00FA73C1">
        <w:rPr>
          <w:rFonts w:ascii="Arial" w:hAnsi="Arial" w:cs="Arial"/>
        </w:rPr>
        <w:t>m the Council)</w:t>
      </w:r>
      <w:r w:rsidR="00AA75BA" w:rsidRPr="00FA73C1">
        <w:rPr>
          <w:rFonts w:ascii="Arial" w:hAnsi="Arial" w:cs="Arial"/>
        </w:rPr>
        <w:t xml:space="preserve">; considers that </w:t>
      </w:r>
      <w:r w:rsidR="00D04926" w:rsidRPr="00FA73C1">
        <w:rPr>
          <w:rFonts w:ascii="Arial" w:hAnsi="Arial" w:cs="Arial"/>
        </w:rPr>
        <w:t>required action has already</w:t>
      </w:r>
      <w:r w:rsidR="00EA339D" w:rsidRPr="00FA73C1">
        <w:rPr>
          <w:rFonts w:ascii="Arial" w:hAnsi="Arial" w:cs="Arial"/>
        </w:rPr>
        <w:t xml:space="preserve"> been taken or is ongoing for 25</w:t>
      </w:r>
      <w:r w:rsidR="00D04926" w:rsidRPr="00FA73C1">
        <w:rPr>
          <w:rFonts w:ascii="Arial" w:hAnsi="Arial" w:cs="Arial"/>
        </w:rPr>
        <w:t>2 requests</w:t>
      </w:r>
      <w:r w:rsidR="007E19AE" w:rsidRPr="00FA73C1">
        <w:rPr>
          <w:rFonts w:ascii="Arial" w:hAnsi="Arial" w:cs="Arial"/>
        </w:rPr>
        <w:t xml:space="preserve"> (</w:t>
      </w:r>
      <w:r w:rsidR="00EA339D" w:rsidRPr="00FA73C1">
        <w:rPr>
          <w:rFonts w:ascii="Arial" w:hAnsi="Arial" w:cs="Arial"/>
        </w:rPr>
        <w:t>205 from the</w:t>
      </w:r>
      <w:r w:rsidR="007E19AE" w:rsidRPr="00FA73C1">
        <w:rPr>
          <w:rFonts w:ascii="Arial" w:hAnsi="Arial" w:cs="Arial"/>
        </w:rPr>
        <w:t xml:space="preserve"> EP</w:t>
      </w:r>
      <w:r w:rsidR="00EA339D" w:rsidRPr="00FA73C1">
        <w:rPr>
          <w:rFonts w:ascii="Arial" w:hAnsi="Arial" w:cs="Arial"/>
        </w:rPr>
        <w:t xml:space="preserve"> and 47 from the Council</w:t>
      </w:r>
      <w:r w:rsidR="00AA75BA" w:rsidRPr="00FA73C1">
        <w:rPr>
          <w:rFonts w:ascii="Arial" w:hAnsi="Arial" w:cs="Arial"/>
        </w:rPr>
        <w:t>)</w:t>
      </w:r>
      <w:r w:rsidR="00D04926" w:rsidRPr="00FA73C1">
        <w:rPr>
          <w:rFonts w:ascii="Arial" w:hAnsi="Arial" w:cs="Arial"/>
        </w:rPr>
        <w:t>, though in some cases the results of the a</w:t>
      </w:r>
      <w:r w:rsidR="00B354D7" w:rsidRPr="00FA73C1">
        <w:rPr>
          <w:rFonts w:ascii="Arial" w:hAnsi="Arial" w:cs="Arial"/>
        </w:rPr>
        <w:t>ctions</w:t>
      </w:r>
      <w:r w:rsidR="00AA75BA" w:rsidRPr="00FA73C1">
        <w:rPr>
          <w:rFonts w:ascii="Arial" w:hAnsi="Arial" w:cs="Arial"/>
        </w:rPr>
        <w:t xml:space="preserve"> will need to be assessed; and</w:t>
      </w:r>
      <w:r w:rsidR="00D04926" w:rsidRPr="00FA73C1">
        <w:rPr>
          <w:rFonts w:ascii="Arial" w:hAnsi="Arial" w:cs="Arial"/>
        </w:rPr>
        <w:t xml:space="preserve"> </w:t>
      </w:r>
      <w:r w:rsidR="00B2678F">
        <w:rPr>
          <w:rFonts w:ascii="Arial" w:hAnsi="Arial" w:cs="Arial"/>
        </w:rPr>
        <w:t xml:space="preserve">not accepted </w:t>
      </w:r>
      <w:r w:rsidR="00EA339D" w:rsidRPr="00FA73C1">
        <w:rPr>
          <w:rFonts w:ascii="Arial" w:hAnsi="Arial" w:cs="Arial"/>
        </w:rPr>
        <w:t>41</w:t>
      </w:r>
      <w:r w:rsidR="00D04926" w:rsidRPr="00FA73C1">
        <w:rPr>
          <w:rFonts w:ascii="Arial" w:hAnsi="Arial" w:cs="Arial"/>
        </w:rPr>
        <w:t xml:space="preserve"> requests</w:t>
      </w:r>
      <w:r w:rsidR="00EA339D" w:rsidRPr="00FA73C1">
        <w:rPr>
          <w:rFonts w:ascii="Arial" w:hAnsi="Arial" w:cs="Arial"/>
        </w:rPr>
        <w:t xml:space="preserve"> (39 from the EP and 2 from the Council)</w:t>
      </w:r>
      <w:r w:rsidR="00B2678F">
        <w:rPr>
          <w:rFonts w:ascii="Arial" w:hAnsi="Arial" w:cs="Arial"/>
        </w:rPr>
        <w:t>, with the reasons given relating</w:t>
      </w:r>
      <w:r w:rsidR="00DD0799" w:rsidRPr="00FA73C1">
        <w:rPr>
          <w:rFonts w:ascii="Arial" w:hAnsi="Arial" w:cs="Arial"/>
        </w:rPr>
        <w:t xml:space="preserve"> to </w:t>
      </w:r>
      <w:r w:rsidR="00B2678F">
        <w:rPr>
          <w:rFonts w:ascii="Arial" w:hAnsi="Arial" w:cs="Arial"/>
        </w:rPr>
        <w:t xml:space="preserve">the </w:t>
      </w:r>
      <w:r w:rsidR="00DD0799" w:rsidRPr="00FA73C1">
        <w:rPr>
          <w:rFonts w:ascii="Arial" w:hAnsi="Arial" w:cs="Arial"/>
        </w:rPr>
        <w:t>existing legal and budgetary framework or its institutional role or prerogatives</w:t>
      </w:r>
      <w:r w:rsidR="007E19AE" w:rsidRPr="00FA73C1">
        <w:rPr>
          <w:rFonts w:ascii="Arial" w:hAnsi="Arial" w:cs="Arial"/>
        </w:rPr>
        <w:t xml:space="preserve">. </w:t>
      </w:r>
    </w:p>
    <w:p w:rsidR="004A41DA" w:rsidRPr="00D64DC9" w:rsidRDefault="004A41DA" w:rsidP="004A41DA">
      <w:pPr>
        <w:pStyle w:val="ListParagraph"/>
        <w:ind w:left="0"/>
        <w:rPr>
          <w:rFonts w:ascii="Arial" w:hAnsi="Arial" w:cs="Arial"/>
        </w:rPr>
      </w:pPr>
    </w:p>
    <w:p w:rsidR="00796E32" w:rsidRDefault="001B1533" w:rsidP="00481462">
      <w:pPr>
        <w:jc w:val="both"/>
        <w:rPr>
          <w:rFonts w:ascii="Arial" w:hAnsi="Arial" w:cs="Arial"/>
          <w:b/>
        </w:rPr>
      </w:pPr>
      <w:r>
        <w:rPr>
          <w:rFonts w:ascii="Arial" w:hAnsi="Arial" w:cs="Arial"/>
          <w:b/>
        </w:rPr>
        <w:t>Priority actions</w:t>
      </w:r>
    </w:p>
    <w:p w:rsidR="00EF7BE5" w:rsidRPr="00D64DC9" w:rsidRDefault="00EF7BE5" w:rsidP="00EF7BE5">
      <w:pPr>
        <w:jc w:val="both"/>
        <w:rPr>
          <w:rFonts w:ascii="Arial" w:hAnsi="Arial" w:cs="Arial"/>
        </w:rPr>
      </w:pPr>
    </w:p>
    <w:p w:rsidR="00FA73C1" w:rsidRDefault="00FA73C1" w:rsidP="00FA73C1">
      <w:pPr>
        <w:jc w:val="both"/>
        <w:rPr>
          <w:rFonts w:ascii="Arial" w:hAnsi="Arial" w:cs="Arial"/>
          <w:i/>
        </w:rPr>
      </w:pPr>
      <w:r>
        <w:rPr>
          <w:rFonts w:ascii="Arial" w:hAnsi="Arial" w:cs="Arial"/>
          <w:i/>
        </w:rPr>
        <w:t xml:space="preserve">Action 1: </w:t>
      </w:r>
      <w:r w:rsidR="00D72FC3">
        <w:rPr>
          <w:rFonts w:ascii="Arial" w:hAnsi="Arial" w:cs="Arial"/>
          <w:i/>
        </w:rPr>
        <w:t>c</w:t>
      </w:r>
      <w:r>
        <w:rPr>
          <w:rFonts w:ascii="Arial" w:hAnsi="Arial" w:cs="Arial"/>
          <w:i/>
        </w:rPr>
        <w:t xml:space="preserve">ommunication on the protection of the EU Budget </w:t>
      </w:r>
    </w:p>
    <w:p w:rsidR="00FA73C1" w:rsidRPr="00B354D7" w:rsidRDefault="00FA73C1" w:rsidP="00FA73C1">
      <w:pPr>
        <w:jc w:val="both"/>
        <w:rPr>
          <w:rFonts w:ascii="Arial" w:hAnsi="Arial" w:cs="Arial"/>
          <w:b/>
          <w:bCs/>
          <w:u w:val="single"/>
        </w:rPr>
      </w:pPr>
    </w:p>
    <w:p w:rsidR="00FA73C1" w:rsidRPr="00C17617" w:rsidRDefault="00FA73C1" w:rsidP="00FA73C1">
      <w:pPr>
        <w:numPr>
          <w:ilvl w:val="0"/>
          <w:numId w:val="3"/>
        </w:numPr>
        <w:jc w:val="both"/>
        <w:rPr>
          <w:rFonts w:ascii="Arial" w:hAnsi="Arial" w:cs="Arial"/>
          <w:b/>
          <w:bCs/>
          <w:u w:val="single"/>
        </w:rPr>
      </w:pPr>
      <w:r>
        <w:rPr>
          <w:rFonts w:ascii="Arial" w:hAnsi="Arial" w:cs="Arial"/>
        </w:rPr>
        <w:t>As requested by the EP, the Commission issued a communication on the protection of the EU Budget in September 2013, which details the corrections and recoveries made in the preceding year, and provides cumulative information on those made in previous programmes</w:t>
      </w:r>
      <w:r w:rsidR="00D72FC3">
        <w:rPr>
          <w:rFonts w:ascii="Arial" w:hAnsi="Arial" w:cs="Arial"/>
        </w:rPr>
        <w:t>.</w:t>
      </w:r>
    </w:p>
    <w:p w:rsidR="00FA73C1" w:rsidRDefault="00FA73C1" w:rsidP="00EF7BE5">
      <w:pPr>
        <w:jc w:val="both"/>
        <w:rPr>
          <w:rFonts w:ascii="Arial" w:hAnsi="Arial" w:cs="Arial"/>
          <w:i/>
        </w:rPr>
      </w:pPr>
    </w:p>
    <w:p w:rsidR="00EF7BE5" w:rsidRDefault="00D72FC3" w:rsidP="00EF7BE5">
      <w:pPr>
        <w:jc w:val="both"/>
        <w:rPr>
          <w:rFonts w:ascii="Arial" w:hAnsi="Arial" w:cs="Arial"/>
          <w:i/>
        </w:rPr>
      </w:pPr>
      <w:r>
        <w:rPr>
          <w:rFonts w:ascii="Arial" w:hAnsi="Arial" w:cs="Arial"/>
          <w:i/>
        </w:rPr>
        <w:t xml:space="preserve">Action 2: </w:t>
      </w:r>
      <w:r w:rsidR="00714F38">
        <w:rPr>
          <w:rFonts w:ascii="Arial" w:hAnsi="Arial" w:cs="Arial"/>
          <w:i/>
        </w:rPr>
        <w:t>relating to error rates</w:t>
      </w:r>
      <w:r w:rsidR="002932FD">
        <w:rPr>
          <w:rFonts w:ascii="Arial" w:hAnsi="Arial" w:cs="Arial"/>
          <w:i/>
        </w:rPr>
        <w:t xml:space="preserve"> in shared management</w:t>
      </w:r>
    </w:p>
    <w:p w:rsidR="00231BD8" w:rsidRPr="00D64DC9" w:rsidRDefault="00231BD8" w:rsidP="00EF7BE5">
      <w:pPr>
        <w:jc w:val="both"/>
        <w:rPr>
          <w:rFonts w:ascii="Arial" w:hAnsi="Arial" w:cs="Arial"/>
          <w:i/>
        </w:rPr>
      </w:pPr>
    </w:p>
    <w:p w:rsidR="00F327C3" w:rsidRPr="004A171F" w:rsidRDefault="004A171F" w:rsidP="00F327C3">
      <w:pPr>
        <w:numPr>
          <w:ilvl w:val="0"/>
          <w:numId w:val="3"/>
        </w:numPr>
        <w:jc w:val="both"/>
        <w:rPr>
          <w:rFonts w:ascii="Arial" w:hAnsi="Arial" w:cs="Arial"/>
          <w:b/>
          <w:bCs/>
          <w:u w:val="single"/>
        </w:rPr>
      </w:pPr>
      <w:r>
        <w:rPr>
          <w:rFonts w:ascii="Arial" w:hAnsi="Arial" w:cs="Arial"/>
        </w:rPr>
        <w:t>The Commi</w:t>
      </w:r>
      <w:r w:rsidR="00FE4A7E">
        <w:rPr>
          <w:rFonts w:ascii="Arial" w:hAnsi="Arial" w:cs="Arial"/>
        </w:rPr>
        <w:t xml:space="preserve">ssion </w:t>
      </w:r>
      <w:r w:rsidR="00A5366F">
        <w:rPr>
          <w:rFonts w:ascii="Arial" w:hAnsi="Arial" w:cs="Arial"/>
        </w:rPr>
        <w:t xml:space="preserve">states that it </w:t>
      </w:r>
      <w:r w:rsidR="00FE4A7E">
        <w:rPr>
          <w:rFonts w:ascii="Arial" w:hAnsi="Arial" w:cs="Arial"/>
        </w:rPr>
        <w:t xml:space="preserve">took a number of </w:t>
      </w:r>
      <w:r w:rsidR="00C17617">
        <w:rPr>
          <w:rFonts w:ascii="Arial" w:hAnsi="Arial" w:cs="Arial"/>
        </w:rPr>
        <w:t xml:space="preserve">notable </w:t>
      </w:r>
      <w:r w:rsidR="00FE4A7E">
        <w:rPr>
          <w:rFonts w:ascii="Arial" w:hAnsi="Arial" w:cs="Arial"/>
        </w:rPr>
        <w:t xml:space="preserve">steps </w:t>
      </w:r>
      <w:r w:rsidR="001A7215">
        <w:rPr>
          <w:rFonts w:ascii="Arial" w:hAnsi="Arial" w:cs="Arial"/>
        </w:rPr>
        <w:t>to improve the error rates in shared management</w:t>
      </w:r>
      <w:r w:rsidR="00B2678F">
        <w:rPr>
          <w:rFonts w:ascii="Arial" w:hAnsi="Arial" w:cs="Arial"/>
        </w:rPr>
        <w:t>. These</w:t>
      </w:r>
      <w:r w:rsidR="00D72FC3">
        <w:rPr>
          <w:rFonts w:ascii="Arial" w:hAnsi="Arial" w:cs="Arial"/>
        </w:rPr>
        <w:t xml:space="preserve"> included:</w:t>
      </w:r>
      <w:r w:rsidR="00FE4A7E">
        <w:rPr>
          <w:rFonts w:ascii="Arial" w:hAnsi="Arial" w:cs="Arial"/>
        </w:rPr>
        <w:t xml:space="preserve"> </w:t>
      </w:r>
    </w:p>
    <w:p w:rsidR="004A171F" w:rsidRDefault="004A171F" w:rsidP="004A171F">
      <w:pPr>
        <w:ind w:left="360"/>
        <w:jc w:val="both"/>
        <w:rPr>
          <w:rFonts w:ascii="Arial" w:hAnsi="Arial" w:cs="Arial"/>
          <w:b/>
          <w:bCs/>
          <w:u w:val="single"/>
        </w:rPr>
      </w:pPr>
    </w:p>
    <w:p w:rsidR="00F327C3" w:rsidRPr="00B82B95" w:rsidRDefault="00D72FC3" w:rsidP="00B82B95">
      <w:pPr>
        <w:pStyle w:val="ListParagraph"/>
        <w:numPr>
          <w:ilvl w:val="0"/>
          <w:numId w:val="11"/>
        </w:numPr>
        <w:jc w:val="both"/>
        <w:rPr>
          <w:rFonts w:ascii="Arial" w:hAnsi="Arial" w:cs="Arial"/>
        </w:rPr>
      </w:pPr>
      <w:r>
        <w:rPr>
          <w:rFonts w:ascii="Arial" w:hAnsi="Arial" w:cs="Arial"/>
        </w:rPr>
        <w:t>f</w:t>
      </w:r>
      <w:r w:rsidR="00D07D81">
        <w:rPr>
          <w:rFonts w:ascii="Arial" w:hAnsi="Arial" w:cs="Arial"/>
        </w:rPr>
        <w:t xml:space="preserve">urther </w:t>
      </w:r>
      <w:r w:rsidR="00CC7BAE" w:rsidRPr="00B82B95">
        <w:rPr>
          <w:rFonts w:ascii="Arial" w:hAnsi="Arial" w:cs="Arial"/>
        </w:rPr>
        <w:t>harmonisation</w:t>
      </w:r>
      <w:r w:rsidR="00714F38" w:rsidRPr="00B82B95">
        <w:rPr>
          <w:rFonts w:ascii="Arial" w:hAnsi="Arial" w:cs="Arial"/>
        </w:rPr>
        <w:t>, particularly in the area of Cohesion Fund</w:t>
      </w:r>
      <w:r w:rsidR="00B2678F">
        <w:rPr>
          <w:rFonts w:ascii="Arial" w:hAnsi="Arial" w:cs="Arial"/>
        </w:rPr>
        <w:t>s</w:t>
      </w:r>
      <w:r w:rsidR="00541FFA" w:rsidRPr="00B82B95">
        <w:rPr>
          <w:rFonts w:ascii="Arial" w:hAnsi="Arial" w:cs="Arial"/>
        </w:rPr>
        <w:t>,</w:t>
      </w:r>
      <w:r w:rsidR="00C17617">
        <w:rPr>
          <w:rFonts w:ascii="Arial" w:hAnsi="Arial" w:cs="Arial"/>
        </w:rPr>
        <w:t xml:space="preserve"> where DG</w:t>
      </w:r>
      <w:r w:rsidR="009F4D48">
        <w:rPr>
          <w:rFonts w:ascii="Arial" w:hAnsi="Arial" w:cs="Arial"/>
        </w:rPr>
        <w:t>s</w:t>
      </w:r>
      <w:r w:rsidR="00C17617">
        <w:rPr>
          <w:rFonts w:ascii="Arial" w:hAnsi="Arial" w:cs="Arial"/>
        </w:rPr>
        <w:t xml:space="preserve"> REGIO and EMPL now apply an aligned approach;</w:t>
      </w:r>
      <w:r w:rsidR="00714F38" w:rsidRPr="00B82B95">
        <w:rPr>
          <w:rFonts w:ascii="Arial" w:hAnsi="Arial" w:cs="Arial"/>
        </w:rPr>
        <w:t xml:space="preserve"> </w:t>
      </w:r>
      <w:r w:rsidR="00C17617">
        <w:rPr>
          <w:rFonts w:ascii="Arial" w:hAnsi="Arial" w:cs="Arial"/>
        </w:rPr>
        <w:t xml:space="preserve">and in Agriculture, </w:t>
      </w:r>
      <w:r w:rsidR="00B2678F">
        <w:rPr>
          <w:rFonts w:ascii="Arial" w:hAnsi="Arial" w:cs="Arial"/>
        </w:rPr>
        <w:t xml:space="preserve">where </w:t>
      </w:r>
      <w:r w:rsidR="00541FFA" w:rsidRPr="00B82B95">
        <w:rPr>
          <w:rFonts w:ascii="Arial" w:hAnsi="Arial" w:cs="Arial"/>
        </w:rPr>
        <w:t>Regulation 883/2006 was amended in April 2013</w:t>
      </w:r>
      <w:r w:rsidR="00841D67">
        <w:rPr>
          <w:rFonts w:ascii="Arial" w:hAnsi="Arial" w:cs="Arial"/>
        </w:rPr>
        <w:t xml:space="preserve"> to facilitate</w:t>
      </w:r>
      <w:r w:rsidR="00C423BB">
        <w:rPr>
          <w:rFonts w:ascii="Arial" w:hAnsi="Arial" w:cs="Arial"/>
        </w:rPr>
        <w:t xml:space="preserve"> </w:t>
      </w:r>
      <w:r w:rsidR="00E7301D">
        <w:rPr>
          <w:rFonts w:ascii="Arial" w:hAnsi="Arial" w:cs="Arial"/>
        </w:rPr>
        <w:t xml:space="preserve">interruptions to </w:t>
      </w:r>
      <w:r w:rsidR="00541FFA" w:rsidRPr="00B82B95">
        <w:rPr>
          <w:rFonts w:ascii="Arial" w:hAnsi="Arial" w:cs="Arial"/>
        </w:rPr>
        <w:t>Rural Development payments</w:t>
      </w:r>
      <w:r>
        <w:rPr>
          <w:rFonts w:ascii="Arial" w:hAnsi="Arial" w:cs="Arial"/>
        </w:rPr>
        <w:t>;</w:t>
      </w:r>
    </w:p>
    <w:p w:rsidR="00F327C3" w:rsidRPr="00F327C3" w:rsidRDefault="00F327C3" w:rsidP="00F327C3">
      <w:pPr>
        <w:jc w:val="both"/>
        <w:rPr>
          <w:rFonts w:ascii="Arial" w:hAnsi="Arial" w:cs="Arial"/>
          <w:b/>
          <w:bCs/>
          <w:u w:val="single"/>
        </w:rPr>
      </w:pPr>
    </w:p>
    <w:p w:rsidR="000D7133" w:rsidRPr="000D7133" w:rsidRDefault="00D72FC3" w:rsidP="000D7133">
      <w:pPr>
        <w:pStyle w:val="ListParagraph"/>
        <w:numPr>
          <w:ilvl w:val="0"/>
          <w:numId w:val="11"/>
        </w:numPr>
        <w:jc w:val="both"/>
        <w:rPr>
          <w:rFonts w:ascii="Arial" w:hAnsi="Arial" w:cs="Arial"/>
          <w:b/>
          <w:bCs/>
          <w:u w:val="single"/>
        </w:rPr>
      </w:pPr>
      <w:r>
        <w:rPr>
          <w:rFonts w:ascii="Arial" w:hAnsi="Arial" w:cs="Arial"/>
        </w:rPr>
        <w:t>a</w:t>
      </w:r>
      <w:r w:rsidR="004A171F">
        <w:rPr>
          <w:rFonts w:ascii="Arial" w:hAnsi="Arial" w:cs="Arial"/>
        </w:rPr>
        <w:t xml:space="preserve">ctions </w:t>
      </w:r>
      <w:r w:rsidR="00F327C3" w:rsidRPr="00B82B95">
        <w:rPr>
          <w:rFonts w:ascii="Arial" w:hAnsi="Arial" w:cs="Arial"/>
        </w:rPr>
        <w:t>focus</w:t>
      </w:r>
      <w:r w:rsidR="00B2678F">
        <w:rPr>
          <w:rFonts w:ascii="Arial" w:hAnsi="Arial" w:cs="Arial"/>
        </w:rPr>
        <w:t>sed</w:t>
      </w:r>
      <w:r w:rsidR="00F327C3" w:rsidRPr="00B82B95">
        <w:rPr>
          <w:rFonts w:ascii="Arial" w:hAnsi="Arial" w:cs="Arial"/>
        </w:rPr>
        <w:t xml:space="preserve"> on simplification</w:t>
      </w:r>
      <w:r w:rsidR="00B2678F">
        <w:rPr>
          <w:rFonts w:ascii="Arial" w:hAnsi="Arial" w:cs="Arial"/>
        </w:rPr>
        <w:t>,</w:t>
      </w:r>
      <w:r w:rsidR="003B7F83">
        <w:rPr>
          <w:rFonts w:ascii="Arial" w:hAnsi="Arial" w:cs="Arial"/>
        </w:rPr>
        <w:t xml:space="preserve"> </w:t>
      </w:r>
      <w:r w:rsidR="005F41E5">
        <w:rPr>
          <w:rFonts w:ascii="Arial" w:hAnsi="Arial" w:cs="Arial"/>
        </w:rPr>
        <w:t>where</w:t>
      </w:r>
      <w:r w:rsidR="004A171F">
        <w:rPr>
          <w:rFonts w:ascii="Arial" w:hAnsi="Arial" w:cs="Arial"/>
        </w:rPr>
        <w:t xml:space="preserve"> </w:t>
      </w:r>
      <w:r w:rsidR="00F327C3" w:rsidRPr="00B82B95">
        <w:rPr>
          <w:rFonts w:ascii="Arial" w:hAnsi="Arial" w:cs="Arial"/>
        </w:rPr>
        <w:t>national eligibility rules are either too complex or not compliant with EU regulations</w:t>
      </w:r>
      <w:r>
        <w:rPr>
          <w:rFonts w:ascii="Arial" w:hAnsi="Arial" w:cs="Arial"/>
        </w:rPr>
        <w:t>;</w:t>
      </w:r>
      <w:r w:rsidR="00F327C3" w:rsidRPr="004A171F">
        <w:rPr>
          <w:rFonts w:ascii="Arial" w:hAnsi="Arial" w:cs="Arial"/>
          <w:bCs/>
        </w:rPr>
        <w:t xml:space="preserve"> </w:t>
      </w:r>
    </w:p>
    <w:p w:rsidR="000D7133" w:rsidRPr="000D7133" w:rsidRDefault="000D7133" w:rsidP="000D7133">
      <w:pPr>
        <w:pStyle w:val="ListParagraph"/>
        <w:rPr>
          <w:rFonts w:ascii="Arial" w:hAnsi="Arial" w:cs="Arial"/>
        </w:rPr>
      </w:pPr>
    </w:p>
    <w:p w:rsidR="000D7133" w:rsidRPr="000D7133" w:rsidRDefault="00D72FC3" w:rsidP="000D7133">
      <w:pPr>
        <w:pStyle w:val="ListParagraph"/>
        <w:numPr>
          <w:ilvl w:val="0"/>
          <w:numId w:val="11"/>
        </w:numPr>
        <w:jc w:val="both"/>
        <w:rPr>
          <w:rFonts w:ascii="Arial" w:hAnsi="Arial" w:cs="Arial"/>
          <w:b/>
          <w:bCs/>
          <w:u w:val="single"/>
        </w:rPr>
      </w:pPr>
      <w:r>
        <w:rPr>
          <w:rFonts w:ascii="Arial" w:hAnsi="Arial" w:cs="Arial"/>
        </w:rPr>
        <w:t xml:space="preserve">proposals to </w:t>
      </w:r>
      <w:r w:rsidR="000D7133" w:rsidRPr="000D7133">
        <w:rPr>
          <w:rFonts w:ascii="Arial" w:hAnsi="Arial" w:cs="Arial"/>
        </w:rPr>
        <w:t xml:space="preserve">limit </w:t>
      </w:r>
      <w:r w:rsidR="000D7133">
        <w:rPr>
          <w:rFonts w:ascii="Arial" w:hAnsi="Arial" w:cs="Arial"/>
        </w:rPr>
        <w:t xml:space="preserve">the effect of </w:t>
      </w:r>
      <w:r w:rsidR="000D7133" w:rsidRPr="000D7133">
        <w:rPr>
          <w:rFonts w:ascii="Arial" w:hAnsi="Arial" w:cs="Arial"/>
        </w:rPr>
        <w:t>gold-plating</w:t>
      </w:r>
      <w:r w:rsidR="000D7133">
        <w:rPr>
          <w:rStyle w:val="FootnoteReference"/>
          <w:rFonts w:ascii="Arial" w:hAnsi="Arial" w:cs="Arial"/>
        </w:rPr>
        <w:footnoteReference w:id="1"/>
      </w:r>
      <w:r w:rsidR="000D7133" w:rsidRPr="000D7133">
        <w:rPr>
          <w:rFonts w:ascii="Arial" w:hAnsi="Arial" w:cs="Arial"/>
        </w:rPr>
        <w:t xml:space="preserve"> </w:t>
      </w:r>
      <w:r>
        <w:rPr>
          <w:rFonts w:ascii="Arial" w:hAnsi="Arial" w:cs="Arial"/>
        </w:rPr>
        <w:t xml:space="preserve">in </w:t>
      </w:r>
      <w:r w:rsidR="003B7F83">
        <w:rPr>
          <w:rFonts w:ascii="Arial" w:hAnsi="Arial" w:cs="Arial"/>
        </w:rPr>
        <w:t xml:space="preserve">the next </w:t>
      </w:r>
      <w:r w:rsidR="00B2678F">
        <w:rPr>
          <w:rFonts w:ascii="Arial" w:hAnsi="Arial" w:cs="Arial"/>
        </w:rPr>
        <w:t>M</w:t>
      </w:r>
      <w:r w:rsidR="00C17617">
        <w:rPr>
          <w:rFonts w:ascii="Arial" w:hAnsi="Arial" w:cs="Arial"/>
        </w:rPr>
        <w:t>ulti</w:t>
      </w:r>
      <w:r w:rsidR="00B2678F">
        <w:rPr>
          <w:rFonts w:ascii="Arial" w:hAnsi="Arial" w:cs="Arial"/>
        </w:rPr>
        <w:t>annual Financial F</w:t>
      </w:r>
      <w:r w:rsidR="00C17617">
        <w:rPr>
          <w:rFonts w:ascii="Arial" w:hAnsi="Arial" w:cs="Arial"/>
        </w:rPr>
        <w:t>ramework (</w:t>
      </w:r>
      <w:r w:rsidR="003B7F83">
        <w:rPr>
          <w:rFonts w:ascii="Arial" w:hAnsi="Arial" w:cs="Arial"/>
        </w:rPr>
        <w:t>MFF</w:t>
      </w:r>
      <w:r w:rsidR="00C17617">
        <w:rPr>
          <w:rFonts w:ascii="Arial" w:hAnsi="Arial" w:cs="Arial"/>
        </w:rPr>
        <w:t xml:space="preserve">) </w:t>
      </w:r>
      <w:r>
        <w:rPr>
          <w:rFonts w:ascii="Arial" w:hAnsi="Arial" w:cs="Arial"/>
        </w:rPr>
        <w:t>by</w:t>
      </w:r>
      <w:r w:rsidR="00C17617">
        <w:rPr>
          <w:rFonts w:ascii="Arial" w:hAnsi="Arial" w:cs="Arial"/>
        </w:rPr>
        <w:t xml:space="preserve"> </w:t>
      </w:r>
      <w:r>
        <w:rPr>
          <w:rFonts w:ascii="Arial" w:hAnsi="Arial" w:cs="Arial"/>
        </w:rPr>
        <w:t>requiring</w:t>
      </w:r>
      <w:r w:rsidR="000D7133" w:rsidRPr="000D7133">
        <w:rPr>
          <w:rFonts w:ascii="Arial" w:hAnsi="Arial" w:cs="Arial"/>
        </w:rPr>
        <w:t xml:space="preserve"> all M</w:t>
      </w:r>
      <w:r w:rsidR="003B7F83">
        <w:rPr>
          <w:rFonts w:ascii="Arial" w:hAnsi="Arial" w:cs="Arial"/>
        </w:rPr>
        <w:t xml:space="preserve">ember </w:t>
      </w:r>
      <w:r w:rsidR="000D7133" w:rsidRPr="000D7133">
        <w:rPr>
          <w:rFonts w:ascii="Arial" w:hAnsi="Arial" w:cs="Arial"/>
        </w:rPr>
        <w:t>S</w:t>
      </w:r>
      <w:r w:rsidR="003B7F83">
        <w:rPr>
          <w:rFonts w:ascii="Arial" w:hAnsi="Arial" w:cs="Arial"/>
        </w:rPr>
        <w:t>tate</w:t>
      </w:r>
      <w:r w:rsidR="000D7133" w:rsidRPr="000D7133">
        <w:rPr>
          <w:rFonts w:ascii="Arial" w:hAnsi="Arial" w:cs="Arial"/>
        </w:rPr>
        <w:t xml:space="preserve"> to reduce administrativ</w:t>
      </w:r>
      <w:r w:rsidR="00C17617">
        <w:rPr>
          <w:rFonts w:ascii="Arial" w:hAnsi="Arial" w:cs="Arial"/>
        </w:rPr>
        <w:t xml:space="preserve">e burden for the </w:t>
      </w:r>
      <w:r w:rsidR="00D07D81">
        <w:rPr>
          <w:rFonts w:ascii="Arial" w:hAnsi="Arial" w:cs="Arial"/>
        </w:rPr>
        <w:t>beneficiaries</w:t>
      </w:r>
      <w:r>
        <w:rPr>
          <w:rFonts w:ascii="Arial" w:hAnsi="Arial" w:cs="Arial"/>
        </w:rPr>
        <w:t>;</w:t>
      </w:r>
      <w:r w:rsidR="000D7133" w:rsidRPr="000D7133">
        <w:rPr>
          <w:rFonts w:ascii="Arial" w:hAnsi="Arial" w:cs="Arial"/>
        </w:rPr>
        <w:t xml:space="preserve"> </w:t>
      </w:r>
    </w:p>
    <w:p w:rsidR="00A55F01" w:rsidRPr="001F4F19" w:rsidRDefault="00BB5FE7" w:rsidP="001F4F19">
      <w:pPr>
        <w:jc w:val="both"/>
        <w:rPr>
          <w:rFonts w:ascii="Arial" w:hAnsi="Arial" w:cs="Arial"/>
          <w:b/>
          <w:bCs/>
          <w:u w:val="single"/>
        </w:rPr>
      </w:pPr>
      <w:r>
        <w:rPr>
          <w:rFonts w:ascii="Arial" w:hAnsi="Arial" w:cs="Arial"/>
          <w:b/>
          <w:bCs/>
          <w:u w:val="single"/>
        </w:rPr>
        <w:t xml:space="preserve"> </w:t>
      </w:r>
    </w:p>
    <w:p w:rsidR="008F6624" w:rsidRPr="00D72FC3" w:rsidRDefault="00D72FC3" w:rsidP="00F327C3">
      <w:pPr>
        <w:pStyle w:val="ListParagraph"/>
        <w:numPr>
          <w:ilvl w:val="0"/>
          <w:numId w:val="11"/>
        </w:numPr>
        <w:jc w:val="both"/>
        <w:rPr>
          <w:rFonts w:ascii="Arial" w:hAnsi="Arial" w:cs="Arial"/>
          <w:bCs/>
        </w:rPr>
      </w:pPr>
      <w:r w:rsidRPr="00D72FC3">
        <w:rPr>
          <w:rFonts w:ascii="Arial" w:hAnsi="Arial" w:cs="Arial"/>
          <w:bCs/>
        </w:rPr>
        <w:t xml:space="preserve">continued </w:t>
      </w:r>
      <w:r w:rsidR="00BB5FE7" w:rsidRPr="00D72FC3">
        <w:rPr>
          <w:rFonts w:ascii="Arial" w:hAnsi="Arial" w:cs="Arial"/>
          <w:bCs/>
        </w:rPr>
        <w:t xml:space="preserve">efforts to ensure </w:t>
      </w:r>
      <w:r w:rsidR="00F13120" w:rsidRPr="00D72FC3">
        <w:rPr>
          <w:rFonts w:ascii="Arial" w:hAnsi="Arial" w:cs="Arial"/>
          <w:bCs/>
        </w:rPr>
        <w:t xml:space="preserve">strict </w:t>
      </w:r>
      <w:r w:rsidR="00BB5FE7" w:rsidRPr="00D72FC3">
        <w:rPr>
          <w:rFonts w:ascii="Arial" w:hAnsi="Arial" w:cs="Arial"/>
          <w:bCs/>
        </w:rPr>
        <w:t>compliance with eligibility requirements and the correct application of public procurement rules</w:t>
      </w:r>
      <w:r w:rsidR="00B2678F">
        <w:rPr>
          <w:rFonts w:ascii="Arial" w:hAnsi="Arial" w:cs="Arial"/>
          <w:bCs/>
        </w:rPr>
        <w:t>,</w:t>
      </w:r>
      <w:r w:rsidR="00BB5FE7" w:rsidRPr="00D72FC3">
        <w:rPr>
          <w:rFonts w:ascii="Arial" w:hAnsi="Arial" w:cs="Arial"/>
          <w:bCs/>
        </w:rPr>
        <w:t xml:space="preserve"> through training and guidance to programme managing authorities</w:t>
      </w:r>
      <w:r>
        <w:rPr>
          <w:rFonts w:ascii="Arial" w:hAnsi="Arial" w:cs="Arial"/>
          <w:bCs/>
        </w:rPr>
        <w:t>;</w:t>
      </w:r>
      <w:r w:rsidR="007F13CC" w:rsidRPr="00D72FC3">
        <w:rPr>
          <w:rFonts w:ascii="Arial" w:hAnsi="Arial" w:cs="Arial"/>
          <w:bCs/>
        </w:rPr>
        <w:t xml:space="preserve"> </w:t>
      </w:r>
    </w:p>
    <w:p w:rsidR="00D72FC3" w:rsidRPr="00D72FC3" w:rsidRDefault="00D72FC3" w:rsidP="00D72FC3">
      <w:pPr>
        <w:jc w:val="both"/>
        <w:rPr>
          <w:rFonts w:ascii="Arial" w:hAnsi="Arial" w:cs="Arial"/>
          <w:bCs/>
        </w:rPr>
      </w:pPr>
    </w:p>
    <w:p w:rsidR="00ED0AED" w:rsidRDefault="008F6624" w:rsidP="00E11A89">
      <w:pPr>
        <w:pStyle w:val="Default"/>
        <w:numPr>
          <w:ilvl w:val="0"/>
          <w:numId w:val="11"/>
        </w:numPr>
        <w:rPr>
          <w:rFonts w:ascii="Arial" w:hAnsi="Arial" w:cs="Arial"/>
        </w:rPr>
      </w:pPr>
      <w:r w:rsidRPr="00D72FC3">
        <w:rPr>
          <w:rFonts w:ascii="Arial" w:hAnsi="Arial" w:cs="Arial"/>
        </w:rPr>
        <w:t>speed</w:t>
      </w:r>
      <w:r w:rsidR="00B2678F">
        <w:rPr>
          <w:rFonts w:ascii="Arial" w:hAnsi="Arial" w:cs="Arial"/>
        </w:rPr>
        <w:t>ing</w:t>
      </w:r>
      <w:r w:rsidRPr="00D72FC3">
        <w:rPr>
          <w:rFonts w:ascii="Arial" w:hAnsi="Arial" w:cs="Arial"/>
        </w:rPr>
        <w:t xml:space="preserve"> up the audit and </w:t>
      </w:r>
      <w:r w:rsidR="006021BD" w:rsidRPr="00D72FC3">
        <w:rPr>
          <w:rFonts w:ascii="Arial" w:hAnsi="Arial" w:cs="Arial"/>
        </w:rPr>
        <w:t xml:space="preserve">financial correction procedures, </w:t>
      </w:r>
      <w:r w:rsidRPr="00D72FC3">
        <w:rPr>
          <w:rFonts w:ascii="Arial" w:hAnsi="Arial" w:cs="Arial"/>
        </w:rPr>
        <w:t>particular</w:t>
      </w:r>
      <w:r w:rsidR="006021BD" w:rsidRPr="00D72FC3">
        <w:rPr>
          <w:rFonts w:ascii="Arial" w:hAnsi="Arial" w:cs="Arial"/>
        </w:rPr>
        <w:t>ly</w:t>
      </w:r>
      <w:r w:rsidRPr="00D72FC3">
        <w:rPr>
          <w:rFonts w:ascii="Arial" w:hAnsi="Arial" w:cs="Arial"/>
        </w:rPr>
        <w:t xml:space="preserve"> </w:t>
      </w:r>
      <w:r w:rsidR="006021BD" w:rsidRPr="00D72FC3">
        <w:rPr>
          <w:rFonts w:ascii="Arial" w:hAnsi="Arial" w:cs="Arial"/>
        </w:rPr>
        <w:t>to merge</w:t>
      </w:r>
      <w:r w:rsidR="007F13CC" w:rsidRPr="00D72FC3">
        <w:rPr>
          <w:rFonts w:ascii="Arial" w:hAnsi="Arial" w:cs="Arial"/>
        </w:rPr>
        <w:t xml:space="preserve"> </w:t>
      </w:r>
      <w:r w:rsidR="00867DDB" w:rsidRPr="00D72FC3">
        <w:rPr>
          <w:rFonts w:ascii="Arial" w:hAnsi="Arial" w:cs="Arial"/>
        </w:rPr>
        <w:t>t</w:t>
      </w:r>
      <w:r w:rsidRPr="00D72FC3">
        <w:rPr>
          <w:rFonts w:ascii="Arial" w:hAnsi="Arial" w:cs="Arial"/>
        </w:rPr>
        <w:t>he different stages of the procedure le</w:t>
      </w:r>
      <w:r w:rsidR="00D72FC3" w:rsidRPr="00D72FC3">
        <w:rPr>
          <w:rFonts w:ascii="Arial" w:hAnsi="Arial" w:cs="Arial"/>
        </w:rPr>
        <w:t>ading to a financial correction.</w:t>
      </w:r>
      <w:r w:rsidR="00B2678F">
        <w:rPr>
          <w:rFonts w:ascii="Arial" w:hAnsi="Arial" w:cs="Arial"/>
        </w:rPr>
        <w:t xml:space="preserve"> T</w:t>
      </w:r>
      <w:r w:rsidRPr="00D72FC3">
        <w:rPr>
          <w:rFonts w:ascii="Arial" w:hAnsi="Arial" w:cs="Arial"/>
        </w:rPr>
        <w:t>he Commission</w:t>
      </w:r>
      <w:r w:rsidR="007F13CC" w:rsidRPr="00D72FC3">
        <w:rPr>
          <w:rFonts w:ascii="Arial" w:hAnsi="Arial" w:cs="Arial"/>
        </w:rPr>
        <w:t xml:space="preserve"> argues</w:t>
      </w:r>
      <w:r w:rsidR="003B7F83" w:rsidRPr="00D72FC3">
        <w:rPr>
          <w:rFonts w:ascii="Arial" w:hAnsi="Arial" w:cs="Arial"/>
        </w:rPr>
        <w:t xml:space="preserve"> </w:t>
      </w:r>
      <w:r w:rsidR="001F4F19" w:rsidRPr="00D72FC3">
        <w:rPr>
          <w:rFonts w:ascii="Arial" w:hAnsi="Arial" w:cs="Arial"/>
        </w:rPr>
        <w:t xml:space="preserve">that </w:t>
      </w:r>
      <w:r w:rsidR="00867DDB" w:rsidRPr="00D72FC3">
        <w:rPr>
          <w:rFonts w:ascii="Arial" w:hAnsi="Arial" w:cs="Arial"/>
        </w:rPr>
        <w:t xml:space="preserve">this </w:t>
      </w:r>
      <w:r w:rsidR="006021BD" w:rsidRPr="00D72FC3">
        <w:rPr>
          <w:rFonts w:ascii="Arial" w:hAnsi="Arial" w:cs="Arial"/>
        </w:rPr>
        <w:t>has been applied</w:t>
      </w:r>
      <w:r w:rsidR="00A033E9" w:rsidRPr="00D72FC3">
        <w:rPr>
          <w:rFonts w:ascii="Arial" w:hAnsi="Arial" w:cs="Arial"/>
        </w:rPr>
        <w:t xml:space="preserve"> </w:t>
      </w:r>
      <w:r w:rsidR="00867DDB" w:rsidRPr="00D72FC3">
        <w:rPr>
          <w:rFonts w:ascii="Arial" w:hAnsi="Arial" w:cs="Arial"/>
        </w:rPr>
        <w:t>in</w:t>
      </w:r>
      <w:r w:rsidRPr="00D72FC3">
        <w:rPr>
          <w:rFonts w:ascii="Arial" w:hAnsi="Arial" w:cs="Arial"/>
        </w:rPr>
        <w:t xml:space="preserve"> the Cohesion Policy area</w:t>
      </w:r>
      <w:r w:rsidR="00DB7458" w:rsidRPr="00D72FC3">
        <w:rPr>
          <w:rFonts w:ascii="Arial" w:hAnsi="Arial" w:cs="Arial"/>
        </w:rPr>
        <w:t xml:space="preserve"> since 2012</w:t>
      </w:r>
      <w:r w:rsidR="007F13CC" w:rsidRPr="00D72FC3">
        <w:rPr>
          <w:rFonts w:ascii="Arial" w:hAnsi="Arial" w:cs="Arial"/>
        </w:rPr>
        <w:t xml:space="preserve"> and is </w:t>
      </w:r>
      <w:r w:rsidR="00D07D81" w:rsidRPr="00D72FC3">
        <w:rPr>
          <w:rFonts w:ascii="Arial" w:hAnsi="Arial" w:cs="Arial"/>
        </w:rPr>
        <w:t xml:space="preserve">planned for </w:t>
      </w:r>
      <w:r w:rsidR="00B40033" w:rsidRPr="00D72FC3">
        <w:rPr>
          <w:rFonts w:ascii="Arial" w:hAnsi="Arial" w:cs="Arial"/>
        </w:rPr>
        <w:t>o</w:t>
      </w:r>
      <w:r w:rsidR="00A033E9" w:rsidRPr="00D72FC3">
        <w:rPr>
          <w:rFonts w:ascii="Arial" w:hAnsi="Arial" w:cs="Arial"/>
        </w:rPr>
        <w:t>ther policy areas</w:t>
      </w:r>
      <w:r w:rsidR="00D72FC3">
        <w:rPr>
          <w:rFonts w:ascii="Arial" w:hAnsi="Arial" w:cs="Arial"/>
        </w:rPr>
        <w:t>;</w:t>
      </w:r>
      <w:r w:rsidR="007F13CC" w:rsidRPr="00D72FC3">
        <w:rPr>
          <w:rFonts w:ascii="Arial" w:hAnsi="Arial" w:cs="Arial"/>
        </w:rPr>
        <w:t xml:space="preserve"> </w:t>
      </w:r>
      <w:r w:rsidR="00045735">
        <w:rPr>
          <w:rFonts w:ascii="Arial" w:hAnsi="Arial" w:cs="Arial"/>
        </w:rPr>
        <w:t>and</w:t>
      </w:r>
    </w:p>
    <w:p w:rsidR="00D72FC3" w:rsidRPr="00D72FC3" w:rsidRDefault="00D72FC3" w:rsidP="00D72FC3">
      <w:pPr>
        <w:pStyle w:val="Default"/>
        <w:rPr>
          <w:rFonts w:ascii="Arial" w:hAnsi="Arial" w:cs="Arial"/>
        </w:rPr>
      </w:pPr>
    </w:p>
    <w:p w:rsidR="008F6624" w:rsidRPr="00E7301D" w:rsidRDefault="00E7301D" w:rsidP="00E7301D">
      <w:pPr>
        <w:pStyle w:val="Default"/>
        <w:numPr>
          <w:ilvl w:val="0"/>
          <w:numId w:val="11"/>
        </w:numPr>
        <w:rPr>
          <w:rFonts w:ascii="Arial" w:hAnsi="Arial" w:cs="Arial"/>
        </w:rPr>
      </w:pPr>
      <w:r>
        <w:rPr>
          <w:rFonts w:ascii="Arial" w:hAnsi="Arial" w:cs="Arial"/>
        </w:rPr>
        <w:t>plans to</w:t>
      </w:r>
      <w:r w:rsidR="00ED0AED">
        <w:rPr>
          <w:rFonts w:ascii="Arial" w:hAnsi="Arial" w:cs="Arial"/>
        </w:rPr>
        <w:t xml:space="preserve"> evaluate </w:t>
      </w:r>
      <w:r w:rsidR="00A26231">
        <w:rPr>
          <w:rFonts w:ascii="Arial" w:hAnsi="Arial" w:cs="Arial"/>
        </w:rPr>
        <w:t xml:space="preserve">and report </w:t>
      </w:r>
      <w:r w:rsidR="00B2678F">
        <w:rPr>
          <w:rFonts w:ascii="Arial" w:hAnsi="Arial" w:cs="Arial"/>
        </w:rPr>
        <w:t xml:space="preserve">by March 2014, </w:t>
      </w:r>
      <w:r w:rsidR="007F13CC">
        <w:rPr>
          <w:rFonts w:ascii="Arial" w:hAnsi="Arial" w:cs="Arial"/>
        </w:rPr>
        <w:t xml:space="preserve">on </w:t>
      </w:r>
      <w:r w:rsidR="00A26231">
        <w:rPr>
          <w:rFonts w:ascii="Arial" w:hAnsi="Arial" w:cs="Arial"/>
        </w:rPr>
        <w:t xml:space="preserve">the </w:t>
      </w:r>
      <w:r w:rsidR="00ED0AED">
        <w:rPr>
          <w:rFonts w:ascii="Arial" w:hAnsi="Arial" w:cs="Arial"/>
        </w:rPr>
        <w:t>progress made in the financial management of the different policy areas of t</w:t>
      </w:r>
      <w:r w:rsidR="00A26231">
        <w:rPr>
          <w:rFonts w:ascii="Arial" w:hAnsi="Arial" w:cs="Arial"/>
        </w:rPr>
        <w:t xml:space="preserve">he EU Budget </w:t>
      </w:r>
      <w:r w:rsidR="00ED0AED">
        <w:rPr>
          <w:rFonts w:ascii="Arial" w:hAnsi="Arial" w:cs="Arial"/>
        </w:rPr>
        <w:t xml:space="preserve">in the </w:t>
      </w:r>
      <w:r w:rsidR="00CC1146">
        <w:rPr>
          <w:rFonts w:ascii="Arial" w:hAnsi="Arial" w:cs="Arial"/>
        </w:rPr>
        <w:t>annual activity reports (</w:t>
      </w:r>
      <w:r w:rsidR="00ED0AED">
        <w:rPr>
          <w:rFonts w:ascii="Arial" w:hAnsi="Arial" w:cs="Arial"/>
        </w:rPr>
        <w:t>AARs</w:t>
      </w:r>
      <w:r w:rsidR="00CC1146">
        <w:rPr>
          <w:rFonts w:ascii="Arial" w:hAnsi="Arial" w:cs="Arial"/>
        </w:rPr>
        <w:t>)</w:t>
      </w:r>
      <w:r w:rsidR="00ED0AED">
        <w:rPr>
          <w:rFonts w:ascii="Arial" w:hAnsi="Arial" w:cs="Arial"/>
        </w:rPr>
        <w:t xml:space="preserve"> and the synthesis report for 2013</w:t>
      </w:r>
      <w:r w:rsidR="007F13CC">
        <w:rPr>
          <w:rFonts w:ascii="Arial" w:hAnsi="Arial" w:cs="Arial"/>
        </w:rPr>
        <w:t>,</w:t>
      </w:r>
      <w:r w:rsidR="00ED0AED">
        <w:rPr>
          <w:rFonts w:ascii="Arial" w:hAnsi="Arial" w:cs="Arial"/>
        </w:rPr>
        <w:t>.</w:t>
      </w:r>
    </w:p>
    <w:p w:rsidR="00D252BE" w:rsidRPr="00D252BE" w:rsidRDefault="00D252BE" w:rsidP="00D252BE"/>
    <w:p w:rsidR="00233706" w:rsidRDefault="00045735" w:rsidP="00231BD8">
      <w:pPr>
        <w:rPr>
          <w:rFonts w:ascii="Arial" w:hAnsi="Arial" w:cs="Arial"/>
          <w:bCs/>
          <w:i/>
        </w:rPr>
      </w:pPr>
      <w:r>
        <w:rPr>
          <w:rFonts w:ascii="Arial" w:hAnsi="Arial" w:cs="Arial"/>
          <w:bCs/>
          <w:i/>
        </w:rPr>
        <w:t xml:space="preserve">Action 3: </w:t>
      </w:r>
      <w:r w:rsidR="00D252BE" w:rsidRPr="00D252BE">
        <w:rPr>
          <w:rFonts w:ascii="Arial" w:hAnsi="Arial" w:cs="Arial"/>
          <w:bCs/>
          <w:i/>
        </w:rPr>
        <w:t>Evaluation Report and enhanced use of performance audits</w:t>
      </w:r>
    </w:p>
    <w:p w:rsidR="00A5366F" w:rsidRPr="00CA1F14" w:rsidRDefault="00A5366F" w:rsidP="00231BD8">
      <w:pPr>
        <w:rPr>
          <w:rFonts w:ascii="Arial" w:hAnsi="Arial" w:cs="Arial"/>
          <w:bCs/>
          <w:i/>
        </w:rPr>
      </w:pPr>
    </w:p>
    <w:p w:rsidR="00527546" w:rsidRDefault="00F04C0A" w:rsidP="00527546">
      <w:pPr>
        <w:numPr>
          <w:ilvl w:val="0"/>
          <w:numId w:val="3"/>
        </w:numPr>
        <w:jc w:val="both"/>
        <w:rPr>
          <w:rFonts w:ascii="Arial" w:hAnsi="Arial" w:cs="Arial"/>
        </w:rPr>
      </w:pPr>
      <w:r>
        <w:rPr>
          <w:rFonts w:ascii="Arial" w:hAnsi="Arial" w:cs="Arial"/>
        </w:rPr>
        <w:t>T</w:t>
      </w:r>
      <w:r w:rsidR="00D252BE">
        <w:rPr>
          <w:rFonts w:ascii="Arial" w:hAnsi="Arial" w:cs="Arial"/>
        </w:rPr>
        <w:t xml:space="preserve">he </w:t>
      </w:r>
      <w:r w:rsidR="00D252BE" w:rsidRPr="00D252BE">
        <w:rPr>
          <w:rFonts w:ascii="Arial" w:hAnsi="Arial" w:cs="Arial"/>
        </w:rPr>
        <w:t>Commissio</w:t>
      </w:r>
      <w:r w:rsidR="00A67A09">
        <w:rPr>
          <w:rFonts w:ascii="Arial" w:hAnsi="Arial" w:cs="Arial"/>
        </w:rPr>
        <w:t>n</w:t>
      </w:r>
      <w:r w:rsidR="00117193">
        <w:rPr>
          <w:rFonts w:ascii="Arial" w:hAnsi="Arial" w:cs="Arial"/>
        </w:rPr>
        <w:t xml:space="preserve"> states that</w:t>
      </w:r>
      <w:r w:rsidR="00117193" w:rsidRPr="00117193">
        <w:rPr>
          <w:sz w:val="23"/>
          <w:szCs w:val="23"/>
        </w:rPr>
        <w:t xml:space="preserve"> </w:t>
      </w:r>
      <w:r w:rsidR="00A67A09">
        <w:rPr>
          <w:rFonts w:ascii="Arial" w:hAnsi="Arial" w:cs="Arial"/>
        </w:rPr>
        <w:t>m</w:t>
      </w:r>
      <w:r w:rsidR="00117193" w:rsidRPr="00117193">
        <w:rPr>
          <w:rFonts w:ascii="Arial" w:hAnsi="Arial" w:cs="Arial"/>
        </w:rPr>
        <w:t xml:space="preserve">ore progress and performance information </w:t>
      </w:r>
      <w:r w:rsidR="00045735">
        <w:rPr>
          <w:rFonts w:ascii="Arial" w:hAnsi="Arial" w:cs="Arial"/>
        </w:rPr>
        <w:t>will be used in the Evaluation R</w:t>
      </w:r>
      <w:r w:rsidR="00117193" w:rsidRPr="00117193">
        <w:rPr>
          <w:rFonts w:ascii="Arial" w:hAnsi="Arial" w:cs="Arial"/>
        </w:rPr>
        <w:t xml:space="preserve">eport, including the results of, and actions taken following, </w:t>
      </w:r>
      <w:r w:rsidR="00045735">
        <w:rPr>
          <w:rFonts w:ascii="Arial" w:hAnsi="Arial" w:cs="Arial"/>
        </w:rPr>
        <w:t xml:space="preserve">the various existing </w:t>
      </w:r>
      <w:r w:rsidR="00117193" w:rsidRPr="00117193">
        <w:rPr>
          <w:rFonts w:ascii="Arial" w:hAnsi="Arial" w:cs="Arial"/>
        </w:rPr>
        <w:t>performance audits.</w:t>
      </w:r>
      <w:r w:rsidR="00A67A09">
        <w:rPr>
          <w:rFonts w:ascii="Arial" w:hAnsi="Arial" w:cs="Arial"/>
        </w:rPr>
        <w:t xml:space="preserve"> </w:t>
      </w:r>
      <w:r w:rsidR="00233706" w:rsidRPr="00A67A09">
        <w:rPr>
          <w:rFonts w:ascii="Arial" w:hAnsi="Arial" w:cs="Arial"/>
        </w:rPr>
        <w:t xml:space="preserve">To clearly define ‘EU-added value’, the Commission has tabled a concept which has been used as a basis for the proposal made for the next generation of programmes under </w:t>
      </w:r>
      <w:r w:rsidR="00A67A09" w:rsidRPr="00A67A09">
        <w:rPr>
          <w:rFonts w:ascii="Arial" w:hAnsi="Arial" w:cs="Arial"/>
        </w:rPr>
        <w:t xml:space="preserve">the MFF. </w:t>
      </w:r>
      <w:r w:rsidR="00045735">
        <w:rPr>
          <w:rFonts w:ascii="Arial" w:hAnsi="Arial" w:cs="Arial"/>
        </w:rPr>
        <w:lastRenderedPageBreak/>
        <w:t>The aim is also for r</w:t>
      </w:r>
      <w:r w:rsidR="00A67A09" w:rsidRPr="00A67A09">
        <w:rPr>
          <w:rFonts w:ascii="Arial" w:hAnsi="Arial" w:cs="Arial"/>
        </w:rPr>
        <w:t xml:space="preserve">eporting in the AARs </w:t>
      </w:r>
      <w:r w:rsidR="00045735">
        <w:rPr>
          <w:rFonts w:ascii="Arial" w:hAnsi="Arial" w:cs="Arial"/>
        </w:rPr>
        <w:t>to</w:t>
      </w:r>
      <w:r w:rsidR="00A67A09" w:rsidRPr="00A67A09">
        <w:rPr>
          <w:rFonts w:ascii="Arial" w:hAnsi="Arial" w:cs="Arial"/>
        </w:rPr>
        <w:t xml:space="preserve"> focus on how resources have been us</w:t>
      </w:r>
      <w:r w:rsidR="00045735">
        <w:rPr>
          <w:rFonts w:ascii="Arial" w:hAnsi="Arial" w:cs="Arial"/>
        </w:rPr>
        <w:t>ed to achieve policy objectives</w:t>
      </w:r>
      <w:r w:rsidR="00A67A09" w:rsidRPr="00A67A09">
        <w:rPr>
          <w:rFonts w:ascii="Arial" w:hAnsi="Arial" w:cs="Arial"/>
        </w:rPr>
        <w:t xml:space="preserve"> and how these policies have generated EU-added value</w:t>
      </w:r>
      <w:r w:rsidR="00233706" w:rsidRPr="00A67A09">
        <w:rPr>
          <w:rFonts w:ascii="Arial" w:hAnsi="Arial" w:cs="Arial"/>
        </w:rPr>
        <w:t>.</w:t>
      </w:r>
    </w:p>
    <w:p w:rsidR="00527546" w:rsidRDefault="00527546" w:rsidP="00527546">
      <w:pPr>
        <w:ind w:left="360"/>
        <w:jc w:val="both"/>
        <w:rPr>
          <w:rFonts w:ascii="Arial" w:hAnsi="Arial" w:cs="Arial"/>
        </w:rPr>
      </w:pPr>
    </w:p>
    <w:p w:rsidR="00233706" w:rsidRPr="00527546" w:rsidRDefault="00527546" w:rsidP="00527546">
      <w:pPr>
        <w:numPr>
          <w:ilvl w:val="0"/>
          <w:numId w:val="3"/>
        </w:numPr>
        <w:jc w:val="both"/>
        <w:rPr>
          <w:rFonts w:ascii="Arial" w:hAnsi="Arial" w:cs="Arial"/>
        </w:rPr>
      </w:pPr>
      <w:r w:rsidRPr="00527546">
        <w:rPr>
          <w:rFonts w:ascii="Arial" w:hAnsi="Arial" w:cs="Arial"/>
        </w:rPr>
        <w:t>Conc</w:t>
      </w:r>
      <w:r>
        <w:rPr>
          <w:rFonts w:ascii="Arial" w:hAnsi="Arial" w:cs="Arial"/>
        </w:rPr>
        <w:t>e</w:t>
      </w:r>
      <w:r w:rsidRPr="00527546">
        <w:rPr>
          <w:rFonts w:ascii="Arial" w:hAnsi="Arial" w:cs="Arial"/>
        </w:rPr>
        <w:t xml:space="preserve">rning the EU 2020 flagship and other initiatives, the Commission </w:t>
      </w:r>
      <w:r>
        <w:rPr>
          <w:rFonts w:ascii="Arial" w:hAnsi="Arial" w:cs="Arial"/>
        </w:rPr>
        <w:t xml:space="preserve">states that its </w:t>
      </w:r>
      <w:r w:rsidRPr="00527546">
        <w:rPr>
          <w:rFonts w:ascii="Arial" w:hAnsi="Arial" w:cs="Arial"/>
        </w:rPr>
        <w:t>proposals for the new generation of programmes include elements aimed at delivering a stronger performance framework focussing on efficiency and effectiveness in reaching the</w:t>
      </w:r>
      <w:r w:rsidR="00045735">
        <w:rPr>
          <w:rFonts w:ascii="Arial" w:hAnsi="Arial" w:cs="Arial"/>
        </w:rPr>
        <w:t xml:space="preserve"> priority objectives</w:t>
      </w:r>
      <w:r w:rsidRPr="00527546">
        <w:rPr>
          <w:rFonts w:ascii="Arial" w:hAnsi="Arial" w:cs="Arial"/>
        </w:rPr>
        <w:t>.</w:t>
      </w:r>
      <w:r>
        <w:rPr>
          <w:rFonts w:ascii="Arial" w:hAnsi="Arial" w:cs="Arial"/>
        </w:rPr>
        <w:t xml:space="preserve"> </w:t>
      </w:r>
      <w:r w:rsidR="00233706" w:rsidRPr="00527546">
        <w:rPr>
          <w:rFonts w:ascii="Arial" w:hAnsi="Arial" w:cs="Arial"/>
        </w:rPr>
        <w:t xml:space="preserve">The Commission has committed to reporting on progress in achieving the objectives of the financial programmes, which are designed to contribute to the achievement of the EU 2020 targets and the other programmes contributing to other EU objectives.  </w:t>
      </w:r>
    </w:p>
    <w:p w:rsidR="00D252BE" w:rsidRDefault="00D252BE" w:rsidP="00233706">
      <w:pPr>
        <w:jc w:val="both"/>
        <w:rPr>
          <w:rFonts w:ascii="Arial" w:hAnsi="Arial" w:cs="Arial"/>
        </w:rPr>
      </w:pPr>
    </w:p>
    <w:p w:rsidR="00233706" w:rsidRDefault="00045735" w:rsidP="00233706">
      <w:pPr>
        <w:jc w:val="both"/>
        <w:rPr>
          <w:rFonts w:ascii="Arial" w:hAnsi="Arial" w:cs="Arial"/>
          <w:i/>
        </w:rPr>
      </w:pPr>
      <w:r>
        <w:rPr>
          <w:rFonts w:ascii="Arial" w:hAnsi="Arial" w:cs="Arial"/>
          <w:i/>
        </w:rPr>
        <w:t xml:space="preserve">Action 4: </w:t>
      </w:r>
      <w:r w:rsidR="00233706" w:rsidRPr="00233706">
        <w:rPr>
          <w:rFonts w:ascii="Arial" w:hAnsi="Arial" w:cs="Arial"/>
          <w:i/>
        </w:rPr>
        <w:t>concerning revenues and traditional own resources</w:t>
      </w:r>
    </w:p>
    <w:p w:rsidR="00FA73C1" w:rsidRPr="00233706" w:rsidRDefault="00FA73C1" w:rsidP="00233706">
      <w:pPr>
        <w:jc w:val="both"/>
        <w:rPr>
          <w:rFonts w:ascii="Arial" w:hAnsi="Arial" w:cs="Arial"/>
          <w:i/>
        </w:rPr>
      </w:pPr>
    </w:p>
    <w:p w:rsidR="00CE7CF4" w:rsidRPr="00527546" w:rsidRDefault="001D7421" w:rsidP="00527546">
      <w:pPr>
        <w:numPr>
          <w:ilvl w:val="0"/>
          <w:numId w:val="3"/>
        </w:numPr>
        <w:jc w:val="both"/>
        <w:rPr>
          <w:rFonts w:ascii="Arial" w:hAnsi="Arial" w:cs="Arial"/>
        </w:rPr>
      </w:pPr>
      <w:r>
        <w:rPr>
          <w:rFonts w:ascii="Arial" w:hAnsi="Arial" w:cs="Arial"/>
        </w:rPr>
        <w:t>T</w:t>
      </w:r>
      <w:r w:rsidR="00906551">
        <w:rPr>
          <w:rFonts w:ascii="Arial" w:hAnsi="Arial" w:cs="Arial"/>
        </w:rPr>
        <w:t>he</w:t>
      </w:r>
      <w:r w:rsidR="001A6300" w:rsidRPr="001A6300">
        <w:rPr>
          <w:rFonts w:ascii="Arial" w:hAnsi="Arial" w:cs="Arial"/>
        </w:rPr>
        <w:t xml:space="preserve"> Commission states that it is providing assi</w:t>
      </w:r>
      <w:r w:rsidR="00CE7CF4">
        <w:rPr>
          <w:rFonts w:ascii="Arial" w:hAnsi="Arial" w:cs="Arial"/>
        </w:rPr>
        <w:t>stance to certain Member States</w:t>
      </w:r>
      <w:r w:rsidRPr="001D7421">
        <w:rPr>
          <w:rFonts w:ascii="Arial" w:hAnsi="Arial" w:cs="Arial"/>
        </w:rPr>
        <w:t xml:space="preserve"> </w:t>
      </w:r>
      <w:r>
        <w:rPr>
          <w:rFonts w:ascii="Arial" w:hAnsi="Arial" w:cs="Arial"/>
        </w:rPr>
        <w:t>in increasing</w:t>
      </w:r>
      <w:r w:rsidRPr="001A6300">
        <w:rPr>
          <w:rFonts w:ascii="Arial" w:hAnsi="Arial" w:cs="Arial"/>
        </w:rPr>
        <w:t xml:space="preserve"> the effectiveness and efficie</w:t>
      </w:r>
      <w:r>
        <w:rPr>
          <w:rFonts w:ascii="Arial" w:hAnsi="Arial" w:cs="Arial"/>
        </w:rPr>
        <w:t>ncy of the collection of custom</w:t>
      </w:r>
      <w:r w:rsidRPr="001A6300">
        <w:rPr>
          <w:rFonts w:ascii="Arial" w:hAnsi="Arial" w:cs="Arial"/>
        </w:rPr>
        <w:t xml:space="preserve"> duties and VAT</w:t>
      </w:r>
      <w:r>
        <w:rPr>
          <w:rFonts w:ascii="Arial" w:hAnsi="Arial" w:cs="Arial"/>
        </w:rPr>
        <w:t>,</w:t>
      </w:r>
      <w:r w:rsidR="00CE7CF4">
        <w:rPr>
          <w:rFonts w:ascii="Arial" w:hAnsi="Arial" w:cs="Arial"/>
        </w:rPr>
        <w:t xml:space="preserve"> and that i</w:t>
      </w:r>
      <w:r w:rsidR="00906551">
        <w:rPr>
          <w:rFonts w:ascii="Arial" w:hAnsi="Arial" w:cs="Arial"/>
        </w:rPr>
        <w:t xml:space="preserve">t </w:t>
      </w:r>
      <w:r w:rsidR="00984B23" w:rsidRPr="001A6300">
        <w:rPr>
          <w:rFonts w:ascii="Arial" w:hAnsi="Arial" w:cs="Arial"/>
        </w:rPr>
        <w:t xml:space="preserve">has provided an evaluation of the cost of postponing the full application of the </w:t>
      </w:r>
      <w:r w:rsidR="006021BD">
        <w:rPr>
          <w:rFonts w:ascii="Arial" w:hAnsi="Arial" w:cs="Arial"/>
        </w:rPr>
        <w:t>Moderni</w:t>
      </w:r>
      <w:r w:rsidR="00984B23" w:rsidRPr="001A6300">
        <w:rPr>
          <w:rFonts w:ascii="Arial" w:hAnsi="Arial" w:cs="Arial"/>
        </w:rPr>
        <w:t>sed Customs Code</w:t>
      </w:r>
      <w:r w:rsidR="006021BD">
        <w:rPr>
          <w:rFonts w:ascii="Arial" w:hAnsi="Arial" w:cs="Arial"/>
        </w:rPr>
        <w:t xml:space="preserve"> (MCC)</w:t>
      </w:r>
      <w:r w:rsidR="00984B23" w:rsidRPr="001A6300">
        <w:rPr>
          <w:rFonts w:ascii="Arial" w:hAnsi="Arial" w:cs="Arial"/>
        </w:rPr>
        <w:t>.</w:t>
      </w:r>
      <w:r w:rsidR="00527546">
        <w:rPr>
          <w:rFonts w:ascii="Arial" w:hAnsi="Arial" w:cs="Arial"/>
        </w:rPr>
        <w:t xml:space="preserve"> It </w:t>
      </w:r>
      <w:r w:rsidRPr="00527546">
        <w:rPr>
          <w:rFonts w:ascii="Arial" w:hAnsi="Arial" w:cs="Arial"/>
        </w:rPr>
        <w:t>also set</w:t>
      </w:r>
      <w:r w:rsidR="00045735">
        <w:rPr>
          <w:rFonts w:ascii="Arial" w:hAnsi="Arial" w:cs="Arial"/>
        </w:rPr>
        <w:t>s</w:t>
      </w:r>
      <w:r w:rsidR="00D07D81" w:rsidRPr="00527546">
        <w:rPr>
          <w:rFonts w:ascii="Arial" w:hAnsi="Arial" w:cs="Arial"/>
        </w:rPr>
        <w:t xml:space="preserve"> out the</w:t>
      </w:r>
      <w:r w:rsidR="00DF7396" w:rsidRPr="00527546">
        <w:rPr>
          <w:rFonts w:ascii="Arial" w:hAnsi="Arial" w:cs="Arial"/>
        </w:rPr>
        <w:t xml:space="preserve"> multiple actions </w:t>
      </w:r>
      <w:r w:rsidR="00D07D81" w:rsidRPr="00527546">
        <w:rPr>
          <w:rFonts w:ascii="Arial" w:hAnsi="Arial" w:cs="Arial"/>
        </w:rPr>
        <w:t>that it is taking to support</w:t>
      </w:r>
      <w:r w:rsidR="00DF7396" w:rsidRPr="00527546">
        <w:rPr>
          <w:rFonts w:ascii="Arial" w:hAnsi="Arial" w:cs="Arial"/>
        </w:rPr>
        <w:t xml:space="preserve"> Member States in their fight ag</w:t>
      </w:r>
      <w:r w:rsidR="00714A83" w:rsidRPr="00527546">
        <w:rPr>
          <w:rFonts w:ascii="Arial" w:hAnsi="Arial" w:cs="Arial"/>
        </w:rPr>
        <w:t>a</w:t>
      </w:r>
      <w:r w:rsidR="00527546">
        <w:rPr>
          <w:rFonts w:ascii="Arial" w:hAnsi="Arial" w:cs="Arial"/>
        </w:rPr>
        <w:t>inst tax fraud and tax evasion</w:t>
      </w:r>
      <w:r w:rsidR="00B2678F">
        <w:rPr>
          <w:rFonts w:ascii="Arial" w:hAnsi="Arial" w:cs="Arial"/>
        </w:rPr>
        <w:t>,</w:t>
      </w:r>
      <w:r w:rsidR="00527546">
        <w:rPr>
          <w:rFonts w:ascii="Arial" w:hAnsi="Arial" w:cs="Arial"/>
        </w:rPr>
        <w:t xml:space="preserve"> in an action plan to fight</w:t>
      </w:r>
      <w:r w:rsidR="00DF7396" w:rsidRPr="00527546">
        <w:rPr>
          <w:rFonts w:ascii="Arial" w:hAnsi="Arial" w:cs="Arial"/>
        </w:rPr>
        <w:t xml:space="preserve"> tax fraud and tax evasion</w:t>
      </w:r>
      <w:r w:rsidR="00B2678F">
        <w:rPr>
          <w:rFonts w:ascii="Arial" w:hAnsi="Arial" w:cs="Arial"/>
        </w:rPr>
        <w:t>,</w:t>
      </w:r>
      <w:r w:rsidR="00CC1146">
        <w:rPr>
          <w:rFonts w:ascii="Arial" w:hAnsi="Arial" w:cs="Arial"/>
        </w:rPr>
        <w:t xml:space="preserve"> accompanied by two recommendations</w:t>
      </w:r>
      <w:r w:rsidR="00CC1146">
        <w:rPr>
          <w:rStyle w:val="FootnoteReference"/>
          <w:rFonts w:ascii="Arial" w:hAnsi="Arial" w:cs="Arial"/>
        </w:rPr>
        <w:footnoteReference w:id="2"/>
      </w:r>
      <w:r w:rsidR="00DB7458" w:rsidRPr="00527546">
        <w:rPr>
          <w:rFonts w:ascii="Arial" w:hAnsi="Arial" w:cs="Arial"/>
        </w:rPr>
        <w:t xml:space="preserve">; and </w:t>
      </w:r>
      <w:r w:rsidRPr="00527546">
        <w:rPr>
          <w:rFonts w:ascii="Arial" w:hAnsi="Arial" w:cs="Arial"/>
        </w:rPr>
        <w:t>the</w:t>
      </w:r>
      <w:r w:rsidR="00CE7CF4" w:rsidRPr="00527546">
        <w:rPr>
          <w:rFonts w:ascii="Arial" w:hAnsi="Arial" w:cs="Arial"/>
        </w:rPr>
        <w:t xml:space="preserve"> Directive on the fight against fraud to the EU's financial interests by means of criminal law</w:t>
      </w:r>
      <w:r w:rsidR="00CE7CF4">
        <w:rPr>
          <w:rStyle w:val="FootnoteReference"/>
          <w:rFonts w:ascii="Arial" w:hAnsi="Arial" w:cs="Arial"/>
        </w:rPr>
        <w:footnoteReference w:id="3"/>
      </w:r>
      <w:r w:rsidR="00045735">
        <w:rPr>
          <w:rFonts w:ascii="Arial" w:hAnsi="Arial" w:cs="Arial"/>
        </w:rPr>
        <w:t>.</w:t>
      </w:r>
    </w:p>
    <w:p w:rsidR="00CA1F14" w:rsidRPr="00CE7CF4" w:rsidRDefault="00CA1F14" w:rsidP="00CA1F14">
      <w:pPr>
        <w:jc w:val="both"/>
        <w:rPr>
          <w:rFonts w:ascii="Arial" w:hAnsi="Arial" w:cs="Arial"/>
        </w:rPr>
      </w:pPr>
    </w:p>
    <w:p w:rsidR="008F5C0E" w:rsidRDefault="008F5C0E" w:rsidP="00F25435">
      <w:pPr>
        <w:numPr>
          <w:ilvl w:val="0"/>
          <w:numId w:val="3"/>
        </w:numPr>
        <w:jc w:val="both"/>
        <w:rPr>
          <w:rFonts w:ascii="Arial" w:hAnsi="Arial" w:cs="Arial"/>
        </w:rPr>
      </w:pPr>
      <w:r w:rsidRPr="00F25435">
        <w:rPr>
          <w:rFonts w:ascii="Arial" w:hAnsi="Arial" w:cs="Arial"/>
        </w:rPr>
        <w:t xml:space="preserve">On the issue of </w:t>
      </w:r>
      <w:r w:rsidR="00527546">
        <w:rPr>
          <w:rFonts w:ascii="Arial" w:hAnsi="Arial" w:cs="Arial"/>
        </w:rPr>
        <w:t xml:space="preserve">the impact of </w:t>
      </w:r>
      <w:r w:rsidR="00DB7458">
        <w:rPr>
          <w:rFonts w:ascii="Arial" w:hAnsi="Arial" w:cs="Arial"/>
        </w:rPr>
        <w:t>uncollected revenue</w:t>
      </w:r>
      <w:r w:rsidRPr="00F25435">
        <w:rPr>
          <w:rFonts w:ascii="Arial" w:hAnsi="Arial" w:cs="Arial"/>
        </w:rPr>
        <w:t xml:space="preserve">, </w:t>
      </w:r>
      <w:r w:rsidR="00E11A89">
        <w:rPr>
          <w:rFonts w:ascii="Arial" w:hAnsi="Arial" w:cs="Arial"/>
        </w:rPr>
        <w:t>the Commission stresses</w:t>
      </w:r>
      <w:r w:rsidRPr="00F25435">
        <w:rPr>
          <w:rFonts w:ascii="Arial" w:hAnsi="Arial" w:cs="Arial"/>
        </w:rPr>
        <w:t xml:space="preserve"> th</w:t>
      </w:r>
      <w:r w:rsidR="00360FA9">
        <w:rPr>
          <w:rFonts w:ascii="Arial" w:hAnsi="Arial" w:cs="Arial"/>
        </w:rPr>
        <w:t>at it has repeatedly raised</w:t>
      </w:r>
      <w:r w:rsidRPr="00F25435">
        <w:rPr>
          <w:rFonts w:ascii="Arial" w:hAnsi="Arial" w:cs="Arial"/>
        </w:rPr>
        <w:t xml:space="preserve"> recovery issues and </w:t>
      </w:r>
      <w:r w:rsidR="00360FA9">
        <w:rPr>
          <w:rFonts w:ascii="Arial" w:hAnsi="Arial" w:cs="Arial"/>
        </w:rPr>
        <w:t xml:space="preserve">held relevant Member States </w:t>
      </w:r>
      <w:r w:rsidR="001D7421">
        <w:rPr>
          <w:rFonts w:ascii="Arial" w:hAnsi="Arial" w:cs="Arial"/>
        </w:rPr>
        <w:t xml:space="preserve">to </w:t>
      </w:r>
      <w:r w:rsidR="00360FA9">
        <w:rPr>
          <w:rFonts w:ascii="Arial" w:hAnsi="Arial" w:cs="Arial"/>
        </w:rPr>
        <w:t xml:space="preserve">account </w:t>
      </w:r>
      <w:r w:rsidR="00F25435">
        <w:rPr>
          <w:rFonts w:ascii="Arial" w:hAnsi="Arial" w:cs="Arial"/>
        </w:rPr>
        <w:t>where</w:t>
      </w:r>
      <w:r w:rsidR="00F25435" w:rsidRPr="00F25435">
        <w:rPr>
          <w:rFonts w:ascii="Arial" w:hAnsi="Arial" w:cs="Arial"/>
        </w:rPr>
        <w:t xml:space="preserve"> </w:t>
      </w:r>
      <w:r w:rsidRPr="00F25435">
        <w:rPr>
          <w:rFonts w:ascii="Arial" w:hAnsi="Arial" w:cs="Arial"/>
        </w:rPr>
        <w:t xml:space="preserve">non-recovery </w:t>
      </w:r>
      <w:r w:rsidR="00F25435">
        <w:rPr>
          <w:rFonts w:ascii="Arial" w:hAnsi="Arial" w:cs="Arial"/>
        </w:rPr>
        <w:t>can be</w:t>
      </w:r>
      <w:r w:rsidR="00CE7CF4">
        <w:rPr>
          <w:rFonts w:ascii="Arial" w:hAnsi="Arial" w:cs="Arial"/>
        </w:rPr>
        <w:t xml:space="preserve"> attributed</w:t>
      </w:r>
      <w:r w:rsidR="00F25435" w:rsidRPr="00F25435">
        <w:rPr>
          <w:rFonts w:ascii="Arial" w:hAnsi="Arial" w:cs="Arial"/>
        </w:rPr>
        <w:t xml:space="preserve"> to </w:t>
      </w:r>
      <w:r w:rsidR="00360FA9">
        <w:rPr>
          <w:rFonts w:ascii="Arial" w:hAnsi="Arial" w:cs="Arial"/>
        </w:rPr>
        <w:t>them</w:t>
      </w:r>
      <w:r w:rsidR="00BF2AE7">
        <w:rPr>
          <w:rFonts w:ascii="Arial" w:hAnsi="Arial" w:cs="Arial"/>
        </w:rPr>
        <w:t>.</w:t>
      </w:r>
    </w:p>
    <w:p w:rsidR="00F25435" w:rsidRPr="00F25435" w:rsidRDefault="00F25435" w:rsidP="00F25435">
      <w:pPr>
        <w:jc w:val="both"/>
        <w:rPr>
          <w:rFonts w:ascii="Arial" w:hAnsi="Arial" w:cs="Arial"/>
        </w:rPr>
      </w:pPr>
    </w:p>
    <w:p w:rsidR="00EF7BE5" w:rsidRPr="00D64DC9" w:rsidRDefault="00F25435" w:rsidP="00346E73">
      <w:pPr>
        <w:numPr>
          <w:ilvl w:val="0"/>
          <w:numId w:val="3"/>
        </w:numPr>
        <w:jc w:val="both"/>
        <w:rPr>
          <w:rFonts w:ascii="Arial" w:hAnsi="Arial" w:cs="Arial"/>
        </w:rPr>
      </w:pPr>
      <w:r>
        <w:rPr>
          <w:rFonts w:ascii="Arial" w:hAnsi="Arial" w:cs="Arial"/>
        </w:rPr>
        <w:t>T</w:t>
      </w:r>
      <w:r w:rsidR="001A6300">
        <w:rPr>
          <w:rFonts w:ascii="Arial" w:hAnsi="Arial" w:cs="Arial"/>
        </w:rPr>
        <w:t xml:space="preserve">he </w:t>
      </w:r>
      <w:r w:rsidR="00346E73" w:rsidRPr="00D64DC9">
        <w:rPr>
          <w:rFonts w:ascii="Arial" w:hAnsi="Arial" w:cs="Arial"/>
        </w:rPr>
        <w:t xml:space="preserve">cooperation between </w:t>
      </w:r>
      <w:r w:rsidR="00377447">
        <w:rPr>
          <w:rFonts w:ascii="Arial" w:hAnsi="Arial" w:cs="Arial"/>
        </w:rPr>
        <w:t>the European Anti Fraud Office</w:t>
      </w:r>
      <w:r w:rsidR="00346E73" w:rsidRPr="00D64DC9">
        <w:rPr>
          <w:rFonts w:ascii="Arial" w:hAnsi="Arial" w:cs="Arial"/>
        </w:rPr>
        <w:t xml:space="preserve"> </w:t>
      </w:r>
      <w:r w:rsidR="00CC1146">
        <w:rPr>
          <w:rFonts w:ascii="Arial" w:hAnsi="Arial" w:cs="Arial"/>
        </w:rPr>
        <w:t xml:space="preserve">(OLAF) </w:t>
      </w:r>
      <w:r w:rsidR="00346E73" w:rsidRPr="00D64DC9">
        <w:rPr>
          <w:rFonts w:ascii="Arial" w:hAnsi="Arial" w:cs="Arial"/>
        </w:rPr>
        <w:t>and the Structural Funds D</w:t>
      </w:r>
      <w:r w:rsidR="00527546">
        <w:rPr>
          <w:rFonts w:ascii="Arial" w:hAnsi="Arial" w:cs="Arial"/>
        </w:rPr>
        <w:t xml:space="preserve">irectorate-Generals </w:t>
      </w:r>
      <w:r w:rsidR="00346E73" w:rsidRPr="00D64DC9">
        <w:rPr>
          <w:rFonts w:ascii="Arial" w:hAnsi="Arial" w:cs="Arial"/>
        </w:rPr>
        <w:t>has been reinforced</w:t>
      </w:r>
      <w:r w:rsidR="00346E73" w:rsidRPr="00D64DC9">
        <w:rPr>
          <w:rFonts w:ascii="Arial" w:hAnsi="Arial" w:cs="Arial"/>
          <w:sz w:val="16"/>
          <w:szCs w:val="16"/>
        </w:rPr>
        <w:t xml:space="preserve"> </w:t>
      </w:r>
      <w:r w:rsidR="006B17D8">
        <w:rPr>
          <w:rFonts w:ascii="Arial" w:hAnsi="Arial" w:cs="Arial"/>
        </w:rPr>
        <w:t>with their</w:t>
      </w:r>
      <w:r w:rsidR="00346E73" w:rsidRPr="00D64DC9">
        <w:rPr>
          <w:rFonts w:ascii="Arial" w:hAnsi="Arial" w:cs="Arial"/>
        </w:rPr>
        <w:t xml:space="preserve"> </w:t>
      </w:r>
      <w:r w:rsidR="006B17D8">
        <w:rPr>
          <w:rFonts w:ascii="Arial" w:hAnsi="Arial" w:cs="Arial"/>
        </w:rPr>
        <w:t xml:space="preserve">Anti-fraud </w:t>
      </w:r>
      <w:r w:rsidR="00346E73" w:rsidRPr="00D64DC9">
        <w:rPr>
          <w:rFonts w:ascii="Arial" w:hAnsi="Arial" w:cs="Arial"/>
        </w:rPr>
        <w:t xml:space="preserve">Strategy document to this regard assessed twice a year. </w:t>
      </w:r>
      <w:r w:rsidR="00527546">
        <w:rPr>
          <w:rFonts w:ascii="Arial" w:hAnsi="Arial" w:cs="Arial"/>
        </w:rPr>
        <w:t>The Commission</w:t>
      </w:r>
      <w:r w:rsidR="00DB7458">
        <w:rPr>
          <w:rFonts w:ascii="Arial" w:hAnsi="Arial" w:cs="Arial"/>
        </w:rPr>
        <w:t xml:space="preserve"> believes</w:t>
      </w:r>
      <w:r w:rsidR="00360FA9">
        <w:rPr>
          <w:rFonts w:ascii="Arial" w:hAnsi="Arial" w:cs="Arial"/>
        </w:rPr>
        <w:t xml:space="preserve"> that this would help</w:t>
      </w:r>
      <w:r w:rsidR="00346E73" w:rsidRPr="00D64DC9">
        <w:rPr>
          <w:rFonts w:ascii="Arial" w:hAnsi="Arial" w:cs="Arial"/>
        </w:rPr>
        <w:t xml:space="preserve"> to reinforce fraud risk assessment, provide more guidance for Member States in fraud prevention and detection</w:t>
      </w:r>
      <w:r w:rsidR="00360FA9">
        <w:rPr>
          <w:rFonts w:ascii="Arial" w:hAnsi="Arial" w:cs="Arial"/>
        </w:rPr>
        <w:t>,</w:t>
      </w:r>
      <w:r w:rsidR="00346E73" w:rsidRPr="00D64DC9">
        <w:rPr>
          <w:rFonts w:ascii="Arial" w:hAnsi="Arial" w:cs="Arial"/>
        </w:rPr>
        <w:t xml:space="preserve"> and raise the level of fraud awareness in the </w:t>
      </w:r>
      <w:r w:rsidR="006B17D8">
        <w:rPr>
          <w:rFonts w:ascii="Arial" w:hAnsi="Arial" w:cs="Arial"/>
        </w:rPr>
        <w:t xml:space="preserve">Commission </w:t>
      </w:r>
      <w:r w:rsidR="00346E73" w:rsidRPr="00D64DC9">
        <w:rPr>
          <w:rFonts w:ascii="Arial" w:hAnsi="Arial" w:cs="Arial"/>
        </w:rPr>
        <w:t>services and in the Member States</w:t>
      </w:r>
      <w:r w:rsidR="00DB7458">
        <w:rPr>
          <w:rFonts w:ascii="Arial" w:hAnsi="Arial" w:cs="Arial"/>
        </w:rPr>
        <w:t>.</w:t>
      </w:r>
    </w:p>
    <w:p w:rsidR="00A10844" w:rsidRPr="00A10844" w:rsidRDefault="00A10844" w:rsidP="00A10844">
      <w:pPr>
        <w:jc w:val="both"/>
        <w:rPr>
          <w:rFonts w:ascii="Arial" w:hAnsi="Arial" w:cs="Arial"/>
        </w:rPr>
      </w:pPr>
    </w:p>
    <w:p w:rsidR="00A10844" w:rsidRDefault="00A10844" w:rsidP="00234427">
      <w:pPr>
        <w:pStyle w:val="Heading7"/>
        <w:rPr>
          <w:b/>
          <w:i w:val="0"/>
        </w:rPr>
      </w:pPr>
      <w:r w:rsidRPr="00A10844">
        <w:rPr>
          <w:b/>
          <w:i w:val="0"/>
        </w:rPr>
        <w:t xml:space="preserve">Horizontal </w:t>
      </w:r>
      <w:r w:rsidR="00613DDB">
        <w:rPr>
          <w:b/>
          <w:i w:val="0"/>
        </w:rPr>
        <w:t xml:space="preserve">and Specific </w:t>
      </w:r>
      <w:r w:rsidRPr="00A10844">
        <w:rPr>
          <w:b/>
          <w:i w:val="0"/>
        </w:rPr>
        <w:t>Issues</w:t>
      </w:r>
    </w:p>
    <w:p w:rsidR="00A10844" w:rsidRPr="00A10844" w:rsidRDefault="00A10844" w:rsidP="00A10844"/>
    <w:p w:rsidR="00BF2AE7" w:rsidRPr="009F4D48" w:rsidRDefault="00BF2AE7" w:rsidP="009F4D48">
      <w:pPr>
        <w:numPr>
          <w:ilvl w:val="0"/>
          <w:numId w:val="3"/>
        </w:numPr>
        <w:jc w:val="both"/>
        <w:rPr>
          <w:rFonts w:ascii="Arial" w:hAnsi="Arial" w:cs="Arial"/>
        </w:rPr>
      </w:pPr>
      <w:r w:rsidRPr="009F4D48">
        <w:rPr>
          <w:rFonts w:ascii="Arial" w:hAnsi="Arial" w:cs="Arial"/>
        </w:rPr>
        <w:t>A number of other areas are highlighted in the report as horizontal</w:t>
      </w:r>
      <w:r w:rsidR="00613DDB" w:rsidRPr="009F4D48">
        <w:rPr>
          <w:rFonts w:ascii="Arial" w:hAnsi="Arial" w:cs="Arial"/>
        </w:rPr>
        <w:t xml:space="preserve"> and specific</w:t>
      </w:r>
      <w:r w:rsidRPr="009F4D48">
        <w:rPr>
          <w:rFonts w:ascii="Arial" w:hAnsi="Arial" w:cs="Arial"/>
        </w:rPr>
        <w:t xml:space="preserve"> issues. </w:t>
      </w:r>
      <w:r w:rsidR="00613DDB" w:rsidRPr="009F4D48">
        <w:rPr>
          <w:rFonts w:ascii="Arial" w:hAnsi="Arial" w:cs="Arial"/>
        </w:rPr>
        <w:t>Examples</w:t>
      </w:r>
      <w:r w:rsidRPr="009F4D48">
        <w:rPr>
          <w:rFonts w:ascii="Arial" w:hAnsi="Arial" w:cs="Arial"/>
        </w:rPr>
        <w:t xml:space="preserve"> include:</w:t>
      </w:r>
    </w:p>
    <w:p w:rsidR="00BF2AE7" w:rsidRPr="00BF2AE7" w:rsidRDefault="00BF2AE7" w:rsidP="00BF2AE7"/>
    <w:p w:rsidR="00613DDB" w:rsidRPr="00666383" w:rsidRDefault="00BF2AE7" w:rsidP="00613DDB">
      <w:pPr>
        <w:pStyle w:val="ListParagraph"/>
        <w:numPr>
          <w:ilvl w:val="0"/>
          <w:numId w:val="16"/>
        </w:numPr>
        <w:jc w:val="both"/>
        <w:rPr>
          <w:rFonts w:ascii="Arial" w:hAnsi="Arial" w:cs="Arial"/>
          <w:bCs/>
        </w:rPr>
      </w:pPr>
      <w:r>
        <w:rPr>
          <w:rFonts w:ascii="Arial" w:hAnsi="Arial" w:cs="Arial"/>
          <w:bCs/>
        </w:rPr>
        <w:t>In relation to</w:t>
      </w:r>
      <w:r w:rsidR="00613DDB">
        <w:rPr>
          <w:rFonts w:ascii="Arial" w:hAnsi="Arial" w:cs="Arial"/>
          <w:bCs/>
        </w:rPr>
        <w:t xml:space="preserve"> the EP’s recommendation that</w:t>
      </w:r>
      <w:r>
        <w:rPr>
          <w:rFonts w:ascii="Arial" w:hAnsi="Arial" w:cs="Arial"/>
          <w:bCs/>
        </w:rPr>
        <w:t xml:space="preserve"> </w:t>
      </w:r>
      <w:r w:rsidR="00613DDB" w:rsidRPr="00666383">
        <w:rPr>
          <w:rFonts w:ascii="Arial" w:hAnsi="Arial" w:cs="Arial"/>
          <w:bCs/>
        </w:rPr>
        <w:t xml:space="preserve">the Commission should give guidance to Member States to draft </w:t>
      </w:r>
      <w:r w:rsidR="00886324">
        <w:rPr>
          <w:rFonts w:ascii="Arial" w:hAnsi="Arial" w:cs="Arial"/>
          <w:bCs/>
        </w:rPr>
        <w:t>meaningful annual summaries</w:t>
      </w:r>
      <w:r>
        <w:rPr>
          <w:rFonts w:ascii="Arial" w:hAnsi="Arial" w:cs="Arial"/>
          <w:bCs/>
        </w:rPr>
        <w:t>,</w:t>
      </w:r>
      <w:r w:rsidR="00A10844" w:rsidRPr="00BF2AE7">
        <w:rPr>
          <w:rFonts w:ascii="Arial" w:hAnsi="Arial" w:cs="Arial"/>
          <w:bCs/>
        </w:rPr>
        <w:t xml:space="preserve"> </w:t>
      </w:r>
      <w:r w:rsidR="00B628A4" w:rsidRPr="00BF2AE7">
        <w:rPr>
          <w:rFonts w:ascii="Arial" w:hAnsi="Arial" w:cs="Arial"/>
          <w:bCs/>
        </w:rPr>
        <w:t xml:space="preserve">the </w:t>
      </w:r>
      <w:r w:rsidR="00A10844" w:rsidRPr="00BF2AE7">
        <w:rPr>
          <w:rFonts w:ascii="Arial" w:hAnsi="Arial" w:cs="Arial"/>
          <w:bCs/>
        </w:rPr>
        <w:t xml:space="preserve">Commission states </w:t>
      </w:r>
      <w:r w:rsidR="00B628A4" w:rsidRPr="00BF2AE7">
        <w:rPr>
          <w:rFonts w:ascii="Arial" w:hAnsi="Arial" w:cs="Arial"/>
          <w:bCs/>
        </w:rPr>
        <w:t xml:space="preserve">that guidelines have been available </w:t>
      </w:r>
      <w:r w:rsidR="00A10844" w:rsidRPr="00BF2AE7">
        <w:rPr>
          <w:rFonts w:ascii="Arial" w:hAnsi="Arial" w:cs="Arial"/>
          <w:bCs/>
        </w:rPr>
        <w:t>since 2010</w:t>
      </w:r>
      <w:r w:rsidR="00613DDB">
        <w:rPr>
          <w:rFonts w:ascii="Arial" w:hAnsi="Arial" w:cs="Arial"/>
          <w:bCs/>
        </w:rPr>
        <w:t xml:space="preserve"> </w:t>
      </w:r>
      <w:r w:rsidR="00666383">
        <w:rPr>
          <w:rFonts w:ascii="Arial" w:hAnsi="Arial" w:cs="Arial"/>
          <w:bCs/>
        </w:rPr>
        <w:t>but</w:t>
      </w:r>
      <w:r w:rsidR="00613DDB">
        <w:rPr>
          <w:rFonts w:ascii="Arial" w:hAnsi="Arial" w:cs="Arial"/>
          <w:bCs/>
        </w:rPr>
        <w:t xml:space="preserve"> </w:t>
      </w:r>
      <w:r w:rsidR="00B628A4" w:rsidRPr="00BF2AE7">
        <w:rPr>
          <w:rFonts w:ascii="Arial" w:hAnsi="Arial" w:cs="Arial"/>
          <w:bCs/>
        </w:rPr>
        <w:t xml:space="preserve">argues </w:t>
      </w:r>
      <w:r w:rsidR="00613DDB">
        <w:rPr>
          <w:rFonts w:ascii="Arial" w:hAnsi="Arial" w:cs="Arial"/>
          <w:bCs/>
        </w:rPr>
        <w:t xml:space="preserve">that </w:t>
      </w:r>
      <w:r w:rsidR="006B17D8">
        <w:rPr>
          <w:rFonts w:ascii="Arial" w:hAnsi="Arial" w:cs="Arial"/>
          <w:bCs/>
        </w:rPr>
        <w:t>annual summaries</w:t>
      </w:r>
      <w:r w:rsidR="00666383">
        <w:rPr>
          <w:rFonts w:ascii="Arial" w:hAnsi="Arial" w:cs="Arial"/>
          <w:bCs/>
        </w:rPr>
        <w:t xml:space="preserve"> </w:t>
      </w:r>
      <w:r w:rsidR="00613DDB">
        <w:rPr>
          <w:rFonts w:ascii="Arial" w:hAnsi="Arial" w:cs="Arial"/>
          <w:bCs/>
        </w:rPr>
        <w:t>have limited added-value</w:t>
      </w:r>
      <w:r w:rsidR="00666383">
        <w:rPr>
          <w:rFonts w:ascii="Arial" w:hAnsi="Arial" w:cs="Arial"/>
          <w:bCs/>
        </w:rPr>
        <w:t xml:space="preserve"> as </w:t>
      </w:r>
      <w:r w:rsidR="00666383" w:rsidRPr="00666383">
        <w:rPr>
          <w:rFonts w:ascii="Arial" w:hAnsi="Arial" w:cs="Arial"/>
        </w:rPr>
        <w:t>compared with annual control reports and audit opinions by</w:t>
      </w:r>
      <w:r w:rsidR="00666383">
        <w:rPr>
          <w:sz w:val="23"/>
          <w:szCs w:val="23"/>
        </w:rPr>
        <w:t xml:space="preserve"> </w:t>
      </w:r>
      <w:r w:rsidR="00666383" w:rsidRPr="00666383">
        <w:rPr>
          <w:rFonts w:ascii="Arial" w:hAnsi="Arial" w:cs="Arial"/>
        </w:rPr>
        <w:t>audit authorities</w:t>
      </w:r>
      <w:r w:rsidR="00B12549" w:rsidRPr="00BF2AE7">
        <w:rPr>
          <w:rFonts w:ascii="Arial" w:hAnsi="Arial" w:cs="Arial"/>
        </w:rPr>
        <w:t>, as evidenced by the external study that was communicated to the EP in May 2011.</w:t>
      </w:r>
    </w:p>
    <w:p w:rsidR="00666383" w:rsidRPr="00613DDB" w:rsidRDefault="00666383" w:rsidP="00666383">
      <w:pPr>
        <w:pStyle w:val="ListParagraph"/>
        <w:ind w:left="1440"/>
        <w:jc w:val="both"/>
        <w:rPr>
          <w:rFonts w:ascii="Arial" w:hAnsi="Arial" w:cs="Arial"/>
          <w:bCs/>
        </w:rPr>
      </w:pPr>
    </w:p>
    <w:p w:rsidR="00613DDB" w:rsidRPr="00613DDB" w:rsidRDefault="00613DDB" w:rsidP="00A541D4">
      <w:pPr>
        <w:pStyle w:val="ListParagraph"/>
        <w:numPr>
          <w:ilvl w:val="0"/>
          <w:numId w:val="16"/>
        </w:numPr>
        <w:jc w:val="both"/>
        <w:rPr>
          <w:rFonts w:ascii="Arial" w:hAnsi="Arial" w:cs="Arial"/>
          <w:b/>
          <w:bCs/>
          <w:u w:val="single"/>
        </w:rPr>
      </w:pPr>
      <w:r w:rsidRPr="00613DDB">
        <w:rPr>
          <w:rFonts w:ascii="Arial" w:hAnsi="Arial" w:cs="Arial"/>
        </w:rPr>
        <w:t>In relation to the t</w:t>
      </w:r>
      <w:r w:rsidRPr="00613DDB">
        <w:rPr>
          <w:rFonts w:ascii="Arial" w:hAnsi="Arial" w:cs="Arial"/>
          <w:bCs/>
        </w:rPr>
        <w:t>obacco i</w:t>
      </w:r>
      <w:r w:rsidR="00CC7BD6" w:rsidRPr="00613DDB">
        <w:rPr>
          <w:rFonts w:ascii="Arial" w:hAnsi="Arial" w:cs="Arial"/>
          <w:bCs/>
        </w:rPr>
        <w:t>ndustry</w:t>
      </w:r>
      <w:r w:rsidRPr="00613DDB">
        <w:rPr>
          <w:rFonts w:ascii="Arial" w:hAnsi="Arial" w:cs="Arial"/>
          <w:bCs/>
        </w:rPr>
        <w:t>, t</w:t>
      </w:r>
      <w:r w:rsidR="00CC7BD6" w:rsidRPr="00613DDB">
        <w:rPr>
          <w:rFonts w:ascii="Arial" w:hAnsi="Arial" w:cs="Arial"/>
        </w:rPr>
        <w:t>he Commission considers that the legal framework applicable to all institutions</w:t>
      </w:r>
      <w:r w:rsidR="006B17D8">
        <w:rPr>
          <w:rFonts w:ascii="Arial" w:hAnsi="Arial" w:cs="Arial"/>
        </w:rPr>
        <w:t>,</w:t>
      </w:r>
      <w:r w:rsidR="00CC7BD6" w:rsidRPr="00613DDB">
        <w:rPr>
          <w:rFonts w:ascii="Arial" w:hAnsi="Arial" w:cs="Arial"/>
        </w:rPr>
        <w:t xml:space="preserve"> and the implementation provisions adopted by them</w:t>
      </w:r>
      <w:r w:rsidR="006B17D8">
        <w:rPr>
          <w:rFonts w:ascii="Arial" w:hAnsi="Arial" w:cs="Arial"/>
        </w:rPr>
        <w:t>,</w:t>
      </w:r>
      <w:r w:rsidR="00CC7BD6" w:rsidRPr="00613DDB">
        <w:rPr>
          <w:rFonts w:ascii="Arial" w:hAnsi="Arial" w:cs="Arial"/>
        </w:rPr>
        <w:t xml:space="preserve"> are a basis for dealing with all issues relating to </w:t>
      </w:r>
      <w:r w:rsidR="00930537" w:rsidRPr="00613DDB">
        <w:rPr>
          <w:rFonts w:ascii="Arial" w:hAnsi="Arial" w:cs="Arial"/>
        </w:rPr>
        <w:t xml:space="preserve">the </w:t>
      </w:r>
      <w:r w:rsidR="00CC7BD6" w:rsidRPr="00613DDB">
        <w:rPr>
          <w:rFonts w:ascii="Arial" w:hAnsi="Arial" w:cs="Arial"/>
        </w:rPr>
        <w:t xml:space="preserve">rules on conflict of interests </w:t>
      </w:r>
      <w:r w:rsidR="00006A53" w:rsidRPr="00613DDB">
        <w:rPr>
          <w:rFonts w:ascii="Arial" w:hAnsi="Arial" w:cs="Arial"/>
        </w:rPr>
        <w:t>and “</w:t>
      </w:r>
      <w:r w:rsidR="00CC7BD6" w:rsidRPr="00613DDB">
        <w:rPr>
          <w:rFonts w:ascii="Arial" w:hAnsi="Arial" w:cs="Arial"/>
        </w:rPr>
        <w:t>revolving door” cases</w:t>
      </w:r>
      <w:r w:rsidR="00006A53" w:rsidRPr="00613DDB">
        <w:rPr>
          <w:rFonts w:ascii="Arial" w:hAnsi="Arial" w:cs="Arial"/>
        </w:rPr>
        <w:t xml:space="preserve">, </w:t>
      </w:r>
      <w:r w:rsidR="00CC7BD6" w:rsidRPr="00613DDB">
        <w:rPr>
          <w:rFonts w:ascii="Arial" w:hAnsi="Arial" w:cs="Arial"/>
        </w:rPr>
        <w:t>which it proactively manages.</w:t>
      </w:r>
    </w:p>
    <w:p w:rsidR="00613DDB" w:rsidRPr="00613DDB" w:rsidRDefault="00613DDB" w:rsidP="00613DDB">
      <w:pPr>
        <w:pStyle w:val="ListParagraph"/>
        <w:ind w:left="1440"/>
        <w:jc w:val="both"/>
        <w:rPr>
          <w:rFonts w:ascii="Arial" w:hAnsi="Arial" w:cs="Arial"/>
          <w:b/>
          <w:bCs/>
          <w:u w:val="single"/>
        </w:rPr>
      </w:pPr>
    </w:p>
    <w:p w:rsidR="00E94209" w:rsidRPr="00613DDB" w:rsidRDefault="00613DDB" w:rsidP="00613DDB">
      <w:pPr>
        <w:pStyle w:val="ListParagraph"/>
        <w:numPr>
          <w:ilvl w:val="0"/>
          <w:numId w:val="16"/>
        </w:numPr>
        <w:jc w:val="both"/>
        <w:rPr>
          <w:rFonts w:ascii="Arial" w:hAnsi="Arial" w:cs="Arial"/>
          <w:b/>
          <w:bCs/>
          <w:u w:val="single"/>
        </w:rPr>
      </w:pPr>
      <w:r w:rsidRPr="00613DDB">
        <w:rPr>
          <w:rFonts w:ascii="Arial" w:hAnsi="Arial" w:cs="Arial"/>
          <w:bCs/>
        </w:rPr>
        <w:t xml:space="preserve">In relation to </w:t>
      </w:r>
      <w:r>
        <w:rPr>
          <w:rFonts w:ascii="Arial" w:hAnsi="Arial" w:cs="Arial"/>
          <w:bCs/>
        </w:rPr>
        <w:t xml:space="preserve">the EP’s calls </w:t>
      </w:r>
      <w:r w:rsidR="00A541D4" w:rsidRPr="00613DDB">
        <w:rPr>
          <w:rFonts w:ascii="Arial" w:hAnsi="Arial" w:cs="Arial"/>
        </w:rPr>
        <w:t>for full transparency concerning the application of fundamental rights during OLAF investigations, the Commission points out that assessing the possibility of breaches is a mat</w:t>
      </w:r>
      <w:r w:rsidR="00510F26" w:rsidRPr="00613DDB">
        <w:rPr>
          <w:rFonts w:ascii="Arial" w:hAnsi="Arial" w:cs="Arial"/>
        </w:rPr>
        <w:t xml:space="preserve">ter for the relevant courts, but </w:t>
      </w:r>
      <w:r w:rsidR="00886324">
        <w:rPr>
          <w:rFonts w:ascii="Arial" w:hAnsi="Arial" w:cs="Arial"/>
        </w:rPr>
        <w:t>that OLAF’s Director</w:t>
      </w:r>
      <w:r w:rsidR="00A541D4" w:rsidRPr="00613DDB">
        <w:rPr>
          <w:rFonts w:ascii="Arial" w:hAnsi="Arial" w:cs="Arial"/>
        </w:rPr>
        <w:t xml:space="preserve"> regularly reports on the findings of investigations carried out by OLAF</w:t>
      </w:r>
      <w:r w:rsidR="00510F26" w:rsidRPr="00613DDB">
        <w:rPr>
          <w:rFonts w:ascii="Arial" w:hAnsi="Arial" w:cs="Arial"/>
        </w:rPr>
        <w:t xml:space="preserve"> to the institutions</w:t>
      </w:r>
      <w:r w:rsidR="00A541D4" w:rsidRPr="00613DDB">
        <w:rPr>
          <w:rFonts w:ascii="Arial" w:hAnsi="Arial" w:cs="Arial"/>
        </w:rPr>
        <w:t>.</w:t>
      </w:r>
    </w:p>
    <w:p w:rsidR="009973D5" w:rsidRDefault="009973D5" w:rsidP="001B1533">
      <w:pPr>
        <w:jc w:val="both"/>
        <w:rPr>
          <w:rFonts w:ascii="Arial" w:hAnsi="Arial" w:cs="Arial"/>
          <w:bCs/>
        </w:rPr>
      </w:pPr>
    </w:p>
    <w:p w:rsidR="00310532" w:rsidRPr="00D64DC9" w:rsidRDefault="00310532">
      <w:pPr>
        <w:jc w:val="both"/>
        <w:rPr>
          <w:rFonts w:ascii="Arial" w:hAnsi="Arial" w:cs="Arial"/>
          <w:i/>
          <w:iCs/>
        </w:rPr>
      </w:pPr>
      <w:r w:rsidRPr="00D64DC9">
        <w:rPr>
          <w:rFonts w:ascii="Arial" w:hAnsi="Arial" w:cs="Arial"/>
          <w:b/>
          <w:bCs/>
        </w:rPr>
        <w:t>MINISTERIAL RESPONSIBILITY</w:t>
      </w:r>
      <w:r w:rsidRPr="00D64DC9">
        <w:rPr>
          <w:rFonts w:ascii="Arial" w:hAnsi="Arial" w:cs="Arial"/>
        </w:rPr>
        <w:t xml:space="preserve"> </w:t>
      </w:r>
    </w:p>
    <w:p w:rsidR="00310532" w:rsidRPr="009F4D48" w:rsidRDefault="00310532" w:rsidP="009F4D48">
      <w:pPr>
        <w:ind w:left="360"/>
        <w:jc w:val="both"/>
        <w:rPr>
          <w:rFonts w:ascii="Arial" w:hAnsi="Arial" w:cs="Arial"/>
        </w:rPr>
      </w:pPr>
    </w:p>
    <w:p w:rsidR="00310532" w:rsidRPr="009F4D48" w:rsidRDefault="00310532" w:rsidP="009F4D48">
      <w:pPr>
        <w:numPr>
          <w:ilvl w:val="0"/>
          <w:numId w:val="3"/>
        </w:numPr>
        <w:jc w:val="both"/>
        <w:rPr>
          <w:rFonts w:ascii="Arial" w:hAnsi="Arial" w:cs="Arial"/>
        </w:rPr>
      </w:pPr>
      <w:r w:rsidRPr="009F4D48">
        <w:rPr>
          <w:rFonts w:ascii="Arial" w:hAnsi="Arial" w:cs="Arial"/>
        </w:rPr>
        <w:t xml:space="preserve">Treasury Ministers are responsible for the Government’s policy on the </w:t>
      </w:r>
      <w:r w:rsidR="00377447" w:rsidRPr="009F4D48">
        <w:rPr>
          <w:rFonts w:ascii="Arial" w:hAnsi="Arial" w:cs="Arial"/>
        </w:rPr>
        <w:t>EU</w:t>
      </w:r>
      <w:r w:rsidRPr="009F4D48">
        <w:rPr>
          <w:rFonts w:ascii="Arial" w:hAnsi="Arial" w:cs="Arial"/>
        </w:rPr>
        <w:t xml:space="preserve"> budget and matters concerning financial control generally. Other Ministers are concerned with those parts of the budget relating to their own Departmental interests.</w:t>
      </w:r>
    </w:p>
    <w:p w:rsidR="00310532" w:rsidRPr="00D64DC9" w:rsidRDefault="00310532">
      <w:pPr>
        <w:pStyle w:val="BodyText"/>
      </w:pPr>
    </w:p>
    <w:p w:rsidR="00310532" w:rsidRPr="00D64DC9" w:rsidRDefault="00310532">
      <w:pPr>
        <w:pStyle w:val="BodyText"/>
      </w:pPr>
      <w:r w:rsidRPr="00D64DC9">
        <w:t>INTEREST OF DEVOLVED ADMINISTRATIONS</w:t>
      </w:r>
    </w:p>
    <w:p w:rsidR="00310532" w:rsidRPr="00D64DC9" w:rsidRDefault="00310532" w:rsidP="009F4D48">
      <w:pPr>
        <w:jc w:val="both"/>
        <w:rPr>
          <w:b/>
          <w:bCs/>
        </w:rPr>
      </w:pPr>
    </w:p>
    <w:p w:rsidR="00310532" w:rsidRPr="009F4D48" w:rsidRDefault="0016425F" w:rsidP="009F4D48">
      <w:pPr>
        <w:numPr>
          <w:ilvl w:val="0"/>
          <w:numId w:val="3"/>
        </w:numPr>
        <w:jc w:val="both"/>
        <w:rPr>
          <w:rFonts w:ascii="Arial" w:hAnsi="Arial" w:cs="Arial"/>
        </w:rPr>
      </w:pPr>
      <w:r w:rsidRPr="009F4D48">
        <w:rPr>
          <w:rFonts w:ascii="Arial" w:hAnsi="Arial" w:cs="Arial"/>
        </w:rPr>
        <w:t>Financial management policy is a reserved matter under the UK's devolution settlements. The devolved administrations as managing authorities have an interest in how EU funds are managed and have thus been consulted in the preparation of this EM.</w:t>
      </w:r>
    </w:p>
    <w:p w:rsidR="00310532" w:rsidRPr="00D64DC9" w:rsidRDefault="00310532">
      <w:pPr>
        <w:rPr>
          <w:rFonts w:ascii="Arial" w:hAnsi="Arial" w:cs="Arial"/>
        </w:rPr>
      </w:pPr>
    </w:p>
    <w:p w:rsidR="00310532" w:rsidRPr="00D64DC9" w:rsidRDefault="00310532">
      <w:pPr>
        <w:pStyle w:val="Heading1"/>
        <w:jc w:val="left"/>
      </w:pPr>
      <w:r w:rsidRPr="00D64DC9">
        <w:t>LEGAL AND PROCEDURAL ISSUES</w:t>
      </w:r>
    </w:p>
    <w:p w:rsidR="0016425F" w:rsidRPr="00D64DC9" w:rsidRDefault="0016425F" w:rsidP="0016425F"/>
    <w:p w:rsidR="00A27D29" w:rsidRPr="009F4D48" w:rsidRDefault="00310532" w:rsidP="009F4D48">
      <w:pPr>
        <w:pStyle w:val="ListParagraph"/>
        <w:numPr>
          <w:ilvl w:val="0"/>
          <w:numId w:val="17"/>
        </w:numPr>
        <w:rPr>
          <w:rFonts w:ascii="Arial" w:hAnsi="Arial" w:cs="Arial"/>
        </w:rPr>
      </w:pPr>
      <w:r w:rsidRPr="009F4D48">
        <w:rPr>
          <w:rFonts w:ascii="Arial" w:hAnsi="Arial" w:cs="Arial"/>
          <w:bCs/>
          <w:u w:val="single"/>
        </w:rPr>
        <w:t>Legal basis</w:t>
      </w:r>
      <w:r w:rsidRPr="009F4D48">
        <w:rPr>
          <w:rFonts w:ascii="Arial" w:hAnsi="Arial" w:cs="Arial"/>
        </w:rPr>
        <w:t xml:space="preserve"> </w:t>
      </w:r>
    </w:p>
    <w:p w:rsidR="00A27D29" w:rsidRPr="00D64DC9" w:rsidRDefault="00310532" w:rsidP="00A27D29">
      <w:pPr>
        <w:pStyle w:val="ListParagraph"/>
        <w:ind w:left="775"/>
        <w:rPr>
          <w:rFonts w:ascii="Arial" w:hAnsi="Arial" w:cs="Arial"/>
        </w:rPr>
      </w:pPr>
      <w:r w:rsidRPr="00D64DC9">
        <w:rPr>
          <w:rFonts w:ascii="Arial" w:hAnsi="Arial" w:cs="Arial"/>
        </w:rPr>
        <w:t xml:space="preserve"> </w:t>
      </w:r>
    </w:p>
    <w:p w:rsidR="005905D4" w:rsidRPr="005905D4" w:rsidRDefault="00A27D29" w:rsidP="009F4D48">
      <w:pPr>
        <w:numPr>
          <w:ilvl w:val="0"/>
          <w:numId w:val="3"/>
        </w:numPr>
        <w:jc w:val="both"/>
        <w:rPr>
          <w:rFonts w:ascii="Arial" w:hAnsi="Arial" w:cs="Arial"/>
        </w:rPr>
      </w:pPr>
      <w:r w:rsidRPr="005905D4">
        <w:rPr>
          <w:rFonts w:ascii="Arial" w:hAnsi="Arial" w:cs="Arial"/>
        </w:rPr>
        <w:t>Article</w:t>
      </w:r>
      <w:r w:rsidR="005905D4" w:rsidRPr="005905D4">
        <w:rPr>
          <w:rFonts w:ascii="Arial" w:hAnsi="Arial" w:cs="Arial"/>
        </w:rPr>
        <w:t xml:space="preserve">s 217 and 319(3) of the Treaty on the Functioning of the European Union, Article 106a of the Treaty Establishing the European Atomic Energy Community, Article 166 of Regulation (EU, EURATOM) No 966/2012 of the European Parliament and of the Council and Article 144(2) of Council Regulation (EC) No 215/2008. </w:t>
      </w:r>
    </w:p>
    <w:p w:rsidR="00A27D29" w:rsidRPr="00D64DC9" w:rsidRDefault="00A27D29" w:rsidP="00A27D29">
      <w:pPr>
        <w:ind w:left="360" w:hanging="360"/>
        <w:jc w:val="both"/>
        <w:rPr>
          <w:rFonts w:ascii="Arial" w:hAnsi="Arial" w:cs="Arial"/>
        </w:rPr>
      </w:pPr>
    </w:p>
    <w:p w:rsidR="009F4D48" w:rsidRDefault="005905D4" w:rsidP="009F4D48">
      <w:pPr>
        <w:pStyle w:val="ListParagraph"/>
        <w:numPr>
          <w:ilvl w:val="0"/>
          <w:numId w:val="17"/>
        </w:numPr>
        <w:rPr>
          <w:rFonts w:ascii="Arial" w:hAnsi="Arial" w:cs="Arial"/>
        </w:rPr>
      </w:pPr>
      <w:r w:rsidRPr="009F4D48">
        <w:rPr>
          <w:rFonts w:ascii="Arial" w:hAnsi="Arial" w:cs="Arial"/>
          <w:bCs/>
          <w:u w:val="single"/>
        </w:rPr>
        <w:t>Legislative</w:t>
      </w:r>
      <w:r w:rsidR="00A27D29" w:rsidRPr="00D64DC9">
        <w:rPr>
          <w:rFonts w:ascii="Arial" w:hAnsi="Arial" w:cs="Arial"/>
          <w:bCs/>
          <w:u w:val="single"/>
        </w:rPr>
        <w:t xml:space="preserve"> procedure</w:t>
      </w:r>
      <w:r w:rsidR="00A27D29" w:rsidRPr="00D64DC9">
        <w:rPr>
          <w:rFonts w:ascii="Arial" w:hAnsi="Arial" w:cs="Arial"/>
        </w:rPr>
        <w:t xml:space="preserve"> </w:t>
      </w:r>
    </w:p>
    <w:p w:rsidR="00A27D29" w:rsidRPr="00D64DC9" w:rsidRDefault="00A27D29" w:rsidP="009F4D48">
      <w:pPr>
        <w:rPr>
          <w:rFonts w:ascii="Arial" w:hAnsi="Arial" w:cs="Arial"/>
        </w:rPr>
      </w:pPr>
    </w:p>
    <w:p w:rsidR="009F4D48" w:rsidRPr="009F4D48" w:rsidRDefault="005905D4" w:rsidP="009F4D48">
      <w:pPr>
        <w:numPr>
          <w:ilvl w:val="0"/>
          <w:numId w:val="3"/>
        </w:numPr>
        <w:rPr>
          <w:rFonts w:ascii="Arial" w:hAnsi="Arial" w:cs="Arial"/>
        </w:rPr>
      </w:pPr>
      <w:r w:rsidRPr="005905D4">
        <w:rPr>
          <w:rFonts w:ascii="Arial" w:hAnsi="Arial" w:cs="Arial"/>
        </w:rPr>
        <w:t>Not applicable: this is not a proposal for legislation</w:t>
      </w:r>
      <w:r w:rsidR="004A30F7">
        <w:rPr>
          <w:rFonts w:ascii="Arial" w:hAnsi="Arial" w:cs="Arial"/>
        </w:rPr>
        <w:t>.</w:t>
      </w:r>
    </w:p>
    <w:p w:rsidR="009F4D48" w:rsidRPr="00D64DC9" w:rsidRDefault="009F4D48" w:rsidP="00A27D29">
      <w:pPr>
        <w:jc w:val="both"/>
        <w:rPr>
          <w:rFonts w:ascii="Arial" w:hAnsi="Arial" w:cs="Arial"/>
        </w:rPr>
      </w:pPr>
    </w:p>
    <w:p w:rsidR="00A27D29" w:rsidRPr="00D64DC9" w:rsidRDefault="00A27D29" w:rsidP="009F4D48">
      <w:pPr>
        <w:pStyle w:val="ListParagraph"/>
        <w:numPr>
          <w:ilvl w:val="0"/>
          <w:numId w:val="17"/>
        </w:numPr>
        <w:rPr>
          <w:rFonts w:ascii="Arial" w:hAnsi="Arial" w:cs="Arial"/>
        </w:rPr>
      </w:pPr>
      <w:r w:rsidRPr="00D64DC9">
        <w:rPr>
          <w:rFonts w:ascii="Arial" w:hAnsi="Arial" w:cs="Arial"/>
          <w:bCs/>
          <w:u w:val="single"/>
        </w:rPr>
        <w:t>Voting procedure</w:t>
      </w:r>
      <w:r w:rsidRPr="00D64DC9">
        <w:rPr>
          <w:rFonts w:ascii="Arial" w:hAnsi="Arial" w:cs="Arial"/>
        </w:rPr>
        <w:t xml:space="preserve"> </w:t>
      </w:r>
    </w:p>
    <w:p w:rsidR="00A27D29" w:rsidRPr="00D64DC9" w:rsidRDefault="00A27D29" w:rsidP="00A27D29">
      <w:pPr>
        <w:ind w:left="360"/>
        <w:rPr>
          <w:rFonts w:ascii="Arial" w:hAnsi="Arial" w:cs="Arial"/>
        </w:rPr>
      </w:pPr>
    </w:p>
    <w:p w:rsidR="00A27D29" w:rsidRPr="00D64DC9" w:rsidRDefault="00A27D29" w:rsidP="00B628A4">
      <w:pPr>
        <w:numPr>
          <w:ilvl w:val="0"/>
          <w:numId w:val="3"/>
        </w:numPr>
        <w:rPr>
          <w:rFonts w:ascii="Arial" w:hAnsi="Arial" w:cs="Arial"/>
        </w:rPr>
      </w:pPr>
      <w:r w:rsidRPr="00D64DC9">
        <w:rPr>
          <w:rFonts w:ascii="Arial" w:hAnsi="Arial" w:cs="Arial"/>
        </w:rPr>
        <w:t>Not applicable.</w:t>
      </w:r>
    </w:p>
    <w:p w:rsidR="00A27D29" w:rsidRDefault="00A27D29" w:rsidP="00A27D29">
      <w:pPr>
        <w:rPr>
          <w:rFonts w:ascii="Arial" w:hAnsi="Arial" w:cs="Arial"/>
        </w:rPr>
      </w:pPr>
    </w:p>
    <w:p w:rsidR="009F4D48" w:rsidRPr="009F4D48" w:rsidRDefault="009F4D48" w:rsidP="009F4D48">
      <w:pPr>
        <w:pStyle w:val="ListParagraph"/>
        <w:numPr>
          <w:ilvl w:val="0"/>
          <w:numId w:val="17"/>
        </w:numPr>
        <w:rPr>
          <w:rFonts w:ascii="Arial" w:hAnsi="Arial" w:cs="Arial"/>
          <w:bCs/>
          <w:u w:val="single"/>
        </w:rPr>
      </w:pPr>
      <w:r w:rsidRPr="009F4D48">
        <w:rPr>
          <w:rFonts w:ascii="Arial" w:hAnsi="Arial" w:cs="Arial"/>
          <w:bCs/>
          <w:u w:val="single"/>
        </w:rPr>
        <w:t>Impact on United Kingdom Law</w:t>
      </w:r>
    </w:p>
    <w:p w:rsidR="009F4D48" w:rsidRPr="00D64DC9" w:rsidRDefault="009F4D48" w:rsidP="00A27D29">
      <w:pPr>
        <w:rPr>
          <w:rFonts w:ascii="Arial" w:hAnsi="Arial" w:cs="Arial"/>
        </w:rPr>
      </w:pPr>
    </w:p>
    <w:p w:rsidR="00A27D29" w:rsidRPr="00D64DC9" w:rsidRDefault="00A27D29" w:rsidP="00B628A4">
      <w:pPr>
        <w:numPr>
          <w:ilvl w:val="0"/>
          <w:numId w:val="3"/>
        </w:numPr>
        <w:rPr>
          <w:rFonts w:ascii="Arial" w:hAnsi="Arial" w:cs="Arial"/>
        </w:rPr>
      </w:pPr>
      <w:r w:rsidRPr="00D64DC9">
        <w:rPr>
          <w:rFonts w:ascii="Arial" w:hAnsi="Arial" w:cs="Arial"/>
        </w:rPr>
        <w:t>None.</w:t>
      </w:r>
    </w:p>
    <w:p w:rsidR="009F4D48" w:rsidRPr="00D64DC9" w:rsidRDefault="009F4D48" w:rsidP="00A27D29">
      <w:pPr>
        <w:rPr>
          <w:rFonts w:ascii="Arial" w:hAnsi="Arial" w:cs="Arial"/>
        </w:rPr>
      </w:pPr>
    </w:p>
    <w:p w:rsidR="00A27D29" w:rsidRPr="009F4D48" w:rsidRDefault="00A27D29" w:rsidP="009F4D48">
      <w:pPr>
        <w:pStyle w:val="ListParagraph"/>
        <w:numPr>
          <w:ilvl w:val="0"/>
          <w:numId w:val="17"/>
        </w:numPr>
        <w:rPr>
          <w:rFonts w:ascii="Arial" w:hAnsi="Arial" w:cs="Arial"/>
          <w:bCs/>
          <w:u w:val="single"/>
        </w:rPr>
      </w:pPr>
      <w:r w:rsidRPr="009F4D48">
        <w:rPr>
          <w:rFonts w:ascii="Arial" w:hAnsi="Arial" w:cs="Arial"/>
          <w:bCs/>
          <w:u w:val="single"/>
        </w:rPr>
        <w:t>Application to Gibraltar</w:t>
      </w:r>
    </w:p>
    <w:p w:rsidR="00A27D29" w:rsidRPr="00D64DC9" w:rsidRDefault="00A27D29" w:rsidP="00A27D29">
      <w:pPr>
        <w:rPr>
          <w:rFonts w:ascii="Arial" w:hAnsi="Arial" w:cs="Arial"/>
        </w:rPr>
      </w:pPr>
    </w:p>
    <w:p w:rsidR="00A27D29" w:rsidRPr="00D64DC9" w:rsidRDefault="00A27D29" w:rsidP="00B628A4">
      <w:pPr>
        <w:numPr>
          <w:ilvl w:val="0"/>
          <w:numId w:val="3"/>
        </w:numPr>
        <w:rPr>
          <w:rFonts w:ascii="Arial" w:hAnsi="Arial" w:cs="Arial"/>
        </w:rPr>
      </w:pPr>
      <w:r w:rsidRPr="00D64DC9">
        <w:rPr>
          <w:rFonts w:ascii="Arial" w:hAnsi="Arial" w:cs="Arial"/>
        </w:rPr>
        <w:t>None.</w:t>
      </w:r>
    </w:p>
    <w:p w:rsidR="00A27D29" w:rsidRPr="00D64DC9" w:rsidRDefault="00A27D29" w:rsidP="00A27D29">
      <w:pPr>
        <w:rPr>
          <w:rFonts w:ascii="Arial" w:hAnsi="Arial" w:cs="Arial"/>
        </w:rPr>
      </w:pPr>
    </w:p>
    <w:p w:rsidR="00A27D29" w:rsidRPr="00D64DC9" w:rsidRDefault="00A27D29" w:rsidP="009F4D48">
      <w:pPr>
        <w:pStyle w:val="ListParagraph"/>
        <w:numPr>
          <w:ilvl w:val="0"/>
          <w:numId w:val="17"/>
        </w:numPr>
        <w:rPr>
          <w:rFonts w:ascii="Arial" w:hAnsi="Arial" w:cs="Arial"/>
        </w:rPr>
      </w:pPr>
      <w:r w:rsidRPr="00D64DC9">
        <w:rPr>
          <w:rFonts w:ascii="Arial" w:hAnsi="Arial" w:cs="Arial"/>
          <w:bCs/>
          <w:u w:val="single"/>
        </w:rPr>
        <w:t>Analysis of Fundamental Rights Compliance</w:t>
      </w:r>
    </w:p>
    <w:p w:rsidR="00A27D29" w:rsidRPr="00D64DC9" w:rsidRDefault="00A27D29" w:rsidP="00A27D29">
      <w:pPr>
        <w:rPr>
          <w:rFonts w:ascii="Arial" w:hAnsi="Arial" w:cs="Arial"/>
        </w:rPr>
      </w:pPr>
    </w:p>
    <w:p w:rsidR="00A27D29" w:rsidRPr="00D64DC9" w:rsidRDefault="00A27D29" w:rsidP="00B628A4">
      <w:pPr>
        <w:numPr>
          <w:ilvl w:val="0"/>
          <w:numId w:val="3"/>
        </w:numPr>
        <w:rPr>
          <w:rFonts w:ascii="Arial" w:hAnsi="Arial" w:cs="Arial"/>
        </w:rPr>
      </w:pPr>
      <w:r w:rsidRPr="00D64DC9">
        <w:rPr>
          <w:rFonts w:ascii="Arial" w:hAnsi="Arial" w:cs="Arial"/>
        </w:rPr>
        <w:t>Not applicable</w:t>
      </w:r>
    </w:p>
    <w:p w:rsidR="00310532" w:rsidRPr="00D64DC9" w:rsidRDefault="00310532">
      <w:pPr>
        <w:jc w:val="both"/>
        <w:rPr>
          <w:rFonts w:ascii="Arial" w:hAnsi="Arial" w:cs="Arial"/>
          <w:b/>
          <w:bCs/>
        </w:rPr>
      </w:pPr>
    </w:p>
    <w:p w:rsidR="00310532" w:rsidRPr="00D64DC9" w:rsidRDefault="00310532">
      <w:pPr>
        <w:jc w:val="both"/>
        <w:rPr>
          <w:rFonts w:ascii="Arial" w:hAnsi="Arial" w:cs="Arial"/>
          <w:b/>
          <w:bCs/>
        </w:rPr>
      </w:pPr>
      <w:r w:rsidRPr="00D64DC9">
        <w:rPr>
          <w:rFonts w:ascii="Arial" w:hAnsi="Arial" w:cs="Arial"/>
          <w:b/>
          <w:bCs/>
        </w:rPr>
        <w:t>APPLICATION TO THE EUROPEAN ECONOMIC AREA</w:t>
      </w:r>
    </w:p>
    <w:p w:rsidR="00310532" w:rsidRPr="00D64DC9" w:rsidRDefault="00310532">
      <w:pPr>
        <w:jc w:val="both"/>
        <w:rPr>
          <w:rFonts w:ascii="Arial" w:hAnsi="Arial" w:cs="Arial"/>
        </w:rPr>
      </w:pPr>
    </w:p>
    <w:p w:rsidR="00310532" w:rsidRPr="00D64DC9" w:rsidRDefault="00310532" w:rsidP="00B628A4">
      <w:pPr>
        <w:numPr>
          <w:ilvl w:val="0"/>
          <w:numId w:val="3"/>
        </w:numPr>
        <w:jc w:val="both"/>
        <w:rPr>
          <w:rFonts w:ascii="Arial" w:hAnsi="Arial" w:cs="Arial"/>
        </w:rPr>
      </w:pPr>
      <w:r w:rsidRPr="00D64DC9">
        <w:rPr>
          <w:rFonts w:ascii="Arial" w:hAnsi="Arial" w:cs="Arial"/>
        </w:rPr>
        <w:t>Not applicable.</w:t>
      </w:r>
    </w:p>
    <w:p w:rsidR="00310532" w:rsidRPr="00D64DC9" w:rsidRDefault="00310532">
      <w:pPr>
        <w:rPr>
          <w:rFonts w:ascii="Arial" w:hAnsi="Arial" w:cs="Arial"/>
        </w:rPr>
      </w:pPr>
    </w:p>
    <w:p w:rsidR="00310532" w:rsidRPr="00D64DC9" w:rsidRDefault="00310532">
      <w:pPr>
        <w:rPr>
          <w:rFonts w:ascii="Arial" w:hAnsi="Arial" w:cs="Arial"/>
          <w:b/>
          <w:bCs/>
        </w:rPr>
      </w:pPr>
      <w:r w:rsidRPr="00D64DC9">
        <w:rPr>
          <w:rFonts w:ascii="Arial" w:hAnsi="Arial" w:cs="Arial"/>
          <w:b/>
          <w:bCs/>
        </w:rPr>
        <w:t>SUBSIDIARITY</w:t>
      </w:r>
    </w:p>
    <w:p w:rsidR="00310532" w:rsidRPr="00D64DC9" w:rsidRDefault="00310532">
      <w:pPr>
        <w:rPr>
          <w:rFonts w:ascii="Arial" w:hAnsi="Arial" w:cs="Arial"/>
          <w:b/>
          <w:bCs/>
        </w:rPr>
      </w:pPr>
    </w:p>
    <w:p w:rsidR="00310532" w:rsidRPr="00D64DC9" w:rsidRDefault="00A27D29" w:rsidP="00B628A4">
      <w:pPr>
        <w:numPr>
          <w:ilvl w:val="0"/>
          <w:numId w:val="3"/>
        </w:numPr>
        <w:jc w:val="both"/>
        <w:rPr>
          <w:rFonts w:ascii="Arial" w:hAnsi="Arial" w:cs="Arial"/>
        </w:rPr>
      </w:pPr>
      <w:r w:rsidRPr="00D64DC9">
        <w:rPr>
          <w:rFonts w:ascii="Arial" w:hAnsi="Arial" w:cs="Arial"/>
        </w:rPr>
        <w:t xml:space="preserve">The EU budget is a matter of exclusive EU competence.  </w:t>
      </w:r>
    </w:p>
    <w:p w:rsidR="00310532" w:rsidRPr="00D64DC9" w:rsidRDefault="00310532">
      <w:pPr>
        <w:jc w:val="both"/>
        <w:rPr>
          <w:rFonts w:ascii="Arial" w:hAnsi="Arial" w:cs="Arial"/>
        </w:rPr>
      </w:pPr>
    </w:p>
    <w:p w:rsidR="00310532" w:rsidRPr="00D64DC9" w:rsidRDefault="00310532">
      <w:pPr>
        <w:rPr>
          <w:rFonts w:ascii="Arial" w:hAnsi="Arial" w:cs="Arial"/>
          <w:b/>
          <w:bCs/>
        </w:rPr>
      </w:pPr>
      <w:r w:rsidRPr="00D64DC9">
        <w:rPr>
          <w:rFonts w:ascii="Arial" w:hAnsi="Arial" w:cs="Arial"/>
          <w:b/>
          <w:bCs/>
        </w:rPr>
        <w:t>POLICY IMPLICATIONS</w:t>
      </w:r>
    </w:p>
    <w:p w:rsidR="00C12C8E" w:rsidRPr="00666383" w:rsidRDefault="00C12C8E" w:rsidP="00666383">
      <w:pPr>
        <w:rPr>
          <w:rFonts w:ascii="Arial" w:hAnsi="Arial" w:cs="Arial"/>
          <w:iCs/>
        </w:rPr>
      </w:pPr>
    </w:p>
    <w:p w:rsidR="001B21B5" w:rsidRPr="00666383" w:rsidRDefault="00C12C8E" w:rsidP="00666383">
      <w:pPr>
        <w:numPr>
          <w:ilvl w:val="0"/>
          <w:numId w:val="3"/>
        </w:numPr>
        <w:jc w:val="both"/>
        <w:rPr>
          <w:rFonts w:ascii="Arial" w:hAnsi="Arial" w:cs="Arial"/>
        </w:rPr>
      </w:pPr>
      <w:r w:rsidRPr="00C12C8E">
        <w:rPr>
          <w:rFonts w:ascii="Arial" w:hAnsi="Arial" w:cs="Arial"/>
        </w:rPr>
        <w:t>The Government is a strong advocate of sound financial management and budget discipline in rel</w:t>
      </w:r>
      <w:r w:rsidR="006B17D8">
        <w:rPr>
          <w:rFonts w:ascii="Arial" w:hAnsi="Arial" w:cs="Arial"/>
        </w:rPr>
        <w:t>ation to EU b</w:t>
      </w:r>
      <w:r w:rsidR="00666383">
        <w:rPr>
          <w:rFonts w:ascii="Arial" w:hAnsi="Arial" w:cs="Arial"/>
        </w:rPr>
        <w:t>udget expenditure, and notes that t</w:t>
      </w:r>
      <w:r w:rsidR="00666383" w:rsidRPr="00C12C8E">
        <w:rPr>
          <w:rFonts w:ascii="Arial" w:hAnsi="Arial" w:cs="Arial"/>
        </w:rPr>
        <w:t xml:space="preserve">his report provides </w:t>
      </w:r>
      <w:r w:rsidR="00666383">
        <w:rPr>
          <w:rFonts w:ascii="Arial" w:hAnsi="Arial" w:cs="Arial"/>
        </w:rPr>
        <w:t>useful</w:t>
      </w:r>
      <w:r w:rsidR="00666383" w:rsidRPr="00C12C8E">
        <w:rPr>
          <w:rFonts w:ascii="Arial" w:hAnsi="Arial" w:cs="Arial"/>
        </w:rPr>
        <w:t xml:space="preserve"> </w:t>
      </w:r>
      <w:r w:rsidR="006B17D8">
        <w:rPr>
          <w:rFonts w:ascii="Arial" w:hAnsi="Arial" w:cs="Arial"/>
        </w:rPr>
        <w:t xml:space="preserve">a </w:t>
      </w:r>
      <w:r w:rsidR="00666383" w:rsidRPr="00C12C8E">
        <w:rPr>
          <w:rFonts w:ascii="Arial" w:hAnsi="Arial" w:cs="Arial"/>
        </w:rPr>
        <w:t xml:space="preserve">summary of the actions taken by the Commission in response to the </w:t>
      </w:r>
      <w:r w:rsidR="00666383">
        <w:rPr>
          <w:rFonts w:ascii="Arial" w:hAnsi="Arial" w:cs="Arial"/>
        </w:rPr>
        <w:t xml:space="preserve">discharge </w:t>
      </w:r>
      <w:r w:rsidR="00666383" w:rsidRPr="00C12C8E">
        <w:rPr>
          <w:rFonts w:ascii="Arial" w:hAnsi="Arial" w:cs="Arial"/>
        </w:rPr>
        <w:t>recommenda</w:t>
      </w:r>
      <w:r w:rsidR="00666383">
        <w:rPr>
          <w:rFonts w:ascii="Arial" w:hAnsi="Arial" w:cs="Arial"/>
        </w:rPr>
        <w:t>tions of the 2011 EU budget</w:t>
      </w:r>
      <w:r w:rsidR="003E6185">
        <w:rPr>
          <w:rFonts w:ascii="Arial" w:hAnsi="Arial" w:cs="Arial"/>
        </w:rPr>
        <w:t>.</w:t>
      </w:r>
      <w:r w:rsidR="00666383" w:rsidRPr="00C12C8E">
        <w:rPr>
          <w:rFonts w:ascii="Arial" w:hAnsi="Arial" w:cs="Arial"/>
        </w:rPr>
        <w:t xml:space="preserve"> </w:t>
      </w:r>
    </w:p>
    <w:p w:rsidR="001B21B5" w:rsidRDefault="001B21B5" w:rsidP="001B21B5">
      <w:pPr>
        <w:pStyle w:val="ListParagraph"/>
        <w:rPr>
          <w:rFonts w:ascii="Arial" w:eastAsiaTheme="minorEastAsia" w:hAnsi="Arial" w:cs="Arial"/>
          <w:lang w:eastAsia="en-GB"/>
        </w:rPr>
      </w:pPr>
    </w:p>
    <w:p w:rsidR="001B21B5" w:rsidRPr="00666383" w:rsidRDefault="003E6185" w:rsidP="001B21B5">
      <w:pPr>
        <w:numPr>
          <w:ilvl w:val="0"/>
          <w:numId w:val="3"/>
        </w:numPr>
        <w:jc w:val="both"/>
        <w:rPr>
          <w:rFonts w:ascii="Arial" w:hAnsi="Arial" w:cs="Arial"/>
        </w:rPr>
      </w:pPr>
      <w:r>
        <w:rPr>
          <w:rFonts w:ascii="Arial" w:eastAsiaTheme="minorEastAsia" w:hAnsi="Arial" w:cs="Arial"/>
          <w:lang w:eastAsia="en-GB"/>
        </w:rPr>
        <w:t>In relation to improvements to interruptions procedures, t</w:t>
      </w:r>
      <w:r w:rsidR="004404D1">
        <w:rPr>
          <w:rFonts w:ascii="Arial" w:eastAsiaTheme="minorEastAsia" w:hAnsi="Arial" w:cs="Arial"/>
          <w:lang w:eastAsia="en-GB"/>
        </w:rPr>
        <w:t>he Government support</w:t>
      </w:r>
      <w:r w:rsidR="00F24066">
        <w:rPr>
          <w:rFonts w:ascii="Arial" w:eastAsiaTheme="minorEastAsia" w:hAnsi="Arial" w:cs="Arial"/>
          <w:lang w:eastAsia="en-GB"/>
        </w:rPr>
        <w:t>s</w:t>
      </w:r>
      <w:r w:rsidR="004404D1">
        <w:rPr>
          <w:rFonts w:ascii="Arial" w:eastAsiaTheme="minorEastAsia" w:hAnsi="Arial" w:cs="Arial"/>
          <w:lang w:eastAsia="en-GB"/>
        </w:rPr>
        <w:t xml:space="preserve"> </w:t>
      </w:r>
      <w:r w:rsidR="006B17D8">
        <w:rPr>
          <w:rFonts w:ascii="Arial" w:eastAsiaTheme="minorEastAsia" w:hAnsi="Arial" w:cs="Arial"/>
          <w:lang w:eastAsia="en-GB"/>
        </w:rPr>
        <w:t xml:space="preserve">in principle, </w:t>
      </w:r>
      <w:r w:rsidR="004404D1">
        <w:rPr>
          <w:rFonts w:ascii="Arial" w:eastAsiaTheme="minorEastAsia" w:hAnsi="Arial" w:cs="Arial"/>
          <w:lang w:eastAsia="en-GB"/>
        </w:rPr>
        <w:t xml:space="preserve">the amendments to </w:t>
      </w:r>
      <w:r w:rsidR="004404D1" w:rsidRPr="001B21B5">
        <w:rPr>
          <w:rFonts w:ascii="Arial" w:eastAsiaTheme="minorEastAsia" w:hAnsi="Arial" w:cs="Arial"/>
          <w:lang w:eastAsia="en-GB"/>
        </w:rPr>
        <w:t>Regulation 883/2006 to facilitate interruptions of rural development payments</w:t>
      </w:r>
      <w:r w:rsidR="004404D1">
        <w:rPr>
          <w:rFonts w:ascii="Arial" w:eastAsiaTheme="minorEastAsia" w:hAnsi="Arial" w:cs="Arial"/>
          <w:lang w:eastAsia="en-GB"/>
        </w:rPr>
        <w:t>,</w:t>
      </w:r>
      <w:r w:rsidR="001B21B5" w:rsidRPr="001B21B5">
        <w:rPr>
          <w:rFonts w:ascii="Arial" w:eastAsiaTheme="minorEastAsia" w:hAnsi="Arial" w:cs="Arial"/>
          <w:lang w:eastAsia="en-GB"/>
        </w:rPr>
        <w:t xml:space="preserve"> as a means of promoting sound financial management.  </w:t>
      </w:r>
      <w:r w:rsidR="00F24066">
        <w:rPr>
          <w:rFonts w:ascii="Arial" w:eastAsiaTheme="minorEastAsia" w:hAnsi="Arial" w:cs="Arial"/>
          <w:lang w:eastAsia="en-GB"/>
        </w:rPr>
        <w:t xml:space="preserve">It </w:t>
      </w:r>
      <w:r w:rsidR="006B17D8">
        <w:rPr>
          <w:rFonts w:ascii="Arial" w:eastAsiaTheme="minorEastAsia" w:hAnsi="Arial" w:cs="Arial"/>
          <w:lang w:eastAsia="en-GB"/>
        </w:rPr>
        <w:t>believes</w:t>
      </w:r>
      <w:r w:rsidR="006B17D8" w:rsidRPr="006B17D8">
        <w:rPr>
          <w:rFonts w:ascii="Arial" w:eastAsiaTheme="minorEastAsia" w:hAnsi="Arial" w:cs="Arial"/>
          <w:lang w:eastAsia="en-GB"/>
        </w:rPr>
        <w:t xml:space="preserve"> </w:t>
      </w:r>
      <w:r w:rsidR="006B17D8">
        <w:rPr>
          <w:rFonts w:ascii="Arial" w:eastAsiaTheme="minorEastAsia" w:hAnsi="Arial" w:cs="Arial"/>
          <w:lang w:eastAsia="en-GB"/>
        </w:rPr>
        <w:t>however</w:t>
      </w:r>
      <w:r w:rsidR="004404D1">
        <w:rPr>
          <w:rFonts w:ascii="Arial" w:eastAsiaTheme="minorEastAsia" w:hAnsi="Arial" w:cs="Arial"/>
          <w:lang w:eastAsia="en-GB"/>
        </w:rPr>
        <w:t xml:space="preserve"> </w:t>
      </w:r>
      <w:r w:rsidR="006B17D8">
        <w:rPr>
          <w:rFonts w:ascii="Arial" w:eastAsiaTheme="minorEastAsia" w:hAnsi="Arial" w:cs="Arial"/>
          <w:lang w:eastAsia="en-GB"/>
        </w:rPr>
        <w:t xml:space="preserve">that </w:t>
      </w:r>
      <w:r w:rsidR="004404D1">
        <w:rPr>
          <w:rFonts w:ascii="Arial" w:eastAsiaTheme="minorEastAsia" w:hAnsi="Arial" w:cs="Arial"/>
          <w:lang w:eastAsia="en-GB"/>
        </w:rPr>
        <w:t xml:space="preserve">these </w:t>
      </w:r>
      <w:r w:rsidR="006B17D8">
        <w:rPr>
          <w:rFonts w:ascii="Arial" w:eastAsiaTheme="minorEastAsia" w:hAnsi="Arial" w:cs="Arial"/>
          <w:lang w:eastAsia="en-GB"/>
        </w:rPr>
        <w:t xml:space="preserve">amendments </w:t>
      </w:r>
      <w:r w:rsidR="004404D1">
        <w:rPr>
          <w:rFonts w:ascii="Arial" w:eastAsiaTheme="minorEastAsia" w:hAnsi="Arial" w:cs="Arial"/>
          <w:lang w:eastAsia="en-GB"/>
        </w:rPr>
        <w:t>would</w:t>
      </w:r>
      <w:r w:rsidR="001B21B5" w:rsidRPr="001B21B5">
        <w:rPr>
          <w:rFonts w:ascii="Arial" w:eastAsiaTheme="minorEastAsia" w:hAnsi="Arial" w:cs="Arial"/>
          <w:lang w:eastAsia="en-GB"/>
        </w:rPr>
        <w:t xml:space="preserve"> not necessarily in themselves address the underlying problem of high error rates in scheme payments.  There is a continuin</w:t>
      </w:r>
      <w:r w:rsidR="001B21B5">
        <w:rPr>
          <w:rFonts w:ascii="Arial" w:eastAsiaTheme="minorEastAsia" w:hAnsi="Arial" w:cs="Arial"/>
          <w:lang w:eastAsia="en-GB"/>
        </w:rPr>
        <w:t xml:space="preserve">g need for simplification </w:t>
      </w:r>
      <w:r w:rsidR="001B21B5" w:rsidRPr="001B21B5">
        <w:rPr>
          <w:rFonts w:ascii="Arial" w:eastAsiaTheme="minorEastAsia" w:hAnsi="Arial" w:cs="Arial"/>
          <w:lang w:eastAsia="en-GB"/>
        </w:rPr>
        <w:t>of the regulations in such a way that policy objectives (e.g. enviro</w:t>
      </w:r>
      <w:r w:rsidR="001B21B5">
        <w:rPr>
          <w:rFonts w:ascii="Arial" w:eastAsiaTheme="minorEastAsia" w:hAnsi="Arial" w:cs="Arial"/>
          <w:lang w:eastAsia="en-GB"/>
        </w:rPr>
        <w:t>nmental benefits) can be maximis</w:t>
      </w:r>
      <w:r w:rsidR="001B21B5" w:rsidRPr="001B21B5">
        <w:rPr>
          <w:rFonts w:ascii="Arial" w:eastAsiaTheme="minorEastAsia" w:hAnsi="Arial" w:cs="Arial"/>
          <w:lang w:eastAsia="en-GB"/>
        </w:rPr>
        <w:t>ed and er</w:t>
      </w:r>
      <w:r w:rsidR="001B21B5">
        <w:rPr>
          <w:rFonts w:ascii="Arial" w:eastAsiaTheme="minorEastAsia" w:hAnsi="Arial" w:cs="Arial"/>
          <w:lang w:eastAsia="en-GB"/>
        </w:rPr>
        <w:t>ror rates in expenditure minimis</w:t>
      </w:r>
      <w:r w:rsidR="001B21B5" w:rsidRPr="001B21B5">
        <w:rPr>
          <w:rFonts w:ascii="Arial" w:eastAsiaTheme="minorEastAsia" w:hAnsi="Arial" w:cs="Arial"/>
          <w:lang w:eastAsia="en-GB"/>
        </w:rPr>
        <w:t>ed.</w:t>
      </w:r>
    </w:p>
    <w:p w:rsidR="000C3851" w:rsidRPr="00DB3938" w:rsidRDefault="000C3851" w:rsidP="00DB3938">
      <w:pPr>
        <w:rPr>
          <w:rFonts w:ascii="Arial" w:hAnsi="Arial" w:cs="Arial"/>
        </w:rPr>
      </w:pPr>
    </w:p>
    <w:p w:rsidR="00DB3938" w:rsidRDefault="003E6185" w:rsidP="00DB3938">
      <w:pPr>
        <w:numPr>
          <w:ilvl w:val="0"/>
          <w:numId w:val="3"/>
        </w:numPr>
        <w:jc w:val="both"/>
        <w:rPr>
          <w:rFonts w:ascii="Arial" w:hAnsi="Arial" w:cs="Arial"/>
        </w:rPr>
      </w:pPr>
      <w:r>
        <w:rPr>
          <w:rFonts w:ascii="Arial" w:hAnsi="Arial" w:cs="Arial"/>
          <w:color w:val="000000"/>
        </w:rPr>
        <w:t>In relation to actions concerning revenues</w:t>
      </w:r>
      <w:r w:rsidR="006B17D8">
        <w:rPr>
          <w:rFonts w:ascii="Arial" w:hAnsi="Arial" w:cs="Arial"/>
          <w:color w:val="000000"/>
        </w:rPr>
        <w:t xml:space="preserve"> in the UK</w:t>
      </w:r>
      <w:r>
        <w:rPr>
          <w:rFonts w:ascii="Arial" w:hAnsi="Arial" w:cs="Arial"/>
          <w:color w:val="000000"/>
        </w:rPr>
        <w:t xml:space="preserve">, </w:t>
      </w:r>
      <w:r w:rsidR="00DB3938" w:rsidRPr="00DB3938">
        <w:rPr>
          <w:rFonts w:ascii="Arial" w:hAnsi="Arial" w:cs="Arial"/>
          <w:color w:val="000000"/>
        </w:rPr>
        <w:t>He</w:t>
      </w:r>
      <w:r w:rsidR="006349C8">
        <w:rPr>
          <w:rFonts w:ascii="Arial" w:hAnsi="Arial" w:cs="Arial"/>
          <w:color w:val="000000"/>
        </w:rPr>
        <w:t xml:space="preserve">r Majesty’s Revenue and Customs (HMRC) </w:t>
      </w:r>
      <w:r w:rsidR="00DB3938" w:rsidRPr="00DB3938">
        <w:rPr>
          <w:rFonts w:ascii="Arial" w:hAnsi="Arial" w:cs="Arial"/>
          <w:color w:val="000000"/>
        </w:rPr>
        <w:t>is working closely with UK trade</w:t>
      </w:r>
      <w:r w:rsidR="001753F9">
        <w:rPr>
          <w:rFonts w:ascii="Arial" w:hAnsi="Arial" w:cs="Arial"/>
          <w:color w:val="000000"/>
        </w:rPr>
        <w:t xml:space="preserve"> bodies</w:t>
      </w:r>
      <w:r w:rsidR="00DB3938" w:rsidRPr="00DB3938">
        <w:rPr>
          <w:rFonts w:ascii="Arial" w:hAnsi="Arial" w:cs="Arial"/>
          <w:color w:val="000000"/>
        </w:rPr>
        <w:t xml:space="preserve"> to assess the national impact </w:t>
      </w:r>
      <w:r w:rsidR="00F24066">
        <w:rPr>
          <w:rFonts w:ascii="Arial" w:hAnsi="Arial" w:cs="Arial"/>
          <w:color w:val="000000"/>
        </w:rPr>
        <w:t xml:space="preserve">of delay to the implementation of the MCC, </w:t>
      </w:r>
      <w:r w:rsidR="00DB3938" w:rsidRPr="00DB3938">
        <w:rPr>
          <w:rFonts w:ascii="Arial" w:hAnsi="Arial" w:cs="Arial"/>
          <w:color w:val="000000"/>
        </w:rPr>
        <w:t xml:space="preserve">with a primary focus being on the current timetable for </w:t>
      </w:r>
      <w:r w:rsidR="00C13C18">
        <w:rPr>
          <w:rFonts w:ascii="Arial" w:hAnsi="Arial" w:cs="Arial"/>
          <w:color w:val="000000"/>
        </w:rPr>
        <w:t xml:space="preserve">the </w:t>
      </w:r>
      <w:r w:rsidR="00DB3938" w:rsidRPr="00DB3938">
        <w:rPr>
          <w:rFonts w:ascii="Arial" w:hAnsi="Arial" w:cs="Arial"/>
          <w:color w:val="000000"/>
        </w:rPr>
        <w:t>U</w:t>
      </w:r>
      <w:r w:rsidR="00C13C18">
        <w:rPr>
          <w:rFonts w:ascii="Arial" w:hAnsi="Arial" w:cs="Arial"/>
          <w:color w:val="000000"/>
        </w:rPr>
        <w:t xml:space="preserve">nion </w:t>
      </w:r>
      <w:r w:rsidR="00DB3938" w:rsidRPr="00DB3938">
        <w:rPr>
          <w:rFonts w:ascii="Arial" w:hAnsi="Arial" w:cs="Arial"/>
          <w:color w:val="000000"/>
        </w:rPr>
        <w:t>C</w:t>
      </w:r>
      <w:r w:rsidR="00C13C18">
        <w:rPr>
          <w:rFonts w:ascii="Arial" w:hAnsi="Arial" w:cs="Arial"/>
          <w:color w:val="000000"/>
        </w:rPr>
        <w:t>ustoms Code</w:t>
      </w:r>
      <w:r w:rsidR="00DB3938" w:rsidRPr="00DB3938">
        <w:rPr>
          <w:rFonts w:ascii="Arial" w:hAnsi="Arial" w:cs="Arial"/>
          <w:color w:val="000000"/>
        </w:rPr>
        <w:t xml:space="preserve"> implementation in 2015.</w:t>
      </w:r>
      <w:r w:rsidR="00DB3938">
        <w:rPr>
          <w:rFonts w:ascii="Arial" w:hAnsi="Arial" w:cs="Arial"/>
        </w:rPr>
        <w:t xml:space="preserve"> </w:t>
      </w:r>
      <w:r w:rsidR="00DB3938">
        <w:rPr>
          <w:rFonts w:ascii="Arial" w:hAnsi="Arial" w:cs="Arial"/>
          <w:color w:val="000000"/>
        </w:rPr>
        <w:t>With regards</w:t>
      </w:r>
      <w:r w:rsidR="00DB3938" w:rsidRPr="00DB3938">
        <w:rPr>
          <w:rFonts w:ascii="Arial" w:hAnsi="Arial" w:cs="Arial"/>
          <w:color w:val="000000"/>
        </w:rPr>
        <w:t xml:space="preserve"> to the VAT gap identified in </w:t>
      </w:r>
      <w:r w:rsidR="00886324">
        <w:rPr>
          <w:rFonts w:ascii="Arial" w:hAnsi="Arial" w:cs="Arial"/>
          <w:color w:val="000000"/>
        </w:rPr>
        <w:t xml:space="preserve">relation </w:t>
      </w:r>
      <w:r w:rsidR="00DB3938" w:rsidRPr="00DB3938">
        <w:rPr>
          <w:rFonts w:ascii="Arial" w:hAnsi="Arial" w:cs="Arial"/>
          <w:color w:val="000000"/>
        </w:rPr>
        <w:t>to Customs procedure 42</w:t>
      </w:r>
      <w:r w:rsidR="006B17D8">
        <w:rPr>
          <w:rFonts w:ascii="Arial" w:hAnsi="Arial" w:cs="Arial"/>
          <w:color w:val="000000"/>
        </w:rPr>
        <w:t xml:space="preserve"> (CP42)</w:t>
      </w:r>
      <w:r w:rsidR="00DB3938" w:rsidRPr="00DB3938">
        <w:rPr>
          <w:rFonts w:ascii="Arial" w:hAnsi="Arial" w:cs="Arial"/>
          <w:color w:val="000000"/>
        </w:rPr>
        <w:t xml:space="preserve">, the European Court of Auditors (ECA) produced a special report on the effectiveness of control across the EU of </w:t>
      </w:r>
      <w:r w:rsidR="006B17D8">
        <w:rPr>
          <w:rFonts w:ascii="Arial" w:hAnsi="Arial" w:cs="Arial"/>
          <w:color w:val="000000"/>
        </w:rPr>
        <w:t>CP42</w:t>
      </w:r>
      <w:r w:rsidR="00DB3938">
        <w:rPr>
          <w:rFonts w:ascii="Arial" w:hAnsi="Arial" w:cs="Arial"/>
          <w:color w:val="000000"/>
        </w:rPr>
        <w:t xml:space="preserve"> for imports in 2012. </w:t>
      </w:r>
      <w:r w:rsidR="00DB3938" w:rsidRPr="00DB3938">
        <w:rPr>
          <w:rFonts w:ascii="Arial" w:hAnsi="Arial" w:cs="Arial"/>
          <w:color w:val="000000"/>
        </w:rPr>
        <w:t>Overall</w:t>
      </w:r>
      <w:r w:rsidR="00F24066">
        <w:rPr>
          <w:rFonts w:ascii="Arial" w:hAnsi="Arial" w:cs="Arial"/>
          <w:color w:val="000000"/>
        </w:rPr>
        <w:t>, the</w:t>
      </w:r>
      <w:r w:rsidR="00DB3938" w:rsidRPr="00DB3938">
        <w:rPr>
          <w:rFonts w:ascii="Arial" w:hAnsi="Arial" w:cs="Arial"/>
          <w:color w:val="000000"/>
        </w:rPr>
        <w:t xml:space="preserve"> EC</w:t>
      </w:r>
      <w:r w:rsidR="00F24066">
        <w:rPr>
          <w:rFonts w:ascii="Arial" w:hAnsi="Arial" w:cs="Arial"/>
          <w:color w:val="000000"/>
        </w:rPr>
        <w:t>A</w:t>
      </w:r>
      <w:r w:rsidR="00DB3938" w:rsidRPr="00DB3938">
        <w:rPr>
          <w:rFonts w:ascii="Arial" w:hAnsi="Arial" w:cs="Arial"/>
          <w:color w:val="000000"/>
        </w:rPr>
        <w:t xml:space="preserve"> believe</w:t>
      </w:r>
      <w:r w:rsidR="00F24066">
        <w:rPr>
          <w:rFonts w:ascii="Arial" w:hAnsi="Arial" w:cs="Arial"/>
          <w:color w:val="000000"/>
        </w:rPr>
        <w:t>s</w:t>
      </w:r>
      <w:r w:rsidR="00DB3938" w:rsidRPr="00DB3938">
        <w:rPr>
          <w:rFonts w:ascii="Arial" w:hAnsi="Arial" w:cs="Arial"/>
          <w:color w:val="000000"/>
        </w:rPr>
        <w:t xml:space="preserve"> that these procedures are not yet effectively controlled across Member States, which is giving rise to VAT evasion and lost revenue.  The UK is not relying on the 15 cases sampled as part of the ECA audit to ass</w:t>
      </w:r>
      <w:r w:rsidR="00185ABE">
        <w:rPr>
          <w:rFonts w:ascii="Arial" w:hAnsi="Arial" w:cs="Arial"/>
          <w:color w:val="000000"/>
        </w:rPr>
        <w:t>ure compliance and tackle fraud -</w:t>
      </w:r>
      <w:r w:rsidR="00DB3938" w:rsidRPr="00DB3938">
        <w:rPr>
          <w:rFonts w:ascii="Arial" w:hAnsi="Arial" w:cs="Arial"/>
          <w:color w:val="000000"/>
        </w:rPr>
        <w:t xml:space="preserve"> HMRC’s work plan for 2012 includes activities to test both </w:t>
      </w:r>
      <w:r w:rsidR="00F24066">
        <w:rPr>
          <w:rFonts w:ascii="Arial" w:hAnsi="Arial" w:cs="Arial"/>
          <w:color w:val="000000"/>
        </w:rPr>
        <w:t xml:space="preserve">strands </w:t>
      </w:r>
      <w:r w:rsidR="00185ABE">
        <w:rPr>
          <w:rFonts w:ascii="Arial" w:hAnsi="Arial" w:cs="Arial"/>
          <w:color w:val="000000"/>
        </w:rPr>
        <w:t>of the CP42 framework:</w:t>
      </w:r>
      <w:r w:rsidR="00DB3938" w:rsidRPr="00DB3938">
        <w:rPr>
          <w:rFonts w:ascii="Arial" w:hAnsi="Arial" w:cs="Arial"/>
          <w:color w:val="000000"/>
        </w:rPr>
        <w:t xml:space="preserve"> imports through the UK for despatch to another Member State and VAT due in the UK on imports through another Member State. </w:t>
      </w:r>
      <w:r w:rsidR="00DB3938" w:rsidRPr="00DB3938">
        <w:rPr>
          <w:rFonts w:ascii="Arial" w:hAnsi="Arial" w:cs="Arial"/>
        </w:rPr>
        <w:t>Specialist fraud officers also review UK CP42 imports monthly</w:t>
      </w:r>
      <w:r w:rsidR="00185ABE">
        <w:rPr>
          <w:rFonts w:ascii="Arial" w:hAnsi="Arial" w:cs="Arial"/>
        </w:rPr>
        <w:t>,</w:t>
      </w:r>
      <w:r w:rsidR="00DB3938" w:rsidRPr="00DB3938">
        <w:rPr>
          <w:rFonts w:ascii="Arial" w:hAnsi="Arial" w:cs="Arial"/>
        </w:rPr>
        <w:t xml:space="preserve"> and exchange information with the other Member States to identify high risk cases, here or abroad, for intervention.</w:t>
      </w:r>
      <w:r w:rsidR="00DB3938">
        <w:rPr>
          <w:rFonts w:ascii="Arial" w:hAnsi="Arial" w:cs="Arial"/>
        </w:rPr>
        <w:t xml:space="preserve"> </w:t>
      </w:r>
      <w:r w:rsidR="00DB3938" w:rsidRPr="00DB3938">
        <w:rPr>
          <w:rFonts w:ascii="Arial" w:hAnsi="Arial" w:cs="Arial"/>
        </w:rPr>
        <w:t>In addition to this, and specifically in re</w:t>
      </w:r>
      <w:r w:rsidR="00185ABE">
        <w:rPr>
          <w:rFonts w:ascii="Arial" w:hAnsi="Arial" w:cs="Arial"/>
        </w:rPr>
        <w:t>lation to potential evasion of Own R</w:t>
      </w:r>
      <w:r w:rsidR="00DB3938" w:rsidRPr="00DB3938">
        <w:rPr>
          <w:rFonts w:ascii="Arial" w:hAnsi="Arial" w:cs="Arial"/>
        </w:rPr>
        <w:t xml:space="preserve">esources, the UK has initiated a special programme to raise expertise by creating a network of specialists to tackle civil </w:t>
      </w:r>
      <w:r w:rsidR="00DB3938" w:rsidRPr="00DB3938">
        <w:rPr>
          <w:rFonts w:ascii="Arial" w:hAnsi="Arial" w:cs="Arial"/>
        </w:rPr>
        <w:lastRenderedPageBreak/>
        <w:t>evasion</w:t>
      </w:r>
      <w:r w:rsidR="00CE7CF4" w:rsidRPr="00DB3938">
        <w:rPr>
          <w:rFonts w:ascii="Arial" w:hAnsi="Arial" w:cs="Arial"/>
        </w:rPr>
        <w:t> supported</w:t>
      </w:r>
      <w:r w:rsidR="00DB3938" w:rsidRPr="00DB3938">
        <w:rPr>
          <w:rFonts w:ascii="Arial" w:hAnsi="Arial" w:cs="Arial"/>
        </w:rPr>
        <w:t xml:space="preserve"> </w:t>
      </w:r>
      <w:r w:rsidR="00185ABE" w:rsidRPr="00DB3938">
        <w:rPr>
          <w:rFonts w:ascii="Arial" w:hAnsi="Arial" w:cs="Arial"/>
        </w:rPr>
        <w:t>by framework penalties</w:t>
      </w:r>
      <w:r w:rsidR="00DB3938" w:rsidRPr="00DB3938">
        <w:rPr>
          <w:rFonts w:ascii="Arial" w:hAnsi="Arial" w:cs="Arial"/>
        </w:rPr>
        <w:t xml:space="preserve"> a</w:t>
      </w:r>
      <w:r w:rsidR="00185ABE">
        <w:rPr>
          <w:rFonts w:ascii="Arial" w:hAnsi="Arial" w:cs="Arial"/>
        </w:rPr>
        <w:t>nd sanctions aimed at reducing Own R</w:t>
      </w:r>
      <w:r w:rsidR="00DB3938" w:rsidRPr="00DB3938">
        <w:rPr>
          <w:rFonts w:ascii="Arial" w:hAnsi="Arial" w:cs="Arial"/>
        </w:rPr>
        <w:t>esources fraud.</w:t>
      </w:r>
    </w:p>
    <w:p w:rsidR="00310532" w:rsidRPr="00D64DC9" w:rsidRDefault="00310532">
      <w:pPr>
        <w:jc w:val="both"/>
        <w:rPr>
          <w:rFonts w:ascii="Arial" w:hAnsi="Arial" w:cs="Arial"/>
          <w:b/>
          <w:bCs/>
        </w:rPr>
      </w:pPr>
    </w:p>
    <w:p w:rsidR="00310532" w:rsidRPr="00D64DC9" w:rsidRDefault="00310532">
      <w:pPr>
        <w:jc w:val="both"/>
        <w:rPr>
          <w:rFonts w:ascii="Arial" w:hAnsi="Arial" w:cs="Arial"/>
          <w:b/>
          <w:bCs/>
        </w:rPr>
      </w:pPr>
      <w:r w:rsidRPr="00D64DC9">
        <w:rPr>
          <w:rFonts w:ascii="Arial" w:hAnsi="Arial" w:cs="Arial"/>
          <w:b/>
          <w:bCs/>
        </w:rPr>
        <w:t>REGULATORY IMPACT ASSESSMENT</w:t>
      </w:r>
    </w:p>
    <w:p w:rsidR="00310532" w:rsidRPr="00D64DC9" w:rsidRDefault="00310532">
      <w:pPr>
        <w:jc w:val="both"/>
        <w:rPr>
          <w:rFonts w:ascii="Arial" w:hAnsi="Arial" w:cs="Arial"/>
        </w:rPr>
      </w:pPr>
    </w:p>
    <w:p w:rsidR="00310532" w:rsidRPr="00D64DC9" w:rsidRDefault="00310532" w:rsidP="002932FD">
      <w:pPr>
        <w:pStyle w:val="BodyTextIndent"/>
        <w:numPr>
          <w:ilvl w:val="0"/>
          <w:numId w:val="3"/>
        </w:numPr>
      </w:pPr>
      <w:r w:rsidRPr="00D64DC9">
        <w:t xml:space="preserve"> Not applicable. </w:t>
      </w:r>
    </w:p>
    <w:p w:rsidR="00310532" w:rsidRPr="00D64DC9" w:rsidRDefault="00310532">
      <w:pPr>
        <w:rPr>
          <w:rFonts w:ascii="Arial" w:hAnsi="Arial" w:cs="Arial"/>
          <w:b/>
          <w:bCs/>
        </w:rPr>
      </w:pPr>
    </w:p>
    <w:p w:rsidR="00310532" w:rsidRPr="00D64DC9" w:rsidRDefault="00310532">
      <w:pPr>
        <w:rPr>
          <w:rFonts w:ascii="Arial" w:hAnsi="Arial" w:cs="Arial"/>
          <w:b/>
          <w:bCs/>
        </w:rPr>
      </w:pPr>
      <w:r w:rsidRPr="00D64DC9">
        <w:rPr>
          <w:rFonts w:ascii="Arial" w:hAnsi="Arial" w:cs="Arial"/>
          <w:b/>
          <w:bCs/>
        </w:rPr>
        <w:t>FINANCIAL IMPLICATIONS</w:t>
      </w:r>
    </w:p>
    <w:p w:rsidR="00310532" w:rsidRPr="00D64DC9" w:rsidRDefault="00310532">
      <w:pPr>
        <w:ind w:left="360"/>
        <w:jc w:val="both"/>
        <w:rPr>
          <w:rFonts w:ascii="Arial" w:hAnsi="Arial" w:cs="Arial"/>
          <w:i/>
          <w:iCs/>
        </w:rPr>
      </w:pPr>
    </w:p>
    <w:p w:rsidR="00310532" w:rsidRPr="00D64DC9" w:rsidRDefault="00310532" w:rsidP="002932FD">
      <w:pPr>
        <w:numPr>
          <w:ilvl w:val="0"/>
          <w:numId w:val="3"/>
        </w:numPr>
        <w:jc w:val="both"/>
        <w:rPr>
          <w:rFonts w:ascii="Arial" w:hAnsi="Arial" w:cs="Arial"/>
        </w:rPr>
      </w:pPr>
      <w:r w:rsidRPr="00D64DC9">
        <w:rPr>
          <w:rFonts w:ascii="Arial" w:hAnsi="Arial" w:cs="Arial"/>
        </w:rPr>
        <w:t>There are no direct financial implications</w:t>
      </w:r>
      <w:r w:rsidR="00FF798D">
        <w:rPr>
          <w:rFonts w:ascii="Arial" w:hAnsi="Arial" w:cs="Arial"/>
        </w:rPr>
        <w:t xml:space="preserve"> from this report</w:t>
      </w:r>
      <w:r w:rsidRPr="00D64DC9">
        <w:rPr>
          <w:rFonts w:ascii="Arial" w:hAnsi="Arial" w:cs="Arial"/>
        </w:rPr>
        <w:t xml:space="preserve">. However, the recommendations and the actions outlined by the Commission in response </w:t>
      </w:r>
      <w:r w:rsidR="00FF798D">
        <w:rPr>
          <w:rFonts w:ascii="Arial" w:hAnsi="Arial" w:cs="Arial"/>
        </w:rPr>
        <w:t>are aimed at</w:t>
      </w:r>
      <w:r w:rsidRPr="00D64DC9">
        <w:rPr>
          <w:rFonts w:ascii="Arial" w:hAnsi="Arial" w:cs="Arial"/>
        </w:rPr>
        <w:t xml:space="preserve"> </w:t>
      </w:r>
      <w:r w:rsidR="00FF798D">
        <w:rPr>
          <w:rFonts w:ascii="Arial" w:hAnsi="Arial" w:cs="Arial"/>
        </w:rPr>
        <w:t>improving</w:t>
      </w:r>
      <w:r w:rsidRPr="00D64DC9">
        <w:rPr>
          <w:rFonts w:ascii="Arial" w:hAnsi="Arial" w:cs="Arial"/>
        </w:rPr>
        <w:t xml:space="preserve"> the </w:t>
      </w:r>
      <w:r w:rsidR="0016425F" w:rsidRPr="00D64DC9">
        <w:rPr>
          <w:rFonts w:ascii="Arial" w:hAnsi="Arial" w:cs="Arial"/>
        </w:rPr>
        <w:t>Union</w:t>
      </w:r>
      <w:r w:rsidRPr="00D64DC9">
        <w:rPr>
          <w:rFonts w:ascii="Arial" w:hAnsi="Arial" w:cs="Arial"/>
        </w:rPr>
        <w:t>’s financial management, which should increase the effect</w:t>
      </w:r>
      <w:r w:rsidR="0016425F" w:rsidRPr="00D64DC9">
        <w:rPr>
          <w:rFonts w:ascii="Arial" w:hAnsi="Arial" w:cs="Arial"/>
        </w:rPr>
        <w:t>iveness and efficiency of the EU</w:t>
      </w:r>
      <w:r w:rsidR="00886324">
        <w:rPr>
          <w:rFonts w:ascii="Arial" w:hAnsi="Arial" w:cs="Arial"/>
        </w:rPr>
        <w:t xml:space="preserve"> b</w:t>
      </w:r>
      <w:r w:rsidRPr="00D64DC9">
        <w:rPr>
          <w:rFonts w:ascii="Arial" w:hAnsi="Arial" w:cs="Arial"/>
        </w:rPr>
        <w:t>udget.</w:t>
      </w:r>
    </w:p>
    <w:p w:rsidR="00310532" w:rsidRPr="00D64DC9" w:rsidRDefault="00310532">
      <w:pPr>
        <w:rPr>
          <w:rFonts w:ascii="Arial" w:hAnsi="Arial" w:cs="Arial"/>
          <w:b/>
          <w:bCs/>
        </w:rPr>
      </w:pPr>
    </w:p>
    <w:p w:rsidR="00310532" w:rsidRPr="00D64DC9" w:rsidRDefault="00310532">
      <w:pPr>
        <w:rPr>
          <w:rFonts w:ascii="Arial" w:hAnsi="Arial" w:cs="Arial"/>
          <w:b/>
          <w:bCs/>
        </w:rPr>
      </w:pPr>
      <w:r w:rsidRPr="00D64DC9">
        <w:rPr>
          <w:rFonts w:ascii="Arial" w:hAnsi="Arial" w:cs="Arial"/>
          <w:b/>
          <w:bCs/>
        </w:rPr>
        <w:t>CONSULTATION</w:t>
      </w:r>
    </w:p>
    <w:p w:rsidR="00310532" w:rsidRPr="00D64DC9" w:rsidRDefault="00310532">
      <w:pPr>
        <w:rPr>
          <w:rFonts w:ascii="Arial" w:hAnsi="Arial" w:cs="Arial"/>
        </w:rPr>
      </w:pPr>
    </w:p>
    <w:p w:rsidR="00310532" w:rsidRPr="00D64DC9" w:rsidRDefault="00310532" w:rsidP="002932FD">
      <w:pPr>
        <w:numPr>
          <w:ilvl w:val="0"/>
          <w:numId w:val="3"/>
        </w:numPr>
        <w:jc w:val="both"/>
        <w:rPr>
          <w:rFonts w:ascii="Arial" w:hAnsi="Arial" w:cs="Arial"/>
        </w:rPr>
      </w:pPr>
      <w:r w:rsidRPr="00D64DC9">
        <w:rPr>
          <w:rFonts w:ascii="Arial" w:hAnsi="Arial" w:cs="Arial"/>
        </w:rPr>
        <w:t>Not applicable.</w:t>
      </w:r>
    </w:p>
    <w:p w:rsidR="00310532" w:rsidRPr="00D64DC9" w:rsidRDefault="00310532">
      <w:pPr>
        <w:rPr>
          <w:rFonts w:ascii="Arial" w:hAnsi="Arial" w:cs="Arial"/>
          <w:b/>
          <w:bCs/>
        </w:rPr>
      </w:pPr>
    </w:p>
    <w:p w:rsidR="00310532" w:rsidRPr="00D64DC9" w:rsidRDefault="00310532">
      <w:pPr>
        <w:rPr>
          <w:rFonts w:ascii="Arial" w:hAnsi="Arial" w:cs="Arial"/>
          <w:b/>
          <w:bCs/>
        </w:rPr>
      </w:pPr>
      <w:r w:rsidRPr="00D64DC9">
        <w:rPr>
          <w:rFonts w:ascii="Arial" w:hAnsi="Arial" w:cs="Arial"/>
          <w:b/>
          <w:bCs/>
        </w:rPr>
        <w:t>TIMETABLE</w:t>
      </w:r>
    </w:p>
    <w:p w:rsidR="00310532" w:rsidRPr="00D64DC9" w:rsidRDefault="00310532">
      <w:pPr>
        <w:jc w:val="both"/>
        <w:rPr>
          <w:rFonts w:ascii="Arial" w:hAnsi="Arial" w:cs="Arial"/>
        </w:rPr>
      </w:pPr>
    </w:p>
    <w:p w:rsidR="00310532" w:rsidRPr="00886324" w:rsidRDefault="00886324" w:rsidP="00886324">
      <w:pPr>
        <w:numPr>
          <w:ilvl w:val="0"/>
          <w:numId w:val="3"/>
        </w:numPr>
        <w:jc w:val="both"/>
        <w:rPr>
          <w:rFonts w:ascii="Arial" w:hAnsi="Arial" w:cs="Arial"/>
        </w:rPr>
      </w:pPr>
      <w:r w:rsidRPr="00886324">
        <w:rPr>
          <w:rFonts w:ascii="Arial" w:hAnsi="Arial" w:cs="Arial"/>
        </w:rPr>
        <w:t>We currently have no timetable for a Council discussion on this</w:t>
      </w:r>
      <w:r w:rsidR="00310532" w:rsidRPr="00886324">
        <w:rPr>
          <w:rFonts w:ascii="Arial" w:hAnsi="Arial" w:cs="Arial"/>
        </w:rPr>
        <w:t xml:space="preserve"> document</w:t>
      </w:r>
      <w:r w:rsidRPr="00886324">
        <w:rPr>
          <w:rFonts w:ascii="Arial" w:hAnsi="Arial" w:cs="Arial"/>
        </w:rPr>
        <w:t>.</w:t>
      </w:r>
      <w:r w:rsidR="00310532" w:rsidRPr="00886324">
        <w:rPr>
          <w:rFonts w:ascii="Arial" w:hAnsi="Arial" w:cs="Arial"/>
        </w:rPr>
        <w:t xml:space="preserve"> </w:t>
      </w:r>
    </w:p>
    <w:p w:rsidR="00310532" w:rsidRPr="00D64DC9" w:rsidRDefault="00310532">
      <w:pPr>
        <w:rPr>
          <w:rFonts w:ascii="Arial" w:hAnsi="Arial" w:cs="Arial"/>
          <w:b/>
          <w:bCs/>
        </w:rPr>
      </w:pPr>
    </w:p>
    <w:p w:rsidR="0016425F" w:rsidRPr="00D64DC9" w:rsidRDefault="0016425F">
      <w:pPr>
        <w:rPr>
          <w:rFonts w:ascii="Arial" w:hAnsi="Arial" w:cs="Arial"/>
          <w:b/>
          <w:bCs/>
        </w:rPr>
      </w:pPr>
    </w:p>
    <w:p w:rsidR="0016425F" w:rsidRPr="00D64DC9" w:rsidRDefault="0016425F">
      <w:pPr>
        <w:rPr>
          <w:rFonts w:ascii="Arial" w:hAnsi="Arial" w:cs="Arial"/>
          <w:b/>
          <w:bCs/>
        </w:rPr>
      </w:pPr>
    </w:p>
    <w:p w:rsidR="0016425F" w:rsidRPr="00D64DC9" w:rsidRDefault="0016425F">
      <w:pPr>
        <w:rPr>
          <w:rFonts w:ascii="Arial" w:hAnsi="Arial" w:cs="Arial"/>
          <w:b/>
          <w:bCs/>
        </w:rPr>
      </w:pPr>
    </w:p>
    <w:p w:rsidR="0016425F" w:rsidRPr="00D64DC9" w:rsidRDefault="0016425F">
      <w:pPr>
        <w:rPr>
          <w:rFonts w:ascii="Arial" w:hAnsi="Arial" w:cs="Arial"/>
          <w:b/>
          <w:bCs/>
        </w:rPr>
      </w:pPr>
    </w:p>
    <w:p w:rsidR="0016425F" w:rsidRPr="00D64DC9" w:rsidRDefault="0016425F">
      <w:pPr>
        <w:rPr>
          <w:rFonts w:ascii="Arial" w:hAnsi="Arial" w:cs="Arial"/>
          <w:b/>
          <w:bCs/>
        </w:rPr>
      </w:pPr>
    </w:p>
    <w:p w:rsidR="0016425F" w:rsidRPr="00D64DC9" w:rsidRDefault="0016425F">
      <w:pPr>
        <w:rPr>
          <w:rFonts w:ascii="Arial" w:hAnsi="Arial" w:cs="Arial"/>
          <w:b/>
          <w:bCs/>
        </w:rPr>
      </w:pPr>
    </w:p>
    <w:p w:rsidR="00310532" w:rsidRPr="00D64DC9" w:rsidRDefault="00310532">
      <w:pPr>
        <w:ind w:hanging="720"/>
        <w:rPr>
          <w:rFonts w:ascii="Arial" w:hAnsi="Arial" w:cs="Arial"/>
          <w:b/>
          <w:bCs/>
        </w:rPr>
      </w:pPr>
      <w:r w:rsidRPr="00D64DC9">
        <w:rPr>
          <w:rFonts w:ascii="Arial" w:hAnsi="Arial" w:cs="Arial"/>
          <w:b/>
          <w:bCs/>
        </w:rPr>
        <w:tab/>
      </w:r>
      <w:r w:rsidRPr="00D64DC9">
        <w:rPr>
          <w:rFonts w:ascii="Arial" w:hAnsi="Arial" w:cs="Arial"/>
          <w:b/>
          <w:bCs/>
        </w:rPr>
        <w:tab/>
      </w:r>
      <w:r w:rsidRPr="00D64DC9">
        <w:rPr>
          <w:rFonts w:ascii="Arial" w:hAnsi="Arial" w:cs="Arial"/>
          <w:b/>
          <w:bCs/>
        </w:rPr>
        <w:tab/>
      </w:r>
      <w:r w:rsidRPr="00D64DC9">
        <w:rPr>
          <w:rFonts w:ascii="Arial" w:hAnsi="Arial" w:cs="Arial"/>
          <w:b/>
          <w:bCs/>
        </w:rPr>
        <w:tab/>
      </w:r>
      <w:r w:rsidRPr="00D64DC9">
        <w:rPr>
          <w:rFonts w:ascii="Arial" w:hAnsi="Arial" w:cs="Arial"/>
          <w:b/>
          <w:bCs/>
        </w:rPr>
        <w:tab/>
      </w:r>
      <w:r w:rsidRPr="00D64DC9">
        <w:rPr>
          <w:rFonts w:ascii="Arial" w:hAnsi="Arial" w:cs="Arial"/>
          <w:b/>
          <w:bCs/>
        </w:rPr>
        <w:tab/>
      </w:r>
      <w:r w:rsidRPr="00D64DC9">
        <w:rPr>
          <w:rFonts w:ascii="Arial" w:hAnsi="Arial" w:cs="Arial"/>
          <w:b/>
          <w:bCs/>
        </w:rPr>
        <w:tab/>
      </w:r>
      <w:r w:rsidRPr="00D64DC9">
        <w:rPr>
          <w:rFonts w:ascii="Arial" w:hAnsi="Arial" w:cs="Arial"/>
          <w:b/>
          <w:bCs/>
        </w:rPr>
        <w:tab/>
      </w:r>
      <w:r w:rsidRPr="00D64DC9">
        <w:rPr>
          <w:rFonts w:ascii="Arial" w:hAnsi="Arial" w:cs="Arial"/>
          <w:b/>
          <w:bCs/>
        </w:rPr>
        <w:tab/>
      </w:r>
    </w:p>
    <w:p w:rsidR="00310532" w:rsidRPr="00D64DC9" w:rsidRDefault="00A55F01" w:rsidP="0016425F">
      <w:pPr>
        <w:jc w:val="center"/>
        <w:rPr>
          <w:rFonts w:ascii="Arial" w:hAnsi="Arial" w:cs="Arial"/>
          <w:b/>
          <w:bCs/>
        </w:rPr>
      </w:pPr>
      <w:r>
        <w:rPr>
          <w:rFonts w:ascii="Arial" w:hAnsi="Arial" w:cs="Arial"/>
          <w:b/>
          <w:bCs/>
        </w:rPr>
        <w:t>NICKY MORGAN</w:t>
      </w:r>
      <w:r w:rsidR="00310532" w:rsidRPr="00D64DC9">
        <w:rPr>
          <w:rFonts w:ascii="Arial" w:hAnsi="Arial" w:cs="Arial"/>
          <w:b/>
          <w:bCs/>
        </w:rPr>
        <w:t xml:space="preserve"> MP</w:t>
      </w:r>
    </w:p>
    <w:p w:rsidR="00310532" w:rsidRPr="00D64DC9" w:rsidRDefault="002932FD" w:rsidP="00604C2F">
      <w:pPr>
        <w:jc w:val="center"/>
        <w:rPr>
          <w:rFonts w:ascii="Arial" w:hAnsi="Arial" w:cs="Arial"/>
          <w:b/>
          <w:bCs/>
        </w:rPr>
      </w:pPr>
      <w:r>
        <w:rPr>
          <w:rFonts w:ascii="Arial" w:hAnsi="Arial" w:cs="Arial"/>
          <w:b/>
          <w:bCs/>
        </w:rPr>
        <w:t>ECONOMIC</w:t>
      </w:r>
      <w:r w:rsidR="00604C2F">
        <w:rPr>
          <w:rFonts w:ascii="Arial" w:hAnsi="Arial" w:cs="Arial"/>
          <w:b/>
          <w:bCs/>
        </w:rPr>
        <w:t xml:space="preserve"> SECRETARY TO THE </w:t>
      </w:r>
      <w:r w:rsidR="00A55F01">
        <w:rPr>
          <w:rFonts w:ascii="Arial" w:hAnsi="Arial" w:cs="Arial"/>
          <w:b/>
          <w:bCs/>
        </w:rPr>
        <w:t>TREASURY</w:t>
      </w:r>
    </w:p>
    <w:p w:rsidR="00310532" w:rsidRPr="00D64DC9" w:rsidRDefault="00310532">
      <w:pPr>
        <w:jc w:val="both"/>
        <w:rPr>
          <w:rFonts w:ascii="Arial" w:hAnsi="Arial" w:cs="Arial"/>
        </w:rPr>
      </w:pPr>
    </w:p>
    <w:p w:rsidR="00CE3D13" w:rsidRPr="00D64DC9" w:rsidRDefault="00CE3D13">
      <w:pPr>
        <w:jc w:val="both"/>
        <w:rPr>
          <w:rFonts w:ascii="Arial" w:hAnsi="Arial" w:cs="Arial"/>
        </w:rPr>
      </w:pPr>
    </w:p>
    <w:sectPr w:rsidR="00CE3D13" w:rsidRPr="00D64DC9" w:rsidSect="00C356F5">
      <w:headerReference w:type="even" r:id="rId9"/>
      <w:headerReference w:type="default" r:id="rId10"/>
      <w:footerReference w:type="even" r:id="rId11"/>
      <w:footerReference w:type="default" r:id="rId12"/>
      <w:headerReference w:type="first" r:id="rId13"/>
      <w:footerReference w:type="first" r:id="rId14"/>
      <w:pgSz w:w="11906" w:h="16838"/>
      <w:pgMar w:top="1304" w:right="1531" w:bottom="1304" w:left="153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5F4" w:rsidRDefault="009255F4">
      <w:r>
        <w:separator/>
      </w:r>
    </w:p>
  </w:endnote>
  <w:endnote w:type="continuationSeparator" w:id="0">
    <w:p w:rsidR="009255F4" w:rsidRDefault="00925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26" w:rsidRDefault="0032133F" w:rsidP="009B221D">
    <w:pPr>
      <w:pStyle w:val="Footer"/>
      <w:jc w:val="center"/>
    </w:pPr>
    <w:r>
      <w:fldChar w:fldCharType="begin"/>
    </w:r>
    <w:r w:rsidR="00510F26" w:rsidRPr="009F4D48">
      <w:rPr>
        <w:rFonts w:ascii="Calibri" w:hAnsi="Calibri"/>
        <w:color w:val="000000"/>
        <w:sz w:val="22"/>
      </w:rPr>
      <w:instrText xml:space="preserve"> DOCPROPERTY  bjDocumentSecurityLabel"  \* MERGEFORMAT </w:instrText>
    </w:r>
    <w:r>
      <w:fldChar w:fldCharType="separate"/>
    </w:r>
    <w:r w:rsidR="001531C6">
      <w:rPr>
        <w:rFonts w:ascii="Calibri" w:hAnsi="Calibri"/>
        <w:color w:val="000000"/>
        <w:sz w:val="22"/>
      </w:rPr>
      <w:t>UNCLASSIFIED</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26" w:rsidRDefault="0032133F" w:rsidP="00123E11">
    <w:pPr>
      <w:pStyle w:val="Footer"/>
      <w:jc w:val="center"/>
    </w:pPr>
    <w:r>
      <w:fldChar w:fldCharType="begin"/>
    </w:r>
    <w:r w:rsidR="00510F26" w:rsidRPr="009F4D48">
      <w:rPr>
        <w:rFonts w:ascii="Calibri" w:hAnsi="Calibri"/>
        <w:color w:val="000000"/>
        <w:sz w:val="22"/>
      </w:rPr>
      <w:instrText xml:space="preserve"> DOCPROPERTY  bjDocumentSecurityLabel"  \* MERGEFORMAT </w:instrText>
    </w:r>
    <w:r>
      <w:fldChar w:fldCharType="separate"/>
    </w:r>
    <w:r w:rsidR="001531C6">
      <w:rPr>
        <w:rFonts w:ascii="Calibri" w:hAnsi="Calibri"/>
        <w:color w:val="000000"/>
        <w:sz w:val="22"/>
      </w:rPr>
      <w:t>UNCLASSIFIED</w:t>
    </w:r>
    <w:r>
      <w:fldChar w:fldCharType="end"/>
    </w:r>
  </w:p>
  <w:p w:rsidR="00510F26" w:rsidRDefault="00F27F94" w:rsidP="00123E11">
    <w:pPr>
      <w:pStyle w:val="Footer"/>
      <w:jc w:val="center"/>
    </w:pPr>
    <w:sdt>
      <w:sdtPr>
        <w:id w:val="2336502"/>
        <w:docPartObj>
          <w:docPartGallery w:val="Page Numbers (Bottom of Page)"/>
          <w:docPartUnique/>
        </w:docPartObj>
      </w:sdtPr>
      <w:sdtEndPr/>
      <w:sdtContent>
        <w:r>
          <w:fldChar w:fldCharType="begin"/>
        </w:r>
        <w:r>
          <w:instrText xml:space="preserve"> PAGE   \* MERGEFORMAT </w:instrText>
        </w:r>
        <w:r>
          <w:fldChar w:fldCharType="separate"/>
        </w:r>
        <w:r>
          <w:rPr>
            <w:noProof/>
          </w:rPr>
          <w:t>1</w:t>
        </w:r>
        <w:r>
          <w:rPr>
            <w:noProof/>
          </w:rPr>
          <w:fldChar w:fldCharType="end"/>
        </w:r>
      </w:sdtContent>
    </w:sdt>
  </w:p>
  <w:p w:rsidR="00510F26" w:rsidRDefault="00510F26" w:rsidP="00123E11">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26" w:rsidRDefault="0032133F" w:rsidP="009B221D">
    <w:pPr>
      <w:pStyle w:val="Footer"/>
      <w:jc w:val="center"/>
    </w:pPr>
    <w:r>
      <w:fldChar w:fldCharType="begin"/>
    </w:r>
    <w:r w:rsidR="00510F26" w:rsidRPr="009F4D48">
      <w:rPr>
        <w:rFonts w:ascii="Calibri" w:hAnsi="Calibri"/>
        <w:color w:val="000000"/>
        <w:sz w:val="22"/>
      </w:rPr>
      <w:instrText xml:space="preserve"> DOCPROPERTY  bjDocumentSecurityLabel"  \* MERGEFORMAT </w:instrText>
    </w:r>
    <w:r>
      <w:fldChar w:fldCharType="separate"/>
    </w:r>
    <w:r w:rsidR="001531C6">
      <w:rPr>
        <w:rFonts w:ascii="Calibri" w:hAnsi="Calibri"/>
        <w:color w:val="000000"/>
        <w:sz w:val="22"/>
      </w:rPr>
      <w:t>UNCLASSIFIED</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5F4" w:rsidRDefault="009255F4">
      <w:r>
        <w:separator/>
      </w:r>
    </w:p>
  </w:footnote>
  <w:footnote w:type="continuationSeparator" w:id="0">
    <w:p w:rsidR="009255F4" w:rsidRDefault="009255F4">
      <w:r>
        <w:continuationSeparator/>
      </w:r>
    </w:p>
  </w:footnote>
  <w:footnote w:id="1">
    <w:p w:rsidR="00510F26" w:rsidRDefault="00510F26">
      <w:pPr>
        <w:pStyle w:val="FootnoteText"/>
      </w:pPr>
      <w:r>
        <w:rPr>
          <w:rStyle w:val="FootnoteReference"/>
        </w:rPr>
        <w:footnoteRef/>
      </w:r>
      <w:r>
        <w:t xml:space="preserve"> </w:t>
      </w:r>
      <w:r w:rsidRPr="000D7133">
        <w:t>The degree to which national rules render Union legislation on budget management unnecessari</w:t>
      </w:r>
      <w:r>
        <w:t>ly complicated.</w:t>
      </w:r>
    </w:p>
  </w:footnote>
  <w:footnote w:id="2">
    <w:p w:rsidR="00CC1146" w:rsidRDefault="00CC1146">
      <w:pPr>
        <w:pStyle w:val="FootnoteText"/>
      </w:pPr>
      <w:r>
        <w:rPr>
          <w:rStyle w:val="FootnoteReference"/>
        </w:rPr>
        <w:footnoteRef/>
      </w:r>
      <w:r>
        <w:t xml:space="preserve"> Commission recommendation of 6.12.2012 on aggressive tax planning (C(2012) 8806 final) and  on measures intended to encourage third countries to apply minimum standards of good governance in tax matters (C(2012) 8805 final).  </w:t>
      </w:r>
    </w:p>
  </w:footnote>
  <w:footnote w:id="3">
    <w:p w:rsidR="00510F26" w:rsidRDefault="00510F26">
      <w:pPr>
        <w:pStyle w:val="FootnoteText"/>
      </w:pPr>
      <w:r>
        <w:rPr>
          <w:rStyle w:val="FootnoteReference"/>
        </w:rPr>
        <w:footnoteRef/>
      </w:r>
      <w:r>
        <w:t xml:space="preserve"> </w:t>
      </w:r>
      <w:r w:rsidRPr="00CE7CF4">
        <w:t>(COM(2012)363)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26" w:rsidRDefault="0032133F" w:rsidP="009B221D">
    <w:pPr>
      <w:pStyle w:val="Header"/>
      <w:jc w:val="center"/>
    </w:pPr>
    <w:r>
      <w:fldChar w:fldCharType="begin"/>
    </w:r>
    <w:r w:rsidR="00510F26" w:rsidRPr="009F4D48">
      <w:rPr>
        <w:rFonts w:ascii="Calibri" w:hAnsi="Calibri"/>
        <w:color w:val="000000"/>
        <w:sz w:val="22"/>
      </w:rPr>
      <w:instrText xml:space="preserve"> DOCPROPERTY  bjDocumentSecurityLabel"  \* MERGEFORMAT </w:instrText>
    </w:r>
    <w:r>
      <w:fldChar w:fldCharType="separate"/>
    </w:r>
    <w:r w:rsidR="001531C6">
      <w:rPr>
        <w:rFonts w:ascii="Calibri" w:hAnsi="Calibri"/>
        <w:color w:val="000000"/>
        <w:sz w:val="22"/>
      </w:rPr>
      <w:t>UNCLASSIFIED</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26" w:rsidRDefault="0032133F" w:rsidP="009B221D">
    <w:pPr>
      <w:pStyle w:val="Header"/>
      <w:jc w:val="center"/>
    </w:pPr>
    <w:r>
      <w:fldChar w:fldCharType="begin"/>
    </w:r>
    <w:r w:rsidR="00510F26" w:rsidRPr="009F4D48">
      <w:rPr>
        <w:rFonts w:ascii="Calibri" w:hAnsi="Calibri"/>
        <w:color w:val="000000"/>
        <w:sz w:val="22"/>
      </w:rPr>
      <w:instrText xml:space="preserve"> DOCPROPERTY  bjDocumentSecurityLabel"  \* MERGEFORMAT </w:instrText>
    </w:r>
    <w:r>
      <w:fldChar w:fldCharType="separate"/>
    </w:r>
    <w:r w:rsidR="001531C6">
      <w:rPr>
        <w:rFonts w:ascii="Calibri" w:hAnsi="Calibri"/>
        <w:color w:val="000000"/>
        <w:sz w:val="22"/>
      </w:rPr>
      <w:t>UNCLASSIFIED</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26" w:rsidRDefault="0032133F" w:rsidP="009B221D">
    <w:pPr>
      <w:pStyle w:val="Header"/>
      <w:jc w:val="center"/>
    </w:pPr>
    <w:r>
      <w:fldChar w:fldCharType="begin"/>
    </w:r>
    <w:r w:rsidR="00510F26" w:rsidRPr="009F4D48">
      <w:rPr>
        <w:rFonts w:ascii="Calibri" w:hAnsi="Calibri"/>
        <w:color w:val="000000"/>
        <w:sz w:val="22"/>
      </w:rPr>
      <w:instrText xml:space="preserve"> DOCPROPERTY  bjDocumentSecurityLabel"  \* MERGEFORMAT </w:instrText>
    </w:r>
    <w:r>
      <w:fldChar w:fldCharType="separate"/>
    </w:r>
    <w:r w:rsidR="001531C6">
      <w:rPr>
        <w:rFonts w:ascii="Calibri" w:hAnsi="Calibri"/>
        <w:color w:val="000000"/>
        <w:sz w:val="22"/>
      </w:rPr>
      <w:t>UNCLASSIFIED</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A788F"/>
    <w:multiLevelType w:val="hybridMultilevel"/>
    <w:tmpl w:val="993628A8"/>
    <w:lvl w:ilvl="0" w:tplc="3284812A">
      <w:start w:val="1"/>
      <w:numFmt w:val="decimal"/>
      <w:lvlText w:val="%1."/>
      <w:lvlJc w:val="left"/>
      <w:pPr>
        <w:tabs>
          <w:tab w:val="num" w:pos="360"/>
        </w:tabs>
        <w:ind w:left="360" w:hanging="360"/>
      </w:pPr>
      <w:rPr>
        <w:rFonts w:hint="default"/>
        <w:b w:val="0"/>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43BE5778">
      <w:start w:val="13"/>
      <w:numFmt w:val="decimal"/>
      <w:lvlText w:val="%4."/>
      <w:lvlJc w:val="left"/>
      <w:pPr>
        <w:tabs>
          <w:tab w:val="num" w:pos="2520"/>
        </w:tabs>
        <w:ind w:left="2520" w:hanging="360"/>
      </w:pPr>
      <w:rPr>
        <w:rFonts w:ascii="Arial" w:hAnsi="Aria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14C3614"/>
    <w:multiLevelType w:val="hybridMultilevel"/>
    <w:tmpl w:val="2ED03EDC"/>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15104CE5"/>
    <w:multiLevelType w:val="hybridMultilevel"/>
    <w:tmpl w:val="702CC2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C749B1"/>
    <w:multiLevelType w:val="hybridMultilevel"/>
    <w:tmpl w:val="75C221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163150D"/>
    <w:multiLevelType w:val="hybridMultilevel"/>
    <w:tmpl w:val="6F941D5C"/>
    <w:lvl w:ilvl="0" w:tplc="8D1AB74C">
      <w:start w:val="13"/>
      <w:numFmt w:val="decimal"/>
      <w:lvlText w:val="%1."/>
      <w:lvlJc w:val="left"/>
      <w:pPr>
        <w:tabs>
          <w:tab w:val="num" w:pos="2880"/>
        </w:tabs>
        <w:ind w:left="28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34125C6"/>
    <w:multiLevelType w:val="hybridMultilevel"/>
    <w:tmpl w:val="9BEAFEDC"/>
    <w:lvl w:ilvl="0" w:tplc="B7D26FD8">
      <w:start w:val="3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BC31ED6"/>
    <w:multiLevelType w:val="hybridMultilevel"/>
    <w:tmpl w:val="7B90B186"/>
    <w:lvl w:ilvl="0" w:tplc="51D48EB0">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40DB659E"/>
    <w:multiLevelType w:val="hybridMultilevel"/>
    <w:tmpl w:val="5FCA4A40"/>
    <w:lvl w:ilvl="0" w:tplc="DE32D580">
      <w:start w:val="2"/>
      <w:numFmt w:val="decimal"/>
      <w:lvlText w:val="%1."/>
      <w:lvlJc w:val="left"/>
      <w:pPr>
        <w:tabs>
          <w:tab w:val="num" w:pos="473"/>
        </w:tabs>
        <w:ind w:left="0" w:firstLine="113"/>
      </w:pPr>
      <w:rPr>
        <w:rFonts w:ascii="Arial" w:hAnsi="Arial" w:hint="default"/>
      </w:rPr>
    </w:lvl>
    <w:lvl w:ilvl="1" w:tplc="58343C0C">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6590EFB"/>
    <w:multiLevelType w:val="hybridMultilevel"/>
    <w:tmpl w:val="B70A6B34"/>
    <w:lvl w:ilvl="0" w:tplc="A238E3D8">
      <w:start w:val="24"/>
      <w:numFmt w:val="decimal"/>
      <w:lvlText w:val="%1."/>
      <w:lvlJc w:val="left"/>
      <w:pPr>
        <w:tabs>
          <w:tab w:val="num" w:pos="2880"/>
        </w:tabs>
        <w:ind w:left="28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83E28F2"/>
    <w:multiLevelType w:val="hybridMultilevel"/>
    <w:tmpl w:val="F582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00924CC"/>
    <w:multiLevelType w:val="hybridMultilevel"/>
    <w:tmpl w:val="98B6FB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D0605EF"/>
    <w:multiLevelType w:val="hybridMultilevel"/>
    <w:tmpl w:val="830AA8E6"/>
    <w:lvl w:ilvl="0" w:tplc="FD6805F8">
      <w:start w:val="1"/>
      <w:numFmt w:val="decimal"/>
      <w:lvlText w:val="%1."/>
      <w:lvlJc w:val="left"/>
      <w:pPr>
        <w:tabs>
          <w:tab w:val="num" w:pos="644"/>
        </w:tabs>
        <w:ind w:left="644" w:hanging="360"/>
      </w:pPr>
      <w:rPr>
        <w:rFonts w:ascii="Arial" w:eastAsia="Times New Roman" w:hAnsi="Arial" w:cs="Arial"/>
        <w:b w:val="0"/>
        <w:i w:val="0"/>
        <w:sz w:val="24"/>
        <w:szCs w:val="24"/>
      </w:rPr>
    </w:lvl>
    <w:lvl w:ilvl="1" w:tplc="D9368AE2">
      <w:start w:val="1"/>
      <w:numFmt w:val="decimal"/>
      <w:lvlText w:val="%2)"/>
      <w:lvlJc w:val="left"/>
      <w:pPr>
        <w:tabs>
          <w:tab w:val="num" w:pos="1440"/>
        </w:tabs>
        <w:ind w:left="1440" w:hanging="360"/>
      </w:pPr>
      <w:rPr>
        <w:rFonts w:hint="default"/>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F882184"/>
    <w:multiLevelType w:val="hybridMultilevel"/>
    <w:tmpl w:val="B6D6C92C"/>
    <w:lvl w:ilvl="0" w:tplc="3284812A">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43BE5778">
      <w:start w:val="13"/>
      <w:numFmt w:val="decimal"/>
      <w:lvlText w:val="%4."/>
      <w:lvlJc w:val="left"/>
      <w:pPr>
        <w:tabs>
          <w:tab w:val="num" w:pos="2880"/>
        </w:tabs>
        <w:ind w:left="2880" w:hanging="360"/>
      </w:pPr>
      <w:rPr>
        <w:rFonts w:ascii="Arial" w:hAnsi="Aria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94F401F"/>
    <w:multiLevelType w:val="hybridMultilevel"/>
    <w:tmpl w:val="FD44C41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39B41A2"/>
    <w:multiLevelType w:val="hybridMultilevel"/>
    <w:tmpl w:val="38CC5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88549B3"/>
    <w:multiLevelType w:val="hybridMultilevel"/>
    <w:tmpl w:val="837E1B68"/>
    <w:lvl w:ilvl="0" w:tplc="37D41CA6">
      <w:start w:val="1"/>
      <w:numFmt w:val="lowerRoman"/>
      <w:lvlText w:val="(%1)"/>
      <w:lvlJc w:val="left"/>
      <w:pPr>
        <w:ind w:left="775" w:hanging="720"/>
      </w:pPr>
      <w:rPr>
        <w:rFonts w:hint="default"/>
      </w:rPr>
    </w:lvl>
    <w:lvl w:ilvl="1" w:tplc="08090019" w:tentative="1">
      <w:start w:val="1"/>
      <w:numFmt w:val="lowerLetter"/>
      <w:lvlText w:val="%2."/>
      <w:lvlJc w:val="left"/>
      <w:pPr>
        <w:ind w:left="1135" w:hanging="360"/>
      </w:pPr>
    </w:lvl>
    <w:lvl w:ilvl="2" w:tplc="0809001B" w:tentative="1">
      <w:start w:val="1"/>
      <w:numFmt w:val="lowerRoman"/>
      <w:lvlText w:val="%3."/>
      <w:lvlJc w:val="right"/>
      <w:pPr>
        <w:ind w:left="1855" w:hanging="180"/>
      </w:pPr>
    </w:lvl>
    <w:lvl w:ilvl="3" w:tplc="0809000F" w:tentative="1">
      <w:start w:val="1"/>
      <w:numFmt w:val="decimal"/>
      <w:lvlText w:val="%4."/>
      <w:lvlJc w:val="left"/>
      <w:pPr>
        <w:ind w:left="2575" w:hanging="360"/>
      </w:pPr>
    </w:lvl>
    <w:lvl w:ilvl="4" w:tplc="08090019" w:tentative="1">
      <w:start w:val="1"/>
      <w:numFmt w:val="lowerLetter"/>
      <w:lvlText w:val="%5."/>
      <w:lvlJc w:val="left"/>
      <w:pPr>
        <w:ind w:left="3295" w:hanging="360"/>
      </w:pPr>
    </w:lvl>
    <w:lvl w:ilvl="5" w:tplc="0809001B" w:tentative="1">
      <w:start w:val="1"/>
      <w:numFmt w:val="lowerRoman"/>
      <w:lvlText w:val="%6."/>
      <w:lvlJc w:val="right"/>
      <w:pPr>
        <w:ind w:left="4015" w:hanging="180"/>
      </w:pPr>
    </w:lvl>
    <w:lvl w:ilvl="6" w:tplc="0809000F" w:tentative="1">
      <w:start w:val="1"/>
      <w:numFmt w:val="decimal"/>
      <w:lvlText w:val="%7."/>
      <w:lvlJc w:val="left"/>
      <w:pPr>
        <w:ind w:left="4735" w:hanging="360"/>
      </w:pPr>
    </w:lvl>
    <w:lvl w:ilvl="7" w:tplc="08090019" w:tentative="1">
      <w:start w:val="1"/>
      <w:numFmt w:val="lowerLetter"/>
      <w:lvlText w:val="%8."/>
      <w:lvlJc w:val="left"/>
      <w:pPr>
        <w:ind w:left="5455" w:hanging="360"/>
      </w:pPr>
    </w:lvl>
    <w:lvl w:ilvl="8" w:tplc="0809001B" w:tentative="1">
      <w:start w:val="1"/>
      <w:numFmt w:val="lowerRoman"/>
      <w:lvlText w:val="%9."/>
      <w:lvlJc w:val="right"/>
      <w:pPr>
        <w:ind w:left="6175" w:hanging="180"/>
      </w:pPr>
    </w:lvl>
  </w:abstractNum>
  <w:num w:numId="1">
    <w:abstractNumId w:val="10"/>
  </w:num>
  <w:num w:numId="2">
    <w:abstractNumId w:val="2"/>
  </w:num>
  <w:num w:numId="3">
    <w:abstractNumId w:val="0"/>
  </w:num>
  <w:num w:numId="4">
    <w:abstractNumId w:val="7"/>
  </w:num>
  <w:num w:numId="5">
    <w:abstractNumId w:val="4"/>
  </w:num>
  <w:num w:numId="6">
    <w:abstractNumId w:val="8"/>
  </w:num>
  <w:num w:numId="7">
    <w:abstractNumId w:val="5"/>
  </w:num>
  <w:num w:numId="8">
    <w:abstractNumId w:val="14"/>
  </w:num>
  <w:num w:numId="9">
    <w:abstractNumId w:val="15"/>
  </w:num>
  <w:num w:numId="10">
    <w:abstractNumId w:val="6"/>
  </w:num>
  <w:num w:numId="11">
    <w:abstractNumId w:val="9"/>
  </w:num>
  <w:num w:numId="12">
    <w:abstractNumId w:val="12"/>
  </w:num>
  <w:num w:numId="13">
    <w:abstractNumId w:val="11"/>
  </w:num>
  <w:num w:numId="1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TrackFormatting/>
  <w:defaultTabStop w:val="72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2BE"/>
    <w:rsid w:val="00006A53"/>
    <w:rsid w:val="000307E0"/>
    <w:rsid w:val="00045735"/>
    <w:rsid w:val="00053AE2"/>
    <w:rsid w:val="00082D63"/>
    <w:rsid w:val="000839C6"/>
    <w:rsid w:val="00084211"/>
    <w:rsid w:val="000A365D"/>
    <w:rsid w:val="000C3851"/>
    <w:rsid w:val="000D7133"/>
    <w:rsid w:val="000E0505"/>
    <w:rsid w:val="000E14A8"/>
    <w:rsid w:val="000F15BF"/>
    <w:rsid w:val="000F1816"/>
    <w:rsid w:val="00117193"/>
    <w:rsid w:val="00123E11"/>
    <w:rsid w:val="00125C03"/>
    <w:rsid w:val="001360CC"/>
    <w:rsid w:val="00136306"/>
    <w:rsid w:val="001531C6"/>
    <w:rsid w:val="00154C17"/>
    <w:rsid w:val="0016425F"/>
    <w:rsid w:val="001753F9"/>
    <w:rsid w:val="00185ABE"/>
    <w:rsid w:val="001A49FE"/>
    <w:rsid w:val="001A6300"/>
    <w:rsid w:val="001A7215"/>
    <w:rsid w:val="001B1533"/>
    <w:rsid w:val="001B21B5"/>
    <w:rsid w:val="001B78CF"/>
    <w:rsid w:val="001C7DE3"/>
    <w:rsid w:val="001D7421"/>
    <w:rsid w:val="001F3BB9"/>
    <w:rsid w:val="001F4F19"/>
    <w:rsid w:val="00221AB2"/>
    <w:rsid w:val="00231BD8"/>
    <w:rsid w:val="00233706"/>
    <w:rsid w:val="00234427"/>
    <w:rsid w:val="002622AD"/>
    <w:rsid w:val="00267F00"/>
    <w:rsid w:val="002932FD"/>
    <w:rsid w:val="002A313C"/>
    <w:rsid w:val="002A7E32"/>
    <w:rsid w:val="002D06FC"/>
    <w:rsid w:val="00310532"/>
    <w:rsid w:val="00314F45"/>
    <w:rsid w:val="0032133F"/>
    <w:rsid w:val="0032536E"/>
    <w:rsid w:val="0032749C"/>
    <w:rsid w:val="00346E73"/>
    <w:rsid w:val="00356AC9"/>
    <w:rsid w:val="00360FA9"/>
    <w:rsid w:val="003748BF"/>
    <w:rsid w:val="00377447"/>
    <w:rsid w:val="003B7F83"/>
    <w:rsid w:val="003D1123"/>
    <w:rsid w:val="003E6185"/>
    <w:rsid w:val="004404D1"/>
    <w:rsid w:val="00447502"/>
    <w:rsid w:val="00481462"/>
    <w:rsid w:val="0049183D"/>
    <w:rsid w:val="004A107F"/>
    <w:rsid w:val="004A171F"/>
    <w:rsid w:val="004A30F7"/>
    <w:rsid w:val="004A41DA"/>
    <w:rsid w:val="004B22B4"/>
    <w:rsid w:val="004F6EC3"/>
    <w:rsid w:val="00510F26"/>
    <w:rsid w:val="00517C80"/>
    <w:rsid w:val="00527546"/>
    <w:rsid w:val="00541FFA"/>
    <w:rsid w:val="00587876"/>
    <w:rsid w:val="005905D4"/>
    <w:rsid w:val="005A1386"/>
    <w:rsid w:val="005A68EB"/>
    <w:rsid w:val="005C7E38"/>
    <w:rsid w:val="005C7EA1"/>
    <w:rsid w:val="005D0A71"/>
    <w:rsid w:val="005D1AD8"/>
    <w:rsid w:val="005D55A5"/>
    <w:rsid w:val="005E5FE2"/>
    <w:rsid w:val="005F0004"/>
    <w:rsid w:val="005F1A68"/>
    <w:rsid w:val="005F41E5"/>
    <w:rsid w:val="006021BD"/>
    <w:rsid w:val="00604C2F"/>
    <w:rsid w:val="00613DDB"/>
    <w:rsid w:val="00621E92"/>
    <w:rsid w:val="006349C8"/>
    <w:rsid w:val="006419A7"/>
    <w:rsid w:val="00666383"/>
    <w:rsid w:val="006846F9"/>
    <w:rsid w:val="006B17D8"/>
    <w:rsid w:val="006E16A8"/>
    <w:rsid w:val="006E4764"/>
    <w:rsid w:val="006E4C44"/>
    <w:rsid w:val="006F2B63"/>
    <w:rsid w:val="006F4018"/>
    <w:rsid w:val="006F58E1"/>
    <w:rsid w:val="00714A83"/>
    <w:rsid w:val="00714F38"/>
    <w:rsid w:val="0072630F"/>
    <w:rsid w:val="00754C05"/>
    <w:rsid w:val="00796E32"/>
    <w:rsid w:val="007B1D7A"/>
    <w:rsid w:val="007B2369"/>
    <w:rsid w:val="007D67DF"/>
    <w:rsid w:val="007E19AE"/>
    <w:rsid w:val="007E56B9"/>
    <w:rsid w:val="007F13CC"/>
    <w:rsid w:val="00800684"/>
    <w:rsid w:val="00837031"/>
    <w:rsid w:val="00841D67"/>
    <w:rsid w:val="008622BE"/>
    <w:rsid w:val="00867DDB"/>
    <w:rsid w:val="008811FD"/>
    <w:rsid w:val="008821C0"/>
    <w:rsid w:val="00886324"/>
    <w:rsid w:val="00886ED6"/>
    <w:rsid w:val="008A5C05"/>
    <w:rsid w:val="008D0E1F"/>
    <w:rsid w:val="008D3FA4"/>
    <w:rsid w:val="008D6155"/>
    <w:rsid w:val="008F5C0E"/>
    <w:rsid w:val="008F6624"/>
    <w:rsid w:val="009046A0"/>
    <w:rsid w:val="00906551"/>
    <w:rsid w:val="0092242C"/>
    <w:rsid w:val="009255F4"/>
    <w:rsid w:val="00930537"/>
    <w:rsid w:val="00940C65"/>
    <w:rsid w:val="00957D1F"/>
    <w:rsid w:val="00967436"/>
    <w:rsid w:val="00971A1B"/>
    <w:rsid w:val="00982CC5"/>
    <w:rsid w:val="00984B23"/>
    <w:rsid w:val="00991539"/>
    <w:rsid w:val="009943E5"/>
    <w:rsid w:val="009973D5"/>
    <w:rsid w:val="009A09B1"/>
    <w:rsid w:val="009A6FD8"/>
    <w:rsid w:val="009B1EE9"/>
    <w:rsid w:val="009B221D"/>
    <w:rsid w:val="009B73DE"/>
    <w:rsid w:val="009D5877"/>
    <w:rsid w:val="009E7ADB"/>
    <w:rsid w:val="009F4D48"/>
    <w:rsid w:val="00A033E9"/>
    <w:rsid w:val="00A0443D"/>
    <w:rsid w:val="00A10844"/>
    <w:rsid w:val="00A20685"/>
    <w:rsid w:val="00A26231"/>
    <w:rsid w:val="00A27D29"/>
    <w:rsid w:val="00A4512B"/>
    <w:rsid w:val="00A5366F"/>
    <w:rsid w:val="00A541D4"/>
    <w:rsid w:val="00A55F01"/>
    <w:rsid w:val="00A67A09"/>
    <w:rsid w:val="00AA75BA"/>
    <w:rsid w:val="00AD5DF8"/>
    <w:rsid w:val="00AD7FE7"/>
    <w:rsid w:val="00AE0E30"/>
    <w:rsid w:val="00AF1051"/>
    <w:rsid w:val="00B12549"/>
    <w:rsid w:val="00B2020C"/>
    <w:rsid w:val="00B2174B"/>
    <w:rsid w:val="00B2678F"/>
    <w:rsid w:val="00B354D7"/>
    <w:rsid w:val="00B40033"/>
    <w:rsid w:val="00B476BF"/>
    <w:rsid w:val="00B55610"/>
    <w:rsid w:val="00B628A4"/>
    <w:rsid w:val="00B72B07"/>
    <w:rsid w:val="00B7452E"/>
    <w:rsid w:val="00B82B95"/>
    <w:rsid w:val="00BA0894"/>
    <w:rsid w:val="00BB5FE7"/>
    <w:rsid w:val="00BD2895"/>
    <w:rsid w:val="00BE5EF2"/>
    <w:rsid w:val="00BF2AE7"/>
    <w:rsid w:val="00C116D5"/>
    <w:rsid w:val="00C12C8E"/>
    <w:rsid w:val="00C13C18"/>
    <w:rsid w:val="00C17617"/>
    <w:rsid w:val="00C356F5"/>
    <w:rsid w:val="00C4181A"/>
    <w:rsid w:val="00C423BB"/>
    <w:rsid w:val="00C54CB5"/>
    <w:rsid w:val="00C571B1"/>
    <w:rsid w:val="00C82F53"/>
    <w:rsid w:val="00CA1F14"/>
    <w:rsid w:val="00CB449B"/>
    <w:rsid w:val="00CC1146"/>
    <w:rsid w:val="00CC2214"/>
    <w:rsid w:val="00CC7BAE"/>
    <w:rsid w:val="00CC7BD6"/>
    <w:rsid w:val="00CC7E33"/>
    <w:rsid w:val="00CE3D13"/>
    <w:rsid w:val="00CE7CF4"/>
    <w:rsid w:val="00CF17C8"/>
    <w:rsid w:val="00D04926"/>
    <w:rsid w:val="00D07D81"/>
    <w:rsid w:val="00D12E7A"/>
    <w:rsid w:val="00D252BE"/>
    <w:rsid w:val="00D546B9"/>
    <w:rsid w:val="00D574A5"/>
    <w:rsid w:val="00D64DC9"/>
    <w:rsid w:val="00D72FC3"/>
    <w:rsid w:val="00D74931"/>
    <w:rsid w:val="00DB3938"/>
    <w:rsid w:val="00DB7458"/>
    <w:rsid w:val="00DB7F8E"/>
    <w:rsid w:val="00DC16B7"/>
    <w:rsid w:val="00DD0799"/>
    <w:rsid w:val="00DD729B"/>
    <w:rsid w:val="00DE592A"/>
    <w:rsid w:val="00DF38F9"/>
    <w:rsid w:val="00DF7396"/>
    <w:rsid w:val="00E03E27"/>
    <w:rsid w:val="00E11A89"/>
    <w:rsid w:val="00E127EC"/>
    <w:rsid w:val="00E5430D"/>
    <w:rsid w:val="00E57A57"/>
    <w:rsid w:val="00E62C72"/>
    <w:rsid w:val="00E7301D"/>
    <w:rsid w:val="00E81C5A"/>
    <w:rsid w:val="00E94209"/>
    <w:rsid w:val="00EA339D"/>
    <w:rsid w:val="00EA3E1B"/>
    <w:rsid w:val="00EC770B"/>
    <w:rsid w:val="00ED0AED"/>
    <w:rsid w:val="00EE0B8F"/>
    <w:rsid w:val="00EE11B1"/>
    <w:rsid w:val="00EF7BE5"/>
    <w:rsid w:val="00F04C0A"/>
    <w:rsid w:val="00F13120"/>
    <w:rsid w:val="00F24066"/>
    <w:rsid w:val="00F25435"/>
    <w:rsid w:val="00F27F94"/>
    <w:rsid w:val="00F31D0A"/>
    <w:rsid w:val="00F327C3"/>
    <w:rsid w:val="00F47DBA"/>
    <w:rsid w:val="00F51652"/>
    <w:rsid w:val="00F617AF"/>
    <w:rsid w:val="00F65DBD"/>
    <w:rsid w:val="00F65F0C"/>
    <w:rsid w:val="00F81BB2"/>
    <w:rsid w:val="00F92B02"/>
    <w:rsid w:val="00FA0B1B"/>
    <w:rsid w:val="00FA73C1"/>
    <w:rsid w:val="00FB13B8"/>
    <w:rsid w:val="00FC0FA2"/>
    <w:rsid w:val="00FE0448"/>
    <w:rsid w:val="00FE1C27"/>
    <w:rsid w:val="00FE4A7E"/>
    <w:rsid w:val="00FE4F15"/>
    <w:rsid w:val="00FF5DA9"/>
    <w:rsid w:val="00FF798D"/>
  </w:rsids>
  <m:mathPr>
    <m:mathFont m:val="Cambria Math"/>
    <m:brkBin m:val="before"/>
    <m:brkBinSub m:val="--"/>
    <m:smallFrac m:val="0"/>
    <m:dispDef/>
    <m:lMargin m:val="0"/>
    <m:rMargin m:val="0"/>
    <m:defJc m:val="centerGroup"/>
    <m:wrapIndent m:val="1440"/>
    <m:intLim m:val="subSup"/>
    <m:naryLim m:val="undOvr"/>
  </m:mathPr>
  <w:attachedSchema w:val="http://www.boldonjames.com/SAFEofficeXML.xsd"/>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6F5"/>
    <w:rPr>
      <w:sz w:val="24"/>
      <w:szCs w:val="24"/>
      <w:lang w:eastAsia="en-US"/>
    </w:rPr>
  </w:style>
  <w:style w:type="paragraph" w:styleId="Heading1">
    <w:name w:val="heading 1"/>
    <w:basedOn w:val="Normal"/>
    <w:next w:val="Normal"/>
    <w:qFormat/>
    <w:rsid w:val="00C356F5"/>
    <w:pPr>
      <w:keepNext/>
      <w:jc w:val="center"/>
      <w:outlineLvl w:val="0"/>
    </w:pPr>
    <w:rPr>
      <w:rFonts w:ascii="Arial" w:hAnsi="Arial" w:cs="Arial"/>
      <w:b/>
      <w:bCs/>
    </w:rPr>
  </w:style>
  <w:style w:type="paragraph" w:styleId="Heading2">
    <w:name w:val="heading 2"/>
    <w:basedOn w:val="Normal"/>
    <w:next w:val="Normal"/>
    <w:qFormat/>
    <w:rsid w:val="00C356F5"/>
    <w:pPr>
      <w:keepNext/>
      <w:autoSpaceDE w:val="0"/>
      <w:autoSpaceDN w:val="0"/>
      <w:adjustRightInd w:val="0"/>
      <w:outlineLvl w:val="1"/>
    </w:pPr>
    <w:rPr>
      <w:rFonts w:ascii="Arial" w:hAnsi="Arial" w:cs="Arial"/>
      <w:b/>
      <w:bCs/>
    </w:rPr>
  </w:style>
  <w:style w:type="paragraph" w:styleId="Heading3">
    <w:name w:val="heading 3"/>
    <w:basedOn w:val="Normal"/>
    <w:next w:val="Normal"/>
    <w:qFormat/>
    <w:rsid w:val="00C356F5"/>
    <w:pPr>
      <w:keepNext/>
      <w:autoSpaceDE w:val="0"/>
      <w:autoSpaceDN w:val="0"/>
      <w:adjustRightInd w:val="0"/>
      <w:jc w:val="right"/>
      <w:outlineLvl w:val="2"/>
    </w:pPr>
    <w:rPr>
      <w:rFonts w:ascii="Arial" w:hAnsi="Arial" w:cs="Arial"/>
      <w:b/>
      <w:bCs/>
    </w:rPr>
  </w:style>
  <w:style w:type="paragraph" w:styleId="Heading4">
    <w:name w:val="heading 4"/>
    <w:basedOn w:val="Normal"/>
    <w:next w:val="Normal"/>
    <w:qFormat/>
    <w:rsid w:val="00C356F5"/>
    <w:pPr>
      <w:keepNext/>
      <w:jc w:val="both"/>
      <w:outlineLvl w:val="3"/>
    </w:pPr>
    <w:rPr>
      <w:rFonts w:ascii="Arial" w:hAnsi="Arial" w:cs="Arial"/>
      <w:b/>
      <w:bCs/>
    </w:rPr>
  </w:style>
  <w:style w:type="paragraph" w:styleId="Heading5">
    <w:name w:val="heading 5"/>
    <w:basedOn w:val="Normal"/>
    <w:next w:val="Normal"/>
    <w:qFormat/>
    <w:rsid w:val="00C356F5"/>
    <w:pPr>
      <w:keepNext/>
      <w:jc w:val="both"/>
      <w:outlineLvl w:val="4"/>
    </w:pPr>
    <w:rPr>
      <w:rFonts w:ascii="Arial" w:hAnsi="Arial" w:cs="Arial"/>
      <w:b/>
      <w:bCs/>
      <w:u w:val="single"/>
    </w:rPr>
  </w:style>
  <w:style w:type="paragraph" w:styleId="Heading6">
    <w:name w:val="heading 6"/>
    <w:basedOn w:val="Normal"/>
    <w:next w:val="Normal"/>
    <w:qFormat/>
    <w:rsid w:val="00C356F5"/>
    <w:pPr>
      <w:keepNext/>
      <w:outlineLvl w:val="5"/>
    </w:pPr>
    <w:rPr>
      <w:rFonts w:ascii="Arial" w:hAnsi="Arial" w:cs="Arial"/>
      <w:b/>
      <w:bCs/>
      <w:u w:val="single"/>
    </w:rPr>
  </w:style>
  <w:style w:type="paragraph" w:styleId="Heading7">
    <w:name w:val="heading 7"/>
    <w:basedOn w:val="Normal"/>
    <w:next w:val="Normal"/>
    <w:qFormat/>
    <w:rsid w:val="00C356F5"/>
    <w:pPr>
      <w:keepNext/>
      <w:jc w:val="both"/>
      <w:outlineLvl w:val="6"/>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C356F5"/>
    <w:rPr>
      <w:sz w:val="20"/>
      <w:szCs w:val="20"/>
    </w:rPr>
  </w:style>
  <w:style w:type="character" w:styleId="FootnoteReference">
    <w:name w:val="footnote reference"/>
    <w:basedOn w:val="DefaultParagraphFont"/>
    <w:semiHidden/>
    <w:rsid w:val="00C356F5"/>
    <w:rPr>
      <w:vertAlign w:val="superscript"/>
    </w:rPr>
  </w:style>
  <w:style w:type="paragraph" w:styleId="BodyText">
    <w:name w:val="Body Text"/>
    <w:basedOn w:val="Normal"/>
    <w:semiHidden/>
    <w:rsid w:val="00C356F5"/>
    <w:pPr>
      <w:jc w:val="both"/>
    </w:pPr>
    <w:rPr>
      <w:rFonts w:ascii="Arial" w:hAnsi="Arial" w:cs="Arial"/>
      <w:b/>
      <w:bCs/>
    </w:rPr>
  </w:style>
  <w:style w:type="paragraph" w:styleId="BodyTextIndent">
    <w:name w:val="Body Text Indent"/>
    <w:basedOn w:val="Normal"/>
    <w:semiHidden/>
    <w:rsid w:val="00C356F5"/>
    <w:pPr>
      <w:ind w:left="360" w:hanging="360"/>
      <w:jc w:val="both"/>
    </w:pPr>
    <w:rPr>
      <w:rFonts w:ascii="Arial" w:hAnsi="Arial" w:cs="Arial"/>
    </w:rPr>
  </w:style>
  <w:style w:type="paragraph" w:styleId="Header">
    <w:name w:val="header"/>
    <w:basedOn w:val="Normal"/>
    <w:link w:val="HeaderChar"/>
    <w:uiPriority w:val="99"/>
    <w:unhideWhenUsed/>
    <w:rsid w:val="008622BE"/>
    <w:pPr>
      <w:tabs>
        <w:tab w:val="center" w:pos="4513"/>
        <w:tab w:val="right" w:pos="9026"/>
      </w:tabs>
    </w:pPr>
  </w:style>
  <w:style w:type="character" w:customStyle="1" w:styleId="HeaderChar">
    <w:name w:val="Header Char"/>
    <w:basedOn w:val="DefaultParagraphFont"/>
    <w:link w:val="Header"/>
    <w:uiPriority w:val="99"/>
    <w:rsid w:val="008622BE"/>
    <w:rPr>
      <w:sz w:val="24"/>
      <w:szCs w:val="24"/>
      <w:lang w:eastAsia="en-US"/>
    </w:rPr>
  </w:style>
  <w:style w:type="paragraph" w:styleId="Footer">
    <w:name w:val="footer"/>
    <w:basedOn w:val="Normal"/>
    <w:link w:val="FooterChar"/>
    <w:uiPriority w:val="99"/>
    <w:unhideWhenUsed/>
    <w:rsid w:val="008622BE"/>
    <w:pPr>
      <w:tabs>
        <w:tab w:val="center" w:pos="4513"/>
        <w:tab w:val="right" w:pos="9026"/>
      </w:tabs>
    </w:pPr>
  </w:style>
  <w:style w:type="character" w:customStyle="1" w:styleId="FooterChar">
    <w:name w:val="Footer Char"/>
    <w:basedOn w:val="DefaultParagraphFont"/>
    <w:link w:val="Footer"/>
    <w:uiPriority w:val="99"/>
    <w:rsid w:val="008622BE"/>
    <w:rPr>
      <w:sz w:val="24"/>
      <w:szCs w:val="24"/>
      <w:lang w:eastAsia="en-US"/>
    </w:rPr>
  </w:style>
  <w:style w:type="paragraph" w:styleId="ListParagraph">
    <w:name w:val="List Paragraph"/>
    <w:basedOn w:val="Normal"/>
    <w:uiPriority w:val="34"/>
    <w:qFormat/>
    <w:rsid w:val="008622BE"/>
    <w:pPr>
      <w:ind w:left="720"/>
    </w:pPr>
  </w:style>
  <w:style w:type="character" w:styleId="Emphasis">
    <w:name w:val="Emphasis"/>
    <w:basedOn w:val="DefaultParagraphFont"/>
    <w:qFormat/>
    <w:rsid w:val="00221AB2"/>
    <w:rPr>
      <w:b/>
      <w:bCs/>
      <w:i w:val="0"/>
      <w:iCs w:val="0"/>
    </w:rPr>
  </w:style>
  <w:style w:type="paragraph" w:customStyle="1" w:styleId="Default">
    <w:name w:val="Default"/>
    <w:rsid w:val="008F6624"/>
    <w:pPr>
      <w:autoSpaceDE w:val="0"/>
      <w:autoSpaceDN w:val="0"/>
      <w:adjustRightInd w:val="0"/>
    </w:pPr>
    <w:rPr>
      <w:color w:val="000000"/>
      <w:sz w:val="24"/>
      <w:szCs w:val="24"/>
    </w:rPr>
  </w:style>
  <w:style w:type="character" w:styleId="CommentReference">
    <w:name w:val="annotation reference"/>
    <w:basedOn w:val="DefaultParagraphFont"/>
    <w:uiPriority w:val="99"/>
    <w:semiHidden/>
    <w:unhideWhenUsed/>
    <w:rsid w:val="000C3851"/>
    <w:rPr>
      <w:sz w:val="16"/>
      <w:szCs w:val="16"/>
    </w:rPr>
  </w:style>
  <w:style w:type="paragraph" w:styleId="CommentText">
    <w:name w:val="annotation text"/>
    <w:basedOn w:val="Normal"/>
    <w:link w:val="CommentTextChar"/>
    <w:uiPriority w:val="99"/>
    <w:semiHidden/>
    <w:unhideWhenUsed/>
    <w:rsid w:val="000C3851"/>
    <w:rPr>
      <w:sz w:val="20"/>
      <w:szCs w:val="20"/>
    </w:rPr>
  </w:style>
  <w:style w:type="character" w:customStyle="1" w:styleId="CommentTextChar">
    <w:name w:val="Comment Text Char"/>
    <w:basedOn w:val="DefaultParagraphFont"/>
    <w:link w:val="CommentText"/>
    <w:uiPriority w:val="99"/>
    <w:semiHidden/>
    <w:rsid w:val="000C3851"/>
    <w:rPr>
      <w:lang w:eastAsia="en-US"/>
    </w:rPr>
  </w:style>
  <w:style w:type="paragraph" w:styleId="CommentSubject">
    <w:name w:val="annotation subject"/>
    <w:basedOn w:val="CommentText"/>
    <w:next w:val="CommentText"/>
    <w:link w:val="CommentSubjectChar"/>
    <w:uiPriority w:val="99"/>
    <w:semiHidden/>
    <w:unhideWhenUsed/>
    <w:rsid w:val="000C3851"/>
    <w:rPr>
      <w:b/>
      <w:bCs/>
    </w:rPr>
  </w:style>
  <w:style w:type="character" w:customStyle="1" w:styleId="CommentSubjectChar">
    <w:name w:val="Comment Subject Char"/>
    <w:basedOn w:val="CommentTextChar"/>
    <w:link w:val="CommentSubject"/>
    <w:uiPriority w:val="99"/>
    <w:semiHidden/>
    <w:rsid w:val="000C3851"/>
    <w:rPr>
      <w:b/>
      <w:bCs/>
      <w:lang w:eastAsia="en-US"/>
    </w:rPr>
  </w:style>
  <w:style w:type="paragraph" w:styleId="BalloonText">
    <w:name w:val="Balloon Text"/>
    <w:basedOn w:val="Normal"/>
    <w:link w:val="BalloonTextChar"/>
    <w:uiPriority w:val="99"/>
    <w:semiHidden/>
    <w:unhideWhenUsed/>
    <w:rsid w:val="000C3851"/>
    <w:rPr>
      <w:rFonts w:ascii="Tahoma" w:hAnsi="Tahoma" w:cs="Tahoma"/>
      <w:sz w:val="16"/>
      <w:szCs w:val="16"/>
    </w:rPr>
  </w:style>
  <w:style w:type="character" w:customStyle="1" w:styleId="BalloonTextChar">
    <w:name w:val="Balloon Text Char"/>
    <w:basedOn w:val="DefaultParagraphFont"/>
    <w:link w:val="BalloonText"/>
    <w:uiPriority w:val="99"/>
    <w:semiHidden/>
    <w:rsid w:val="000C3851"/>
    <w:rPr>
      <w:rFonts w:ascii="Tahoma" w:hAnsi="Tahoma" w:cs="Tahoma"/>
      <w:sz w:val="16"/>
      <w:szCs w:val="16"/>
      <w:lang w:eastAsia="en-US"/>
    </w:rPr>
  </w:style>
  <w:style w:type="paragraph" w:customStyle="1" w:styleId="letterbody">
    <w:name w:val="letterbody"/>
    <w:basedOn w:val="Normal"/>
    <w:rsid w:val="00DB3938"/>
    <w:pPr>
      <w:spacing w:before="100" w:beforeAutospacing="1" w:after="100" w:afterAutospacing="1"/>
    </w:pPr>
    <w:rPr>
      <w:rFonts w:eastAsiaTheme="minorEastAsia"/>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6F5"/>
    <w:rPr>
      <w:sz w:val="24"/>
      <w:szCs w:val="24"/>
      <w:lang w:eastAsia="en-US"/>
    </w:rPr>
  </w:style>
  <w:style w:type="paragraph" w:styleId="Heading1">
    <w:name w:val="heading 1"/>
    <w:basedOn w:val="Normal"/>
    <w:next w:val="Normal"/>
    <w:qFormat/>
    <w:rsid w:val="00C356F5"/>
    <w:pPr>
      <w:keepNext/>
      <w:jc w:val="center"/>
      <w:outlineLvl w:val="0"/>
    </w:pPr>
    <w:rPr>
      <w:rFonts w:ascii="Arial" w:hAnsi="Arial" w:cs="Arial"/>
      <w:b/>
      <w:bCs/>
    </w:rPr>
  </w:style>
  <w:style w:type="paragraph" w:styleId="Heading2">
    <w:name w:val="heading 2"/>
    <w:basedOn w:val="Normal"/>
    <w:next w:val="Normal"/>
    <w:qFormat/>
    <w:rsid w:val="00C356F5"/>
    <w:pPr>
      <w:keepNext/>
      <w:autoSpaceDE w:val="0"/>
      <w:autoSpaceDN w:val="0"/>
      <w:adjustRightInd w:val="0"/>
      <w:outlineLvl w:val="1"/>
    </w:pPr>
    <w:rPr>
      <w:rFonts w:ascii="Arial" w:hAnsi="Arial" w:cs="Arial"/>
      <w:b/>
      <w:bCs/>
    </w:rPr>
  </w:style>
  <w:style w:type="paragraph" w:styleId="Heading3">
    <w:name w:val="heading 3"/>
    <w:basedOn w:val="Normal"/>
    <w:next w:val="Normal"/>
    <w:qFormat/>
    <w:rsid w:val="00C356F5"/>
    <w:pPr>
      <w:keepNext/>
      <w:autoSpaceDE w:val="0"/>
      <w:autoSpaceDN w:val="0"/>
      <w:adjustRightInd w:val="0"/>
      <w:jc w:val="right"/>
      <w:outlineLvl w:val="2"/>
    </w:pPr>
    <w:rPr>
      <w:rFonts w:ascii="Arial" w:hAnsi="Arial" w:cs="Arial"/>
      <w:b/>
      <w:bCs/>
    </w:rPr>
  </w:style>
  <w:style w:type="paragraph" w:styleId="Heading4">
    <w:name w:val="heading 4"/>
    <w:basedOn w:val="Normal"/>
    <w:next w:val="Normal"/>
    <w:qFormat/>
    <w:rsid w:val="00C356F5"/>
    <w:pPr>
      <w:keepNext/>
      <w:jc w:val="both"/>
      <w:outlineLvl w:val="3"/>
    </w:pPr>
    <w:rPr>
      <w:rFonts w:ascii="Arial" w:hAnsi="Arial" w:cs="Arial"/>
      <w:b/>
      <w:bCs/>
    </w:rPr>
  </w:style>
  <w:style w:type="paragraph" w:styleId="Heading5">
    <w:name w:val="heading 5"/>
    <w:basedOn w:val="Normal"/>
    <w:next w:val="Normal"/>
    <w:qFormat/>
    <w:rsid w:val="00C356F5"/>
    <w:pPr>
      <w:keepNext/>
      <w:jc w:val="both"/>
      <w:outlineLvl w:val="4"/>
    </w:pPr>
    <w:rPr>
      <w:rFonts w:ascii="Arial" w:hAnsi="Arial" w:cs="Arial"/>
      <w:b/>
      <w:bCs/>
      <w:u w:val="single"/>
    </w:rPr>
  </w:style>
  <w:style w:type="paragraph" w:styleId="Heading6">
    <w:name w:val="heading 6"/>
    <w:basedOn w:val="Normal"/>
    <w:next w:val="Normal"/>
    <w:qFormat/>
    <w:rsid w:val="00C356F5"/>
    <w:pPr>
      <w:keepNext/>
      <w:outlineLvl w:val="5"/>
    </w:pPr>
    <w:rPr>
      <w:rFonts w:ascii="Arial" w:hAnsi="Arial" w:cs="Arial"/>
      <w:b/>
      <w:bCs/>
      <w:u w:val="single"/>
    </w:rPr>
  </w:style>
  <w:style w:type="paragraph" w:styleId="Heading7">
    <w:name w:val="heading 7"/>
    <w:basedOn w:val="Normal"/>
    <w:next w:val="Normal"/>
    <w:qFormat/>
    <w:rsid w:val="00C356F5"/>
    <w:pPr>
      <w:keepNext/>
      <w:jc w:val="both"/>
      <w:outlineLvl w:val="6"/>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C356F5"/>
    <w:rPr>
      <w:sz w:val="20"/>
      <w:szCs w:val="20"/>
    </w:rPr>
  </w:style>
  <w:style w:type="character" w:styleId="FootnoteReference">
    <w:name w:val="footnote reference"/>
    <w:basedOn w:val="DefaultParagraphFont"/>
    <w:semiHidden/>
    <w:rsid w:val="00C356F5"/>
    <w:rPr>
      <w:vertAlign w:val="superscript"/>
    </w:rPr>
  </w:style>
  <w:style w:type="paragraph" w:styleId="BodyText">
    <w:name w:val="Body Text"/>
    <w:basedOn w:val="Normal"/>
    <w:semiHidden/>
    <w:rsid w:val="00C356F5"/>
    <w:pPr>
      <w:jc w:val="both"/>
    </w:pPr>
    <w:rPr>
      <w:rFonts w:ascii="Arial" w:hAnsi="Arial" w:cs="Arial"/>
      <w:b/>
      <w:bCs/>
    </w:rPr>
  </w:style>
  <w:style w:type="paragraph" w:styleId="BodyTextIndent">
    <w:name w:val="Body Text Indent"/>
    <w:basedOn w:val="Normal"/>
    <w:semiHidden/>
    <w:rsid w:val="00C356F5"/>
    <w:pPr>
      <w:ind w:left="360" w:hanging="360"/>
      <w:jc w:val="both"/>
    </w:pPr>
    <w:rPr>
      <w:rFonts w:ascii="Arial" w:hAnsi="Arial" w:cs="Arial"/>
    </w:rPr>
  </w:style>
  <w:style w:type="paragraph" w:styleId="Header">
    <w:name w:val="header"/>
    <w:basedOn w:val="Normal"/>
    <w:link w:val="HeaderChar"/>
    <w:uiPriority w:val="99"/>
    <w:unhideWhenUsed/>
    <w:rsid w:val="008622BE"/>
    <w:pPr>
      <w:tabs>
        <w:tab w:val="center" w:pos="4513"/>
        <w:tab w:val="right" w:pos="9026"/>
      </w:tabs>
    </w:pPr>
  </w:style>
  <w:style w:type="character" w:customStyle="1" w:styleId="HeaderChar">
    <w:name w:val="Header Char"/>
    <w:basedOn w:val="DefaultParagraphFont"/>
    <w:link w:val="Header"/>
    <w:uiPriority w:val="99"/>
    <w:rsid w:val="008622BE"/>
    <w:rPr>
      <w:sz w:val="24"/>
      <w:szCs w:val="24"/>
      <w:lang w:eastAsia="en-US"/>
    </w:rPr>
  </w:style>
  <w:style w:type="paragraph" w:styleId="Footer">
    <w:name w:val="footer"/>
    <w:basedOn w:val="Normal"/>
    <w:link w:val="FooterChar"/>
    <w:uiPriority w:val="99"/>
    <w:unhideWhenUsed/>
    <w:rsid w:val="008622BE"/>
    <w:pPr>
      <w:tabs>
        <w:tab w:val="center" w:pos="4513"/>
        <w:tab w:val="right" w:pos="9026"/>
      </w:tabs>
    </w:pPr>
  </w:style>
  <w:style w:type="character" w:customStyle="1" w:styleId="FooterChar">
    <w:name w:val="Footer Char"/>
    <w:basedOn w:val="DefaultParagraphFont"/>
    <w:link w:val="Footer"/>
    <w:uiPriority w:val="99"/>
    <w:rsid w:val="008622BE"/>
    <w:rPr>
      <w:sz w:val="24"/>
      <w:szCs w:val="24"/>
      <w:lang w:eastAsia="en-US"/>
    </w:rPr>
  </w:style>
  <w:style w:type="paragraph" w:styleId="ListParagraph">
    <w:name w:val="List Paragraph"/>
    <w:basedOn w:val="Normal"/>
    <w:uiPriority w:val="34"/>
    <w:qFormat/>
    <w:rsid w:val="008622BE"/>
    <w:pPr>
      <w:ind w:left="720"/>
    </w:pPr>
  </w:style>
  <w:style w:type="character" w:styleId="Emphasis">
    <w:name w:val="Emphasis"/>
    <w:basedOn w:val="DefaultParagraphFont"/>
    <w:qFormat/>
    <w:rsid w:val="00221AB2"/>
    <w:rPr>
      <w:b/>
      <w:bCs/>
      <w:i w:val="0"/>
      <w:iCs w:val="0"/>
    </w:rPr>
  </w:style>
  <w:style w:type="paragraph" w:customStyle="1" w:styleId="Default">
    <w:name w:val="Default"/>
    <w:rsid w:val="008F6624"/>
    <w:pPr>
      <w:autoSpaceDE w:val="0"/>
      <w:autoSpaceDN w:val="0"/>
      <w:adjustRightInd w:val="0"/>
    </w:pPr>
    <w:rPr>
      <w:color w:val="000000"/>
      <w:sz w:val="24"/>
      <w:szCs w:val="24"/>
    </w:rPr>
  </w:style>
  <w:style w:type="character" w:styleId="CommentReference">
    <w:name w:val="annotation reference"/>
    <w:basedOn w:val="DefaultParagraphFont"/>
    <w:uiPriority w:val="99"/>
    <w:semiHidden/>
    <w:unhideWhenUsed/>
    <w:rsid w:val="000C3851"/>
    <w:rPr>
      <w:sz w:val="16"/>
      <w:szCs w:val="16"/>
    </w:rPr>
  </w:style>
  <w:style w:type="paragraph" w:styleId="CommentText">
    <w:name w:val="annotation text"/>
    <w:basedOn w:val="Normal"/>
    <w:link w:val="CommentTextChar"/>
    <w:uiPriority w:val="99"/>
    <w:semiHidden/>
    <w:unhideWhenUsed/>
    <w:rsid w:val="000C3851"/>
    <w:rPr>
      <w:sz w:val="20"/>
      <w:szCs w:val="20"/>
    </w:rPr>
  </w:style>
  <w:style w:type="character" w:customStyle="1" w:styleId="CommentTextChar">
    <w:name w:val="Comment Text Char"/>
    <w:basedOn w:val="DefaultParagraphFont"/>
    <w:link w:val="CommentText"/>
    <w:uiPriority w:val="99"/>
    <w:semiHidden/>
    <w:rsid w:val="000C3851"/>
    <w:rPr>
      <w:lang w:eastAsia="en-US"/>
    </w:rPr>
  </w:style>
  <w:style w:type="paragraph" w:styleId="CommentSubject">
    <w:name w:val="annotation subject"/>
    <w:basedOn w:val="CommentText"/>
    <w:next w:val="CommentText"/>
    <w:link w:val="CommentSubjectChar"/>
    <w:uiPriority w:val="99"/>
    <w:semiHidden/>
    <w:unhideWhenUsed/>
    <w:rsid w:val="000C3851"/>
    <w:rPr>
      <w:b/>
      <w:bCs/>
    </w:rPr>
  </w:style>
  <w:style w:type="character" w:customStyle="1" w:styleId="CommentSubjectChar">
    <w:name w:val="Comment Subject Char"/>
    <w:basedOn w:val="CommentTextChar"/>
    <w:link w:val="CommentSubject"/>
    <w:uiPriority w:val="99"/>
    <w:semiHidden/>
    <w:rsid w:val="000C3851"/>
    <w:rPr>
      <w:b/>
      <w:bCs/>
      <w:lang w:eastAsia="en-US"/>
    </w:rPr>
  </w:style>
  <w:style w:type="paragraph" w:styleId="BalloonText">
    <w:name w:val="Balloon Text"/>
    <w:basedOn w:val="Normal"/>
    <w:link w:val="BalloonTextChar"/>
    <w:uiPriority w:val="99"/>
    <w:semiHidden/>
    <w:unhideWhenUsed/>
    <w:rsid w:val="000C3851"/>
    <w:rPr>
      <w:rFonts w:ascii="Tahoma" w:hAnsi="Tahoma" w:cs="Tahoma"/>
      <w:sz w:val="16"/>
      <w:szCs w:val="16"/>
    </w:rPr>
  </w:style>
  <w:style w:type="character" w:customStyle="1" w:styleId="BalloonTextChar">
    <w:name w:val="Balloon Text Char"/>
    <w:basedOn w:val="DefaultParagraphFont"/>
    <w:link w:val="BalloonText"/>
    <w:uiPriority w:val="99"/>
    <w:semiHidden/>
    <w:rsid w:val="000C3851"/>
    <w:rPr>
      <w:rFonts w:ascii="Tahoma" w:hAnsi="Tahoma" w:cs="Tahoma"/>
      <w:sz w:val="16"/>
      <w:szCs w:val="16"/>
      <w:lang w:eastAsia="en-US"/>
    </w:rPr>
  </w:style>
  <w:style w:type="paragraph" w:customStyle="1" w:styleId="letterbody">
    <w:name w:val="letterbody"/>
    <w:basedOn w:val="Normal"/>
    <w:rsid w:val="00DB3938"/>
    <w:pPr>
      <w:spacing w:before="100" w:beforeAutospacing="1" w:after="100" w:afterAutospacing="1"/>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67797">
      <w:bodyDiv w:val="1"/>
      <w:marLeft w:val="0"/>
      <w:marRight w:val="0"/>
      <w:marTop w:val="0"/>
      <w:marBottom w:val="0"/>
      <w:divBdr>
        <w:top w:val="none" w:sz="0" w:space="0" w:color="auto"/>
        <w:left w:val="none" w:sz="0" w:space="0" w:color="auto"/>
        <w:bottom w:val="none" w:sz="0" w:space="0" w:color="auto"/>
        <w:right w:val="none" w:sz="0" w:space="0" w:color="auto"/>
      </w:divBdr>
    </w:div>
    <w:div w:id="318005521">
      <w:bodyDiv w:val="1"/>
      <w:marLeft w:val="0"/>
      <w:marRight w:val="0"/>
      <w:marTop w:val="0"/>
      <w:marBottom w:val="0"/>
      <w:divBdr>
        <w:top w:val="none" w:sz="0" w:space="0" w:color="auto"/>
        <w:left w:val="none" w:sz="0" w:space="0" w:color="auto"/>
        <w:bottom w:val="none" w:sz="0" w:space="0" w:color="auto"/>
        <w:right w:val="none" w:sz="0" w:space="0" w:color="auto"/>
      </w:divBdr>
    </w:div>
    <w:div w:id="543753385">
      <w:bodyDiv w:val="1"/>
      <w:marLeft w:val="0"/>
      <w:marRight w:val="0"/>
      <w:marTop w:val="0"/>
      <w:marBottom w:val="0"/>
      <w:divBdr>
        <w:top w:val="none" w:sz="0" w:space="0" w:color="auto"/>
        <w:left w:val="none" w:sz="0" w:space="0" w:color="auto"/>
        <w:bottom w:val="none" w:sz="0" w:space="0" w:color="auto"/>
        <w:right w:val="none" w:sz="0" w:space="0" w:color="auto"/>
      </w:divBdr>
    </w:div>
    <w:div w:id="161921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abel version="1.0">
  <element uid="id_newpolicy" value=""/>
  <element uid="id_unclassified" value=""/>
</label>
</file>

<file path=customXml/itemProps1.xml><?xml version="1.0" encoding="utf-8"?>
<ds:datastoreItem xmlns:ds="http://schemas.openxmlformats.org/officeDocument/2006/customXml" ds:itemID="{8B87419B-673B-4669-8185-0245CF74CC7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1785</Words>
  <Characters>10178</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14998/09 and 14998/09 ADD1</vt:lpstr>
    </vt:vector>
  </TitlesOfParts>
  <Company>Her Majesty's Treasury</Company>
  <LinksUpToDate>false</LinksUpToDate>
  <CharactersWithSpaces>11940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14998/09 and 14998/09 ADD1</dc:title>
  <dc:creator>Natasha Hughes</dc:creator>
  <cp:lastModifiedBy>Lawrence, Ellen - Cabinet Office [Restricted]</cp:lastModifiedBy>
  <cp:revision>2</cp:revision>
  <cp:lastPrinted>2013-10-21T14:58:00Z</cp:lastPrinted>
  <dcterms:created xsi:type="dcterms:W3CDTF">2013-10-23T06:38:00Z</dcterms:created>
  <dcterms:modified xsi:type="dcterms:W3CDTF">2013-10-23T06:38:00Z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uid="id_newpolicy" value=""/&gt;&lt;element uid="id_unclassified"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ad3bf08a-7226-40e4-922c-8a4613f949bb</vt:lpwstr>
  </property>
</Properties>
</file>