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55F" w:rsidRDefault="0077555F" w:rsidP="003E12D2">
      <w:pPr>
        <w:rPr>
          <w:rFonts w:ascii="Arial" w:hAnsi="Arial" w:cs="Arial"/>
          <w:b/>
          <w:bCs/>
        </w:rPr>
      </w:pPr>
      <w:bookmarkStart w:id="0" w:name="_GoBack"/>
      <w:bookmarkEnd w:id="0"/>
    </w:p>
    <w:p w:rsidR="00B301E8" w:rsidRDefault="00B301E8" w:rsidP="003E12D2">
      <w:pPr>
        <w:jc w:val="right"/>
        <w:rPr>
          <w:rFonts w:ascii="Arial" w:hAnsi="Arial" w:cs="Arial"/>
          <w:b/>
          <w:bCs/>
        </w:rPr>
      </w:pPr>
    </w:p>
    <w:p w:rsidR="00B301E8" w:rsidRDefault="00B301E8" w:rsidP="00B301E8">
      <w:pPr>
        <w:jc w:val="right"/>
        <w:rPr>
          <w:rFonts w:ascii="Arial" w:hAnsi="Arial" w:cs="Arial"/>
          <w:b/>
          <w:bCs/>
        </w:rPr>
      </w:pPr>
      <w:r w:rsidRPr="00B301E8">
        <w:rPr>
          <w:rFonts w:ascii="Arial" w:hAnsi="Arial" w:cs="Arial"/>
          <w:b/>
          <w:bCs/>
        </w:rPr>
        <w:t>14422/13</w:t>
      </w:r>
    </w:p>
    <w:p w:rsidR="0077555F" w:rsidRDefault="00B301E8" w:rsidP="00B301E8">
      <w:pPr>
        <w:jc w:val="right"/>
        <w:rPr>
          <w:rFonts w:ascii="Arial" w:hAnsi="Arial" w:cs="Arial"/>
          <w:b/>
          <w:bCs/>
        </w:rPr>
      </w:pPr>
      <w:r w:rsidRPr="00B301E8">
        <w:rPr>
          <w:rFonts w:ascii="Arial" w:hAnsi="Arial" w:cs="Arial"/>
          <w:b/>
          <w:bCs/>
        </w:rPr>
        <w:t>COM(2013) 661 final</w:t>
      </w:r>
    </w:p>
    <w:p w:rsidR="00B301E8" w:rsidRDefault="00B301E8" w:rsidP="003E12D2">
      <w:pPr>
        <w:rPr>
          <w:rFonts w:ascii="Arial" w:hAnsi="Arial" w:cs="Arial"/>
          <w:b/>
          <w:bCs/>
        </w:rPr>
      </w:pPr>
    </w:p>
    <w:p w:rsidR="0064514D" w:rsidRDefault="0064514D" w:rsidP="003E12D2">
      <w:pPr>
        <w:rPr>
          <w:rFonts w:ascii="Arial" w:hAnsi="Arial" w:cs="Arial"/>
          <w:b/>
          <w:bCs/>
        </w:rPr>
      </w:pPr>
    </w:p>
    <w:p w:rsidR="0077555F" w:rsidRDefault="003E4398" w:rsidP="003E12D2">
      <w:pPr>
        <w:jc w:val="both"/>
        <w:rPr>
          <w:rFonts w:ascii="Arial" w:hAnsi="Arial" w:cs="Arial"/>
        </w:rPr>
      </w:pPr>
      <w:r>
        <w:rPr>
          <w:rFonts w:ascii="Arial" w:hAnsi="Arial" w:cs="Arial"/>
          <w:b/>
          <w:bCs/>
        </w:rPr>
        <w:t xml:space="preserve">EXPLANATORY MEMORANDUM ON EUROPEAN UNION </w:t>
      </w:r>
      <w:r w:rsidR="00B301E8">
        <w:rPr>
          <w:rFonts w:ascii="Arial" w:hAnsi="Arial" w:cs="Arial"/>
          <w:b/>
          <w:bCs/>
        </w:rPr>
        <w:t>DOCUMENT</w:t>
      </w:r>
      <w:r>
        <w:rPr>
          <w:rFonts w:ascii="Arial" w:hAnsi="Arial" w:cs="Arial"/>
          <w:b/>
          <w:bCs/>
        </w:rPr>
        <w:t xml:space="preserve"> </w:t>
      </w:r>
    </w:p>
    <w:p w:rsidR="00B301E8" w:rsidRDefault="00B301E8" w:rsidP="003E12D2">
      <w:pPr>
        <w:jc w:val="both"/>
        <w:rPr>
          <w:rFonts w:ascii="Arial" w:hAnsi="Arial" w:cs="Arial"/>
          <w:b/>
          <w:bCs/>
        </w:rPr>
      </w:pPr>
    </w:p>
    <w:p w:rsidR="0064514D" w:rsidRDefault="0064514D" w:rsidP="003E12D2">
      <w:pPr>
        <w:jc w:val="both"/>
        <w:rPr>
          <w:rFonts w:ascii="Arial" w:hAnsi="Arial" w:cs="Arial"/>
          <w:b/>
          <w:bCs/>
        </w:rPr>
      </w:pPr>
    </w:p>
    <w:p w:rsidR="0077555F" w:rsidRPr="00B301E8" w:rsidRDefault="0064514D" w:rsidP="00B301E8">
      <w:pPr>
        <w:jc w:val="both"/>
        <w:rPr>
          <w:rFonts w:ascii="Arial" w:hAnsi="Arial" w:cs="Arial"/>
          <w:b/>
          <w:bCs/>
        </w:rPr>
      </w:pPr>
      <w:r w:rsidRPr="00B301E8">
        <w:rPr>
          <w:rFonts w:ascii="Arial" w:hAnsi="Arial" w:cs="Arial"/>
          <w:b/>
          <w:bCs/>
        </w:rPr>
        <w:t>REPORT FROM THE COMMISSION TO THE EUROPEAN PARLIAMENT AND THE COUNCIL ON</w:t>
      </w:r>
      <w:r>
        <w:rPr>
          <w:rFonts w:ascii="Arial" w:hAnsi="Arial" w:cs="Arial"/>
          <w:b/>
          <w:bCs/>
        </w:rPr>
        <w:t xml:space="preserve"> </w:t>
      </w:r>
      <w:r w:rsidRPr="00B301E8">
        <w:rPr>
          <w:rFonts w:ascii="Arial" w:hAnsi="Arial" w:cs="Arial"/>
          <w:b/>
          <w:bCs/>
        </w:rPr>
        <w:t>THE GUARANTEE FUND AND ITS MANAGEMENT IN 2012</w:t>
      </w:r>
      <w:r w:rsidRPr="00B301E8">
        <w:rPr>
          <w:rFonts w:ascii="Arial" w:hAnsi="Arial" w:cs="Arial"/>
          <w:b/>
          <w:bCs/>
          <w:i/>
          <w:iCs/>
          <w:color w:val="FF0000"/>
        </w:rPr>
        <w:t xml:space="preserve"> </w:t>
      </w:r>
    </w:p>
    <w:p w:rsidR="0077555F" w:rsidRDefault="0077555F" w:rsidP="003E12D2">
      <w:pPr>
        <w:rPr>
          <w:rFonts w:ascii="Arial" w:hAnsi="Arial" w:cs="Arial"/>
        </w:rPr>
      </w:pPr>
    </w:p>
    <w:p w:rsidR="0064514D" w:rsidRDefault="0064514D" w:rsidP="003E12D2">
      <w:pPr>
        <w:rPr>
          <w:rFonts w:ascii="Arial" w:hAnsi="Arial" w:cs="Arial"/>
        </w:rPr>
      </w:pPr>
    </w:p>
    <w:p w:rsidR="008E5AD5" w:rsidRDefault="008E5AD5" w:rsidP="003E12D2">
      <w:pPr>
        <w:rPr>
          <w:rFonts w:ascii="Arial" w:hAnsi="Arial" w:cs="Arial"/>
        </w:rPr>
      </w:pPr>
    </w:p>
    <w:p w:rsidR="0077555F" w:rsidRPr="004558F3" w:rsidRDefault="003E4398" w:rsidP="003E12D2">
      <w:pPr>
        <w:pStyle w:val="NormalWeb"/>
        <w:spacing w:before="0" w:beforeAutospacing="0" w:after="0" w:afterAutospacing="0"/>
        <w:jc w:val="right"/>
        <w:rPr>
          <w:rFonts w:ascii="Arial" w:hAnsi="Arial" w:cs="Arial"/>
          <w:color w:val="FF0000"/>
          <w:lang w:val="en-GB"/>
        </w:rPr>
      </w:pPr>
      <w:r>
        <w:rPr>
          <w:rFonts w:ascii="Arial" w:hAnsi="Arial" w:cs="Arial"/>
          <w:lang w:val="en-GB"/>
        </w:rPr>
        <w:tab/>
      </w:r>
      <w:r>
        <w:rPr>
          <w:rFonts w:ascii="Arial" w:hAnsi="Arial" w:cs="Arial"/>
          <w:lang w:val="en-GB"/>
        </w:rPr>
        <w:tab/>
      </w:r>
      <w:r>
        <w:rPr>
          <w:rFonts w:ascii="Arial" w:hAnsi="Arial" w:cs="Arial"/>
          <w:lang w:val="en-GB"/>
        </w:rPr>
        <w:tab/>
      </w:r>
      <w:r>
        <w:rPr>
          <w:rFonts w:ascii="Arial" w:hAnsi="Arial" w:cs="Arial"/>
          <w:lang w:val="en-GB"/>
        </w:rPr>
        <w:tab/>
      </w:r>
      <w:r>
        <w:rPr>
          <w:rFonts w:ascii="Arial" w:hAnsi="Arial" w:cs="Arial"/>
          <w:lang w:val="en-GB"/>
        </w:rPr>
        <w:tab/>
      </w:r>
      <w:r w:rsidR="00B301E8">
        <w:rPr>
          <w:rFonts w:ascii="Arial" w:hAnsi="Arial" w:cs="Arial"/>
          <w:b/>
          <w:bCs/>
        </w:rPr>
        <w:t>October 2013</w:t>
      </w:r>
    </w:p>
    <w:p w:rsidR="0064514D" w:rsidRDefault="0064514D" w:rsidP="003E12D2">
      <w:pPr>
        <w:rPr>
          <w:rFonts w:ascii="Arial" w:hAnsi="Arial" w:cs="Arial"/>
        </w:rPr>
      </w:pPr>
    </w:p>
    <w:p w:rsidR="0077555F" w:rsidRDefault="003E4398" w:rsidP="003E12D2">
      <w:pPr>
        <w:rPr>
          <w:rFonts w:ascii="Arial" w:hAnsi="Arial" w:cs="Arial"/>
        </w:rPr>
      </w:pPr>
      <w:r>
        <w:rPr>
          <w:rFonts w:ascii="Arial" w:hAnsi="Arial" w:cs="Arial"/>
        </w:rPr>
        <w:t>Submitted by HM Treasury</w:t>
      </w:r>
    </w:p>
    <w:p w:rsidR="0077555F" w:rsidRDefault="0077555F" w:rsidP="003E12D2">
      <w:pPr>
        <w:rPr>
          <w:rFonts w:ascii="Arial" w:hAnsi="Arial" w:cs="Arial"/>
          <w:b/>
          <w:bCs/>
        </w:rPr>
      </w:pPr>
    </w:p>
    <w:p w:rsidR="002246BA" w:rsidRDefault="002246BA" w:rsidP="003E12D2">
      <w:pPr>
        <w:rPr>
          <w:rFonts w:ascii="Arial" w:hAnsi="Arial" w:cs="Arial"/>
        </w:rPr>
      </w:pPr>
    </w:p>
    <w:p w:rsidR="0077555F" w:rsidRDefault="003E4398" w:rsidP="003E12D2">
      <w:pPr>
        <w:pStyle w:val="Heading1"/>
      </w:pPr>
      <w:r>
        <w:t>SUBJECT MATTER</w:t>
      </w:r>
    </w:p>
    <w:p w:rsidR="0077555F" w:rsidRDefault="0077555F" w:rsidP="003E12D2">
      <w:pPr>
        <w:rPr>
          <w:rFonts w:ascii="Arial" w:hAnsi="Arial" w:cs="Arial"/>
        </w:rPr>
      </w:pPr>
    </w:p>
    <w:p w:rsidR="003E12D2" w:rsidRPr="0064514D" w:rsidRDefault="00B301E8" w:rsidP="0064514D">
      <w:pPr>
        <w:pStyle w:val="ListParagraph"/>
        <w:numPr>
          <w:ilvl w:val="0"/>
          <w:numId w:val="20"/>
        </w:numPr>
        <w:jc w:val="both"/>
        <w:rPr>
          <w:rFonts w:ascii="Arial" w:hAnsi="Arial" w:cs="Arial"/>
          <w:iCs/>
        </w:rPr>
      </w:pPr>
      <w:r w:rsidRPr="0064514D">
        <w:rPr>
          <w:rFonts w:ascii="Arial" w:hAnsi="Arial" w:cs="Arial"/>
          <w:iCs/>
        </w:rPr>
        <w:t xml:space="preserve">This report </w:t>
      </w:r>
      <w:r w:rsidR="005A3B52" w:rsidRPr="0064514D">
        <w:rPr>
          <w:rFonts w:ascii="Arial" w:hAnsi="Arial" w:cs="Arial"/>
          <w:iCs/>
        </w:rPr>
        <w:t xml:space="preserve">covers the management and </w:t>
      </w:r>
      <w:r w:rsidRPr="0064514D">
        <w:rPr>
          <w:rFonts w:ascii="Arial" w:hAnsi="Arial" w:cs="Arial"/>
          <w:iCs/>
        </w:rPr>
        <w:t xml:space="preserve">position of the Guarantee Fund for external actions (‘the Fund’), which was set up in order to repay EU creditors in the event of default of beneficiaries of loans granted or guaranteed by the EU. The European Investment Bank (EIB) </w:t>
      </w:r>
      <w:r w:rsidR="003D0C3F" w:rsidRPr="0064514D">
        <w:rPr>
          <w:rFonts w:ascii="Arial" w:hAnsi="Arial" w:cs="Arial"/>
          <w:iCs/>
        </w:rPr>
        <w:t>is</w:t>
      </w:r>
      <w:r w:rsidRPr="0064514D">
        <w:rPr>
          <w:rFonts w:ascii="Arial" w:hAnsi="Arial" w:cs="Arial"/>
          <w:iCs/>
        </w:rPr>
        <w:t xml:space="preserve"> responsible for the financial management of the Fund.</w:t>
      </w:r>
      <w:r w:rsidR="004F1B84" w:rsidRPr="0064514D">
        <w:rPr>
          <w:rFonts w:ascii="Arial" w:hAnsi="Arial" w:cs="Arial"/>
          <w:iCs/>
        </w:rPr>
        <w:t xml:space="preserve"> </w:t>
      </w:r>
      <w:r w:rsidRPr="0064514D">
        <w:rPr>
          <w:rFonts w:ascii="Arial" w:hAnsi="Arial" w:cs="Arial"/>
          <w:iCs/>
        </w:rPr>
        <w:t xml:space="preserve">The EIB are legally required to report on the annual status of the </w:t>
      </w:r>
      <w:r w:rsidR="008B71E2">
        <w:rPr>
          <w:rFonts w:ascii="Arial" w:hAnsi="Arial" w:cs="Arial"/>
          <w:iCs/>
        </w:rPr>
        <w:t>F</w:t>
      </w:r>
      <w:r w:rsidRPr="0064514D">
        <w:rPr>
          <w:rFonts w:ascii="Arial" w:hAnsi="Arial" w:cs="Arial"/>
          <w:iCs/>
        </w:rPr>
        <w:t>und and its management every year.</w:t>
      </w:r>
    </w:p>
    <w:p w:rsidR="00B301E8" w:rsidRDefault="00B301E8" w:rsidP="00B301E8">
      <w:pPr>
        <w:jc w:val="both"/>
        <w:rPr>
          <w:rFonts w:ascii="Arial" w:hAnsi="Arial" w:cs="Arial"/>
          <w:iCs/>
        </w:rPr>
      </w:pPr>
    </w:p>
    <w:p w:rsidR="00B301E8" w:rsidRPr="003D0C3F" w:rsidRDefault="00C606C8" w:rsidP="0064514D">
      <w:pPr>
        <w:pStyle w:val="ListParagraph"/>
        <w:numPr>
          <w:ilvl w:val="0"/>
          <w:numId w:val="20"/>
        </w:numPr>
        <w:jc w:val="both"/>
        <w:rPr>
          <w:rFonts w:ascii="Arial" w:hAnsi="Arial" w:cs="Arial"/>
          <w:iCs/>
        </w:rPr>
      </w:pPr>
      <w:r w:rsidRPr="003D0C3F">
        <w:rPr>
          <w:rFonts w:ascii="Arial" w:hAnsi="Arial" w:cs="Arial"/>
          <w:iCs/>
        </w:rPr>
        <w:t>The financial position of the Fund is the sum of all the financial flows since the setting up of the Fund in 1994. A</w:t>
      </w:r>
      <w:r w:rsidR="00E83202">
        <w:rPr>
          <w:rFonts w:ascii="Arial" w:hAnsi="Arial" w:cs="Arial"/>
          <w:iCs/>
        </w:rPr>
        <w:t>s of</w:t>
      </w:r>
      <w:r w:rsidRPr="003D0C3F">
        <w:rPr>
          <w:rFonts w:ascii="Arial" w:hAnsi="Arial" w:cs="Arial"/>
          <w:iCs/>
        </w:rPr>
        <w:t xml:space="preserve"> 31 December 2012 the </w:t>
      </w:r>
      <w:r w:rsidR="00E83202">
        <w:rPr>
          <w:rFonts w:ascii="Arial" w:hAnsi="Arial" w:cs="Arial"/>
          <w:iCs/>
        </w:rPr>
        <w:t>F</w:t>
      </w:r>
      <w:r w:rsidRPr="003D0C3F">
        <w:rPr>
          <w:rFonts w:ascii="Arial" w:hAnsi="Arial" w:cs="Arial"/>
          <w:iCs/>
        </w:rPr>
        <w:t xml:space="preserve">und </w:t>
      </w:r>
      <w:r w:rsidR="009F6652" w:rsidRPr="003D0C3F">
        <w:rPr>
          <w:rFonts w:ascii="Arial" w:hAnsi="Arial" w:cs="Arial"/>
          <w:iCs/>
        </w:rPr>
        <w:t xml:space="preserve">totalled EUR 2.02 </w:t>
      </w:r>
      <w:r w:rsidR="00847FB9" w:rsidRPr="003D0C3F">
        <w:rPr>
          <w:rFonts w:ascii="Arial" w:hAnsi="Arial" w:cs="Arial"/>
          <w:iCs/>
        </w:rPr>
        <w:t>billion (</w:t>
      </w:r>
      <w:proofErr w:type="spellStart"/>
      <w:r w:rsidR="00847FB9" w:rsidRPr="003D0C3F">
        <w:rPr>
          <w:rFonts w:ascii="Arial" w:hAnsi="Arial" w:cs="Arial"/>
          <w:iCs/>
        </w:rPr>
        <w:t>bn</w:t>
      </w:r>
      <w:proofErr w:type="spellEnd"/>
      <w:r w:rsidR="00847FB9" w:rsidRPr="003D0C3F">
        <w:rPr>
          <w:rFonts w:ascii="Arial" w:hAnsi="Arial" w:cs="Arial"/>
          <w:iCs/>
        </w:rPr>
        <w:t xml:space="preserve">) </w:t>
      </w:r>
      <w:r w:rsidR="0095453B" w:rsidRPr="003D0C3F">
        <w:rPr>
          <w:rFonts w:ascii="Arial" w:hAnsi="Arial" w:cs="Arial"/>
          <w:iCs/>
        </w:rPr>
        <w:t>(£1.69bn)</w:t>
      </w:r>
      <w:r w:rsidR="006B1BF9">
        <w:rPr>
          <w:rStyle w:val="FootnoteReference"/>
          <w:rFonts w:ascii="Arial" w:hAnsi="Arial" w:cs="Arial"/>
          <w:iCs/>
        </w:rPr>
        <w:footnoteReference w:id="1"/>
      </w:r>
      <w:r w:rsidR="009F6652" w:rsidRPr="003D0C3F">
        <w:rPr>
          <w:rFonts w:ascii="Arial" w:hAnsi="Arial" w:cs="Arial"/>
          <w:iCs/>
        </w:rPr>
        <w:t xml:space="preserve">. The major positive constituents include: EU budget payments </w:t>
      </w:r>
      <w:r w:rsidR="00277892">
        <w:rPr>
          <w:rFonts w:ascii="Arial" w:hAnsi="Arial" w:cs="Arial"/>
          <w:iCs/>
        </w:rPr>
        <w:t>to the</w:t>
      </w:r>
      <w:r w:rsidR="009F6652" w:rsidRPr="003D0C3F">
        <w:rPr>
          <w:rFonts w:ascii="Arial" w:hAnsi="Arial" w:cs="Arial"/>
          <w:iCs/>
        </w:rPr>
        <w:t xml:space="preserve"> </w:t>
      </w:r>
      <w:r w:rsidR="00E83202">
        <w:rPr>
          <w:rFonts w:ascii="Arial" w:hAnsi="Arial" w:cs="Arial"/>
          <w:iCs/>
        </w:rPr>
        <w:t>F</w:t>
      </w:r>
      <w:r w:rsidR="009F6652" w:rsidRPr="003D0C3F">
        <w:rPr>
          <w:rFonts w:ascii="Arial" w:hAnsi="Arial" w:cs="Arial"/>
          <w:iCs/>
        </w:rPr>
        <w:t xml:space="preserve">und of </w:t>
      </w:r>
      <w:r w:rsidR="00847FB9" w:rsidRPr="003D0C3F">
        <w:rPr>
          <w:rFonts w:ascii="Arial" w:hAnsi="Arial" w:cs="Arial"/>
          <w:iCs/>
        </w:rPr>
        <w:t>EUR 3.54</w:t>
      </w:r>
      <w:r w:rsidR="002F4B6B" w:rsidRPr="003D0C3F">
        <w:rPr>
          <w:rFonts w:ascii="Arial" w:hAnsi="Arial" w:cs="Arial"/>
          <w:iCs/>
        </w:rPr>
        <w:t>bn</w:t>
      </w:r>
      <w:r w:rsidR="0095453B" w:rsidRPr="003D0C3F">
        <w:rPr>
          <w:rFonts w:ascii="Arial" w:hAnsi="Arial" w:cs="Arial"/>
          <w:iCs/>
        </w:rPr>
        <w:t xml:space="preserve"> (£2.96bn)</w:t>
      </w:r>
      <w:r w:rsidR="00AE26AA">
        <w:rPr>
          <w:rFonts w:ascii="Arial" w:hAnsi="Arial" w:cs="Arial"/>
          <w:iCs/>
        </w:rPr>
        <w:t>; successive yearly net results</w:t>
      </w:r>
      <w:r w:rsidR="002F4B6B" w:rsidRPr="003D0C3F">
        <w:rPr>
          <w:rFonts w:ascii="Arial" w:hAnsi="Arial" w:cs="Arial"/>
          <w:iCs/>
        </w:rPr>
        <w:t xml:space="preserve"> </w:t>
      </w:r>
      <w:r w:rsidR="00847FB9" w:rsidRPr="003D0C3F">
        <w:rPr>
          <w:rFonts w:ascii="Arial" w:hAnsi="Arial" w:cs="Arial"/>
          <w:iCs/>
        </w:rPr>
        <w:t>EUR 0.85</w:t>
      </w:r>
      <w:r w:rsidR="00FF2C32" w:rsidRPr="003D0C3F">
        <w:rPr>
          <w:rFonts w:ascii="Arial" w:hAnsi="Arial" w:cs="Arial"/>
          <w:iCs/>
        </w:rPr>
        <w:t>bn</w:t>
      </w:r>
      <w:r w:rsidR="0095453B" w:rsidRPr="003D0C3F">
        <w:rPr>
          <w:rFonts w:ascii="Arial" w:hAnsi="Arial" w:cs="Arial"/>
          <w:iCs/>
        </w:rPr>
        <w:t xml:space="preserve"> (£0.71bn)</w:t>
      </w:r>
      <w:r w:rsidR="00AE26AA">
        <w:rPr>
          <w:rFonts w:ascii="Arial" w:hAnsi="Arial" w:cs="Arial"/>
          <w:iCs/>
        </w:rPr>
        <w:t>;</w:t>
      </w:r>
      <w:r w:rsidR="00FF2C32" w:rsidRPr="003D0C3F">
        <w:rPr>
          <w:rFonts w:ascii="Arial" w:hAnsi="Arial" w:cs="Arial"/>
          <w:iCs/>
        </w:rPr>
        <w:t xml:space="preserve"> and recoveries of payments made by the </w:t>
      </w:r>
      <w:r w:rsidR="00E83202">
        <w:rPr>
          <w:rFonts w:ascii="Arial" w:hAnsi="Arial" w:cs="Arial"/>
          <w:iCs/>
        </w:rPr>
        <w:t>F</w:t>
      </w:r>
      <w:r w:rsidR="00FF2C32" w:rsidRPr="003D0C3F">
        <w:rPr>
          <w:rFonts w:ascii="Arial" w:hAnsi="Arial" w:cs="Arial"/>
          <w:iCs/>
        </w:rPr>
        <w:t>und for defaults</w:t>
      </w:r>
      <w:r w:rsidR="00847FB9" w:rsidRPr="003D0C3F">
        <w:rPr>
          <w:rFonts w:ascii="Arial" w:hAnsi="Arial" w:cs="Arial"/>
          <w:iCs/>
        </w:rPr>
        <w:t xml:space="preserve"> EUR 0.58</w:t>
      </w:r>
      <w:r w:rsidR="00557073" w:rsidRPr="003D0C3F">
        <w:rPr>
          <w:rFonts w:ascii="Arial" w:hAnsi="Arial" w:cs="Arial"/>
          <w:iCs/>
        </w:rPr>
        <w:t>bn</w:t>
      </w:r>
      <w:r w:rsidR="0095453B" w:rsidRPr="003D0C3F">
        <w:rPr>
          <w:rFonts w:ascii="Arial" w:hAnsi="Arial" w:cs="Arial"/>
          <w:iCs/>
        </w:rPr>
        <w:t xml:space="preserve"> (£0.48bn)</w:t>
      </w:r>
      <w:r w:rsidR="00557073" w:rsidRPr="003D0C3F">
        <w:rPr>
          <w:rFonts w:ascii="Arial" w:hAnsi="Arial" w:cs="Arial"/>
          <w:iCs/>
        </w:rPr>
        <w:t>. Major deductions include: successive re</w:t>
      </w:r>
      <w:r w:rsidR="00362002">
        <w:rPr>
          <w:rFonts w:ascii="Arial" w:hAnsi="Arial" w:cs="Arial"/>
          <w:iCs/>
        </w:rPr>
        <w:t>payments to the budget EUR 2.50</w:t>
      </w:r>
      <w:r w:rsidR="00557073" w:rsidRPr="003D0C3F">
        <w:rPr>
          <w:rFonts w:ascii="Arial" w:hAnsi="Arial" w:cs="Arial"/>
          <w:iCs/>
        </w:rPr>
        <w:t>bn</w:t>
      </w:r>
      <w:r w:rsidR="00CC2192" w:rsidRPr="003D0C3F">
        <w:rPr>
          <w:rFonts w:ascii="Arial" w:hAnsi="Arial" w:cs="Arial"/>
          <w:iCs/>
        </w:rPr>
        <w:t xml:space="preserve"> (£2.09bn)</w:t>
      </w:r>
      <w:r w:rsidR="00557073" w:rsidRPr="003D0C3F">
        <w:rPr>
          <w:rFonts w:ascii="Arial" w:hAnsi="Arial" w:cs="Arial"/>
          <w:iCs/>
        </w:rPr>
        <w:t>; and calls on the Fund’s resources EUR 0.5</w:t>
      </w:r>
      <w:r w:rsidR="004F1B84" w:rsidRPr="003D0C3F">
        <w:rPr>
          <w:rFonts w:ascii="Arial" w:hAnsi="Arial" w:cs="Arial"/>
          <w:iCs/>
        </w:rPr>
        <w:t>2</w:t>
      </w:r>
      <w:r w:rsidR="00557073" w:rsidRPr="003D0C3F">
        <w:rPr>
          <w:rFonts w:ascii="Arial" w:hAnsi="Arial" w:cs="Arial"/>
          <w:iCs/>
        </w:rPr>
        <w:t>bn</w:t>
      </w:r>
      <w:r w:rsidR="00CC2192" w:rsidRPr="003D0C3F">
        <w:rPr>
          <w:rFonts w:ascii="Arial" w:hAnsi="Arial" w:cs="Arial"/>
          <w:iCs/>
        </w:rPr>
        <w:t xml:space="preserve"> (£</w:t>
      </w:r>
      <w:r w:rsidR="00362002">
        <w:rPr>
          <w:rFonts w:ascii="Arial" w:hAnsi="Arial" w:cs="Arial"/>
          <w:iCs/>
        </w:rPr>
        <w:t>0.43</w:t>
      </w:r>
      <w:r w:rsidR="00CC2192" w:rsidRPr="003D0C3F">
        <w:rPr>
          <w:rFonts w:ascii="Arial" w:hAnsi="Arial" w:cs="Arial"/>
          <w:iCs/>
        </w:rPr>
        <w:t>bn)</w:t>
      </w:r>
      <w:r w:rsidR="00557073" w:rsidRPr="003D0C3F">
        <w:rPr>
          <w:rFonts w:ascii="Arial" w:hAnsi="Arial" w:cs="Arial"/>
          <w:iCs/>
        </w:rPr>
        <w:t>.</w:t>
      </w:r>
    </w:p>
    <w:p w:rsidR="00557073" w:rsidRDefault="00557073" w:rsidP="0064514D">
      <w:pPr>
        <w:pStyle w:val="ListParagraph"/>
        <w:ind w:left="360"/>
        <w:jc w:val="both"/>
        <w:rPr>
          <w:rFonts w:ascii="Arial" w:hAnsi="Arial" w:cs="Arial"/>
          <w:iCs/>
        </w:rPr>
      </w:pPr>
    </w:p>
    <w:p w:rsidR="003556B4" w:rsidRPr="00362002" w:rsidRDefault="00557073" w:rsidP="0064514D">
      <w:pPr>
        <w:pStyle w:val="ListParagraph"/>
        <w:numPr>
          <w:ilvl w:val="0"/>
          <w:numId w:val="20"/>
        </w:numPr>
        <w:jc w:val="both"/>
        <w:rPr>
          <w:rFonts w:ascii="Arial" w:hAnsi="Arial" w:cs="Arial"/>
          <w:iCs/>
        </w:rPr>
      </w:pPr>
      <w:r w:rsidRPr="00362002">
        <w:rPr>
          <w:rFonts w:ascii="Arial" w:hAnsi="Arial" w:cs="Arial"/>
          <w:iCs/>
        </w:rPr>
        <w:t xml:space="preserve">According to </w:t>
      </w:r>
      <w:r w:rsidR="00386D10">
        <w:rPr>
          <w:rFonts w:ascii="Arial" w:hAnsi="Arial" w:cs="Arial"/>
          <w:iCs/>
        </w:rPr>
        <w:t xml:space="preserve">Article 3 of </w:t>
      </w:r>
      <w:r w:rsidR="00386D10" w:rsidRPr="00362002">
        <w:rPr>
          <w:rFonts w:ascii="Arial" w:hAnsi="Arial" w:cs="Arial"/>
          <w:iCs/>
        </w:rPr>
        <w:t>Council Regulation (EC, Euratom) No</w:t>
      </w:r>
      <w:r w:rsidR="00E83202">
        <w:rPr>
          <w:rFonts w:ascii="Arial" w:hAnsi="Arial" w:cs="Arial"/>
          <w:iCs/>
        </w:rPr>
        <w:t>.</w:t>
      </w:r>
      <w:r w:rsidR="00386D10" w:rsidRPr="00362002">
        <w:rPr>
          <w:rFonts w:ascii="Arial" w:hAnsi="Arial" w:cs="Arial"/>
          <w:iCs/>
        </w:rPr>
        <w:t xml:space="preserve"> 480/2009 of May 2009</w:t>
      </w:r>
      <w:r w:rsidRPr="00362002">
        <w:rPr>
          <w:rFonts w:ascii="Arial" w:hAnsi="Arial" w:cs="Arial"/>
          <w:iCs/>
        </w:rPr>
        <w:t xml:space="preserve"> the Fund </w:t>
      </w:r>
      <w:r w:rsidR="00386D10">
        <w:rPr>
          <w:rFonts w:ascii="Arial" w:hAnsi="Arial" w:cs="Arial"/>
          <w:iCs/>
        </w:rPr>
        <w:t>should</w:t>
      </w:r>
      <w:r w:rsidR="00386D10" w:rsidRPr="00362002">
        <w:rPr>
          <w:rFonts w:ascii="Arial" w:hAnsi="Arial" w:cs="Arial"/>
          <w:iCs/>
        </w:rPr>
        <w:t xml:space="preserve"> </w:t>
      </w:r>
      <w:r w:rsidRPr="00362002">
        <w:rPr>
          <w:rFonts w:ascii="Arial" w:hAnsi="Arial" w:cs="Arial"/>
          <w:iCs/>
        </w:rPr>
        <w:t>amount to 9% of the total outstanding capital liabilities arising from each operation, plus any unpaid interest due. T</w:t>
      </w:r>
      <w:r w:rsidR="00362002" w:rsidRPr="00362002">
        <w:rPr>
          <w:rFonts w:ascii="Arial" w:hAnsi="Arial" w:cs="Arial"/>
          <w:iCs/>
        </w:rPr>
        <w:t xml:space="preserve">o adjust the Fund to </w:t>
      </w:r>
      <w:r w:rsidRPr="00362002">
        <w:rPr>
          <w:rFonts w:ascii="Arial" w:hAnsi="Arial" w:cs="Arial"/>
          <w:iCs/>
        </w:rPr>
        <w:t xml:space="preserve">9% of total </w:t>
      </w:r>
      <w:r w:rsidR="004A31CE" w:rsidRPr="00362002">
        <w:rPr>
          <w:rFonts w:ascii="Arial" w:hAnsi="Arial" w:cs="Arial"/>
          <w:iCs/>
        </w:rPr>
        <w:t>outstanding capital lia</w:t>
      </w:r>
      <w:r w:rsidR="00362002">
        <w:rPr>
          <w:rFonts w:ascii="Arial" w:hAnsi="Arial" w:cs="Arial"/>
          <w:iCs/>
        </w:rPr>
        <w:t>bilities, an amount of EUR 0.16</w:t>
      </w:r>
      <w:r w:rsidR="004A31CE" w:rsidRPr="00362002">
        <w:rPr>
          <w:rFonts w:ascii="Arial" w:hAnsi="Arial" w:cs="Arial"/>
          <w:iCs/>
        </w:rPr>
        <w:t>bn</w:t>
      </w:r>
      <w:r w:rsidR="00CC2192" w:rsidRPr="00362002">
        <w:rPr>
          <w:rFonts w:ascii="Arial" w:hAnsi="Arial" w:cs="Arial"/>
          <w:iCs/>
        </w:rPr>
        <w:t xml:space="preserve"> (£0.13bn)</w:t>
      </w:r>
      <w:r w:rsidR="004A31CE" w:rsidRPr="00362002">
        <w:rPr>
          <w:rFonts w:ascii="Arial" w:hAnsi="Arial" w:cs="Arial"/>
          <w:iCs/>
        </w:rPr>
        <w:t xml:space="preserve"> </w:t>
      </w:r>
      <w:r w:rsidR="003556B4" w:rsidRPr="00362002">
        <w:rPr>
          <w:rFonts w:ascii="Arial" w:hAnsi="Arial" w:cs="Arial"/>
          <w:iCs/>
        </w:rPr>
        <w:t>was transferred on the 20 February 2013 from the</w:t>
      </w:r>
      <w:r w:rsidR="00AE26AA">
        <w:rPr>
          <w:rFonts w:ascii="Arial" w:hAnsi="Arial" w:cs="Arial"/>
          <w:iCs/>
        </w:rPr>
        <w:t xml:space="preserve"> EU</w:t>
      </w:r>
      <w:r w:rsidR="003556B4" w:rsidRPr="00362002">
        <w:rPr>
          <w:rFonts w:ascii="Arial" w:hAnsi="Arial" w:cs="Arial"/>
          <w:iCs/>
        </w:rPr>
        <w:t xml:space="preserve"> budget for the provisioning of the </w:t>
      </w:r>
      <w:r w:rsidR="008B71E2">
        <w:rPr>
          <w:rFonts w:ascii="Arial" w:hAnsi="Arial" w:cs="Arial"/>
          <w:iCs/>
        </w:rPr>
        <w:t>F</w:t>
      </w:r>
      <w:r w:rsidR="003556B4" w:rsidRPr="00362002">
        <w:rPr>
          <w:rFonts w:ascii="Arial" w:hAnsi="Arial" w:cs="Arial"/>
          <w:iCs/>
        </w:rPr>
        <w:t>und.</w:t>
      </w:r>
    </w:p>
    <w:p w:rsidR="003556B4" w:rsidRPr="0064514D" w:rsidRDefault="003556B4" w:rsidP="0064514D">
      <w:pPr>
        <w:jc w:val="both"/>
        <w:rPr>
          <w:rFonts w:ascii="Arial" w:hAnsi="Arial" w:cs="Arial"/>
          <w:iCs/>
        </w:rPr>
      </w:pPr>
    </w:p>
    <w:p w:rsidR="00186684" w:rsidRPr="00362002" w:rsidRDefault="005A3B52" w:rsidP="0064514D">
      <w:pPr>
        <w:pStyle w:val="ListParagraph"/>
        <w:numPr>
          <w:ilvl w:val="0"/>
          <w:numId w:val="20"/>
        </w:numPr>
        <w:jc w:val="both"/>
        <w:rPr>
          <w:rFonts w:ascii="Arial" w:hAnsi="Arial" w:cs="Arial"/>
          <w:iCs/>
        </w:rPr>
      </w:pPr>
      <w:r>
        <w:rPr>
          <w:rFonts w:ascii="Arial" w:hAnsi="Arial" w:cs="Arial"/>
          <w:iCs/>
        </w:rPr>
        <w:lastRenderedPageBreak/>
        <w:t>Since</w:t>
      </w:r>
      <w:r w:rsidR="00186684" w:rsidRPr="00362002">
        <w:rPr>
          <w:rFonts w:ascii="Arial" w:hAnsi="Arial" w:cs="Arial"/>
          <w:iCs/>
        </w:rPr>
        <w:t xml:space="preserve"> November 2011, the EIB has faced arrears on Syrian sovereign loans. As a consequence the EIB has made </w:t>
      </w:r>
      <w:r w:rsidR="00E83202">
        <w:rPr>
          <w:rFonts w:ascii="Arial" w:hAnsi="Arial" w:cs="Arial"/>
          <w:iCs/>
        </w:rPr>
        <w:t>four</w:t>
      </w:r>
      <w:r w:rsidR="00E83202" w:rsidRPr="00362002">
        <w:rPr>
          <w:rFonts w:ascii="Arial" w:hAnsi="Arial" w:cs="Arial"/>
          <w:iCs/>
        </w:rPr>
        <w:t xml:space="preserve"> </w:t>
      </w:r>
      <w:r w:rsidR="00186684" w:rsidRPr="00362002">
        <w:rPr>
          <w:rFonts w:ascii="Arial" w:hAnsi="Arial" w:cs="Arial"/>
          <w:iCs/>
        </w:rPr>
        <w:t xml:space="preserve">calls on the EU Guarantee Fund in 2012 </w:t>
      </w:r>
      <w:r w:rsidR="00362002" w:rsidRPr="00362002">
        <w:rPr>
          <w:rFonts w:ascii="Arial" w:hAnsi="Arial" w:cs="Arial"/>
          <w:iCs/>
        </w:rPr>
        <w:t>for a total amount of EUR 0.04</w:t>
      </w:r>
      <w:r w:rsidR="00186684" w:rsidRPr="00362002">
        <w:rPr>
          <w:rFonts w:ascii="Arial" w:hAnsi="Arial" w:cs="Arial"/>
          <w:iCs/>
        </w:rPr>
        <w:t>bn</w:t>
      </w:r>
      <w:r w:rsidR="00847FB9" w:rsidRPr="00362002">
        <w:rPr>
          <w:rFonts w:ascii="Arial" w:hAnsi="Arial" w:cs="Arial"/>
          <w:iCs/>
        </w:rPr>
        <w:t xml:space="preserve"> (£0.03bn)</w:t>
      </w:r>
      <w:r w:rsidR="00362002" w:rsidRPr="00362002">
        <w:rPr>
          <w:rFonts w:ascii="Arial" w:hAnsi="Arial" w:cs="Arial"/>
          <w:iCs/>
        </w:rPr>
        <w:t xml:space="preserve">, of which EUR </w:t>
      </w:r>
      <w:r w:rsidR="00AE26AA">
        <w:rPr>
          <w:rFonts w:ascii="Arial" w:hAnsi="Arial" w:cs="Arial"/>
          <w:iCs/>
        </w:rPr>
        <w:t>2.15 million</w:t>
      </w:r>
      <w:r w:rsidR="00847FB9" w:rsidRPr="00362002">
        <w:rPr>
          <w:rFonts w:ascii="Arial" w:hAnsi="Arial" w:cs="Arial"/>
          <w:iCs/>
        </w:rPr>
        <w:t xml:space="preserve"> (£</w:t>
      </w:r>
      <w:r w:rsidR="00AE26AA">
        <w:rPr>
          <w:rFonts w:ascii="Arial" w:hAnsi="Arial" w:cs="Arial"/>
          <w:iCs/>
        </w:rPr>
        <w:t>1.80 million</w:t>
      </w:r>
      <w:r w:rsidR="00847FB9" w:rsidRPr="00362002">
        <w:rPr>
          <w:rFonts w:ascii="Arial" w:hAnsi="Arial" w:cs="Arial"/>
          <w:iCs/>
        </w:rPr>
        <w:t>)</w:t>
      </w:r>
      <w:r w:rsidR="00186684" w:rsidRPr="00362002">
        <w:rPr>
          <w:rFonts w:ascii="Arial" w:hAnsi="Arial" w:cs="Arial"/>
          <w:iCs/>
        </w:rPr>
        <w:t xml:space="preserve"> has been recovered. The report notes that no new </w:t>
      </w:r>
      <w:r w:rsidR="00C97C51" w:rsidRPr="00362002">
        <w:rPr>
          <w:rFonts w:ascii="Arial" w:hAnsi="Arial" w:cs="Arial"/>
          <w:iCs/>
        </w:rPr>
        <w:t>financing operations have been pursued by the EIB</w:t>
      </w:r>
      <w:r>
        <w:rPr>
          <w:rFonts w:ascii="Arial" w:hAnsi="Arial" w:cs="Arial"/>
          <w:iCs/>
        </w:rPr>
        <w:t xml:space="preserve"> in Syria</w:t>
      </w:r>
      <w:r w:rsidR="00C97C51" w:rsidRPr="00362002">
        <w:rPr>
          <w:rFonts w:ascii="Arial" w:hAnsi="Arial" w:cs="Arial"/>
          <w:iCs/>
        </w:rPr>
        <w:t xml:space="preserve"> since May 2011 and all ongoing disbursements and technical assistance services to the Syrian Arab Republic have been suspended since November 2011 until further notice. </w:t>
      </w:r>
    </w:p>
    <w:p w:rsidR="00557073" w:rsidRPr="00362002" w:rsidRDefault="00557073" w:rsidP="00B301E8">
      <w:pPr>
        <w:jc w:val="both"/>
        <w:rPr>
          <w:rFonts w:ascii="Arial" w:hAnsi="Arial" w:cs="Arial"/>
          <w:iCs/>
        </w:rPr>
      </w:pPr>
    </w:p>
    <w:p w:rsidR="008F4795" w:rsidRPr="00362002" w:rsidRDefault="00C97C51" w:rsidP="0064514D">
      <w:pPr>
        <w:pStyle w:val="ListParagraph"/>
        <w:numPr>
          <w:ilvl w:val="0"/>
          <w:numId w:val="20"/>
        </w:numPr>
        <w:jc w:val="both"/>
        <w:rPr>
          <w:rFonts w:ascii="Arial" w:hAnsi="Arial" w:cs="Arial"/>
          <w:iCs/>
        </w:rPr>
      </w:pPr>
      <w:r w:rsidRPr="00362002">
        <w:rPr>
          <w:rFonts w:ascii="Arial" w:hAnsi="Arial" w:cs="Arial"/>
          <w:iCs/>
        </w:rPr>
        <w:t>The Funds liquid assets are invested in accordance with the management principles agreed between the Commission and the EIB. Accordingly, 20% of the</w:t>
      </w:r>
      <w:r w:rsidR="00002028">
        <w:rPr>
          <w:rFonts w:ascii="Arial" w:hAnsi="Arial" w:cs="Arial"/>
          <w:iCs/>
        </w:rPr>
        <w:t xml:space="preserve"> Fund must be invested in short</w:t>
      </w:r>
      <w:r w:rsidR="00002028" w:rsidRPr="00362002">
        <w:rPr>
          <w:rFonts w:ascii="Arial" w:hAnsi="Arial" w:cs="Arial"/>
          <w:iCs/>
        </w:rPr>
        <w:t>-term</w:t>
      </w:r>
      <w:r w:rsidRPr="00362002">
        <w:rPr>
          <w:rFonts w:ascii="Arial" w:hAnsi="Arial" w:cs="Arial"/>
          <w:iCs/>
        </w:rPr>
        <w:t xml:space="preserve"> investments (up to one year). </w:t>
      </w:r>
      <w:r w:rsidR="00BC398E">
        <w:rPr>
          <w:rFonts w:ascii="Arial" w:hAnsi="Arial" w:cs="Arial"/>
          <w:iCs/>
        </w:rPr>
        <w:t>In 2012 the</w:t>
      </w:r>
      <w:r w:rsidR="009A3425" w:rsidRPr="00362002">
        <w:rPr>
          <w:rFonts w:ascii="Arial" w:hAnsi="Arial" w:cs="Arial"/>
          <w:iCs/>
        </w:rPr>
        <w:t xml:space="preserve"> </w:t>
      </w:r>
      <w:r w:rsidR="00E83202">
        <w:rPr>
          <w:rFonts w:ascii="Arial" w:hAnsi="Arial" w:cs="Arial"/>
          <w:iCs/>
        </w:rPr>
        <w:t>F</w:t>
      </w:r>
      <w:r w:rsidR="009A3425" w:rsidRPr="00362002">
        <w:rPr>
          <w:rFonts w:ascii="Arial" w:hAnsi="Arial" w:cs="Arial"/>
          <w:iCs/>
        </w:rPr>
        <w:t>und delivered a</w:t>
      </w:r>
      <w:r w:rsidR="004F1B84" w:rsidRPr="00362002">
        <w:rPr>
          <w:rFonts w:ascii="Arial" w:hAnsi="Arial" w:cs="Arial"/>
          <w:iCs/>
        </w:rPr>
        <w:t>n</w:t>
      </w:r>
      <w:r w:rsidR="009A3425" w:rsidRPr="00362002">
        <w:rPr>
          <w:rFonts w:ascii="Arial" w:hAnsi="Arial" w:cs="Arial"/>
          <w:iCs/>
        </w:rPr>
        <w:t xml:space="preserve"> </w:t>
      </w:r>
      <w:r w:rsidR="004F1B84" w:rsidRPr="00362002">
        <w:rPr>
          <w:rFonts w:ascii="Arial" w:hAnsi="Arial" w:cs="Arial"/>
          <w:iCs/>
        </w:rPr>
        <w:t>absolute return</w:t>
      </w:r>
      <w:r w:rsidR="009A3425" w:rsidRPr="00362002">
        <w:rPr>
          <w:rFonts w:ascii="Arial" w:hAnsi="Arial" w:cs="Arial"/>
          <w:iCs/>
        </w:rPr>
        <w:t xml:space="preserve"> of +7.80%.</w:t>
      </w:r>
    </w:p>
    <w:p w:rsidR="00362002" w:rsidRPr="0064514D" w:rsidRDefault="00362002" w:rsidP="0064514D">
      <w:pPr>
        <w:pStyle w:val="ListParagraph"/>
        <w:ind w:left="360"/>
        <w:jc w:val="both"/>
        <w:rPr>
          <w:rFonts w:ascii="Arial" w:hAnsi="Arial" w:cs="Arial"/>
          <w:iCs/>
        </w:rPr>
      </w:pPr>
    </w:p>
    <w:p w:rsidR="0077555F" w:rsidRPr="0064514D" w:rsidRDefault="008E556F" w:rsidP="0064514D">
      <w:pPr>
        <w:pStyle w:val="ListParagraph"/>
        <w:numPr>
          <w:ilvl w:val="0"/>
          <w:numId w:val="20"/>
        </w:numPr>
        <w:jc w:val="both"/>
        <w:rPr>
          <w:rFonts w:ascii="Arial" w:hAnsi="Arial" w:cs="Arial"/>
          <w:iCs/>
        </w:rPr>
      </w:pPr>
      <w:r w:rsidRPr="0064514D">
        <w:rPr>
          <w:rFonts w:ascii="Arial" w:hAnsi="Arial" w:cs="Arial"/>
          <w:iCs/>
        </w:rPr>
        <w:t xml:space="preserve">The operations covered by the </w:t>
      </w:r>
      <w:r w:rsidR="002B3ABB" w:rsidRPr="0064514D">
        <w:rPr>
          <w:rFonts w:ascii="Arial" w:hAnsi="Arial" w:cs="Arial"/>
          <w:iCs/>
        </w:rPr>
        <w:t>Fund include the operati</w:t>
      </w:r>
      <w:r w:rsidR="001B7429" w:rsidRPr="0064514D">
        <w:rPr>
          <w:rFonts w:ascii="Arial" w:hAnsi="Arial" w:cs="Arial"/>
          <w:iCs/>
        </w:rPr>
        <w:t>ons</w:t>
      </w:r>
      <w:r w:rsidR="009F58DF" w:rsidRPr="0064514D">
        <w:rPr>
          <w:rFonts w:ascii="Arial" w:hAnsi="Arial" w:cs="Arial"/>
          <w:iCs/>
        </w:rPr>
        <w:t xml:space="preserve"> of the EIB outside the EU. The</w:t>
      </w:r>
      <w:r w:rsidR="004F1B84" w:rsidRPr="0064514D">
        <w:rPr>
          <w:rFonts w:ascii="Arial" w:hAnsi="Arial" w:cs="Arial"/>
          <w:iCs/>
        </w:rPr>
        <w:t xml:space="preserve"> </w:t>
      </w:r>
      <w:r w:rsidR="009F58DF" w:rsidRPr="0064514D">
        <w:rPr>
          <w:rFonts w:ascii="Arial" w:hAnsi="Arial" w:cs="Arial"/>
          <w:iCs/>
        </w:rPr>
        <w:t>External Mandate for the EIB is currently in the process of being discusse</w:t>
      </w:r>
      <w:r w:rsidR="003556B4" w:rsidRPr="0064514D">
        <w:rPr>
          <w:rFonts w:ascii="Arial" w:hAnsi="Arial" w:cs="Arial"/>
          <w:iCs/>
        </w:rPr>
        <w:t>d at the Council and Parliament. The outcome of these discussions will</w:t>
      </w:r>
      <w:r w:rsidR="000F2972" w:rsidRPr="0064514D">
        <w:rPr>
          <w:rFonts w:ascii="Arial" w:hAnsi="Arial" w:cs="Arial"/>
          <w:iCs/>
        </w:rPr>
        <w:t xml:space="preserve"> impact on </w:t>
      </w:r>
      <w:r w:rsidR="003556B4" w:rsidRPr="0064514D">
        <w:rPr>
          <w:rFonts w:ascii="Arial" w:hAnsi="Arial" w:cs="Arial"/>
          <w:iCs/>
        </w:rPr>
        <w:t xml:space="preserve">the amount required </w:t>
      </w:r>
      <w:r w:rsidR="00E83202">
        <w:rPr>
          <w:rFonts w:ascii="Arial" w:hAnsi="Arial" w:cs="Arial"/>
          <w:iCs/>
        </w:rPr>
        <w:t>for</w:t>
      </w:r>
      <w:r w:rsidR="003556B4" w:rsidRPr="0064514D">
        <w:rPr>
          <w:rFonts w:ascii="Arial" w:hAnsi="Arial" w:cs="Arial"/>
          <w:iCs/>
        </w:rPr>
        <w:t xml:space="preserve"> the Fund.</w:t>
      </w:r>
    </w:p>
    <w:p w:rsidR="008E556F" w:rsidRPr="00362002" w:rsidRDefault="008E556F" w:rsidP="003E12D2">
      <w:pPr>
        <w:rPr>
          <w:rFonts w:ascii="Arial" w:hAnsi="Arial" w:cs="Arial"/>
          <w:b/>
          <w:bCs/>
        </w:rPr>
      </w:pPr>
    </w:p>
    <w:p w:rsidR="0077555F" w:rsidRDefault="003E4398" w:rsidP="003E12D2">
      <w:pPr>
        <w:rPr>
          <w:rFonts w:ascii="Arial" w:hAnsi="Arial" w:cs="Arial"/>
          <w:b/>
          <w:bCs/>
        </w:rPr>
      </w:pPr>
      <w:r>
        <w:rPr>
          <w:rFonts w:ascii="Arial" w:hAnsi="Arial" w:cs="Arial"/>
          <w:b/>
          <w:bCs/>
        </w:rPr>
        <w:t>MINISTERIAL RESPONSIBILITY</w:t>
      </w:r>
    </w:p>
    <w:p w:rsidR="0077555F" w:rsidRDefault="0077555F" w:rsidP="003E12D2">
      <w:pPr>
        <w:rPr>
          <w:rFonts w:ascii="Arial" w:hAnsi="Arial" w:cs="Arial"/>
        </w:rPr>
      </w:pPr>
    </w:p>
    <w:p w:rsidR="0077555F" w:rsidRPr="00362002" w:rsidRDefault="009A3425" w:rsidP="0064514D">
      <w:pPr>
        <w:pStyle w:val="ListParagraph"/>
        <w:numPr>
          <w:ilvl w:val="0"/>
          <w:numId w:val="20"/>
        </w:numPr>
        <w:jc w:val="both"/>
        <w:rPr>
          <w:rFonts w:ascii="Arial" w:hAnsi="Arial" w:cs="Arial"/>
        </w:rPr>
      </w:pPr>
      <w:r w:rsidRPr="00362002">
        <w:rPr>
          <w:rFonts w:ascii="Arial" w:hAnsi="Arial" w:cs="Arial"/>
          <w:iCs/>
        </w:rPr>
        <w:t>The Chancellor of the Exchequer has responsibility for United Kingdom policy on European Union monetary and economic issues. The Foreign and Commonwealth Secretary is responsible for overall United Kingdom policy towards the European Union.</w:t>
      </w:r>
    </w:p>
    <w:p w:rsidR="009A3425" w:rsidRDefault="009A3425" w:rsidP="003E12D2">
      <w:pPr>
        <w:pStyle w:val="Heading1"/>
      </w:pPr>
    </w:p>
    <w:p w:rsidR="0077555F" w:rsidRPr="00362002" w:rsidRDefault="003E4398" w:rsidP="003E12D2">
      <w:pPr>
        <w:pStyle w:val="Heading1"/>
      </w:pPr>
      <w:r w:rsidRPr="00362002">
        <w:t>INTEREST OF DEVOLVED ADMINISTRATIONS</w:t>
      </w:r>
    </w:p>
    <w:p w:rsidR="002C63CD" w:rsidRPr="00362002" w:rsidRDefault="002C63CD" w:rsidP="003E12D2">
      <w:pPr>
        <w:jc w:val="both"/>
        <w:rPr>
          <w:rFonts w:ascii="Arial" w:hAnsi="Arial" w:cs="Arial"/>
        </w:rPr>
      </w:pPr>
    </w:p>
    <w:p w:rsidR="009A3425" w:rsidRPr="0064514D" w:rsidRDefault="009A3425" w:rsidP="0064514D">
      <w:pPr>
        <w:pStyle w:val="ListParagraph"/>
        <w:numPr>
          <w:ilvl w:val="0"/>
          <w:numId w:val="20"/>
        </w:numPr>
        <w:jc w:val="both"/>
        <w:rPr>
          <w:rFonts w:ascii="Arial" w:hAnsi="Arial" w:cs="Arial"/>
          <w:iCs/>
        </w:rPr>
      </w:pPr>
      <w:r w:rsidRPr="0064514D">
        <w:rPr>
          <w:rFonts w:ascii="Arial" w:hAnsi="Arial" w:cs="Arial"/>
          <w:iCs/>
        </w:rPr>
        <w:t>EU budget policy is a reserved matter under the UK's devolution settlements and no devolved administration interests arise. The devolved administrations have therefore not been consulted in the preparation of this EM.</w:t>
      </w:r>
    </w:p>
    <w:p w:rsidR="003E12D2" w:rsidRPr="00362002" w:rsidRDefault="003E12D2" w:rsidP="003E12D2">
      <w:pPr>
        <w:jc w:val="both"/>
        <w:rPr>
          <w:rFonts w:ascii="Arial" w:hAnsi="Arial" w:cs="Arial"/>
          <w:color w:val="FF0000"/>
        </w:rPr>
      </w:pPr>
    </w:p>
    <w:p w:rsidR="0077555F" w:rsidRPr="00362002" w:rsidRDefault="003E4398" w:rsidP="00F91563">
      <w:pPr>
        <w:pStyle w:val="Heading1"/>
      </w:pPr>
      <w:r w:rsidRPr="00362002">
        <w:t>LEGAL AND PROCEDURAL ISSUES</w:t>
      </w:r>
    </w:p>
    <w:p w:rsidR="002C63CD" w:rsidRPr="00362002" w:rsidRDefault="002C63CD" w:rsidP="003E12D2">
      <w:pPr>
        <w:rPr>
          <w:rFonts w:ascii="Arial" w:hAnsi="Arial" w:cs="Arial"/>
        </w:rPr>
      </w:pPr>
    </w:p>
    <w:p w:rsidR="0077555F" w:rsidRPr="00362002" w:rsidRDefault="003E4398" w:rsidP="0064514D">
      <w:pPr>
        <w:numPr>
          <w:ilvl w:val="0"/>
          <w:numId w:val="11"/>
        </w:numPr>
        <w:tabs>
          <w:tab w:val="num" w:pos="2700"/>
        </w:tabs>
        <w:rPr>
          <w:rFonts w:ascii="Arial" w:hAnsi="Arial" w:cs="Arial"/>
          <w:u w:val="single"/>
        </w:rPr>
      </w:pPr>
      <w:r w:rsidRPr="00362002">
        <w:rPr>
          <w:rFonts w:ascii="Arial" w:hAnsi="Arial" w:cs="Arial"/>
          <w:u w:val="single"/>
        </w:rPr>
        <w:t>Legal basis</w:t>
      </w:r>
    </w:p>
    <w:p w:rsidR="0077555F" w:rsidRPr="00362002" w:rsidRDefault="0077555F" w:rsidP="003E12D2">
      <w:pPr>
        <w:rPr>
          <w:rFonts w:ascii="Arial" w:hAnsi="Arial" w:cs="Arial"/>
        </w:rPr>
      </w:pPr>
    </w:p>
    <w:p w:rsidR="0077555F" w:rsidRPr="0064514D" w:rsidRDefault="009A3425" w:rsidP="0064514D">
      <w:pPr>
        <w:pStyle w:val="ListParagraph"/>
        <w:numPr>
          <w:ilvl w:val="0"/>
          <w:numId w:val="20"/>
        </w:numPr>
        <w:jc w:val="both"/>
        <w:rPr>
          <w:rFonts w:ascii="Arial" w:hAnsi="Arial" w:cs="Arial"/>
          <w:iCs/>
        </w:rPr>
      </w:pPr>
      <w:r w:rsidRPr="0064514D">
        <w:rPr>
          <w:rFonts w:ascii="Arial" w:hAnsi="Arial" w:cs="Arial"/>
          <w:iCs/>
        </w:rPr>
        <w:t>Article</w:t>
      </w:r>
      <w:r w:rsidRPr="00362002">
        <w:rPr>
          <w:rFonts w:ascii="Arial" w:hAnsi="Arial" w:cs="Arial"/>
          <w:iCs/>
        </w:rPr>
        <w:t xml:space="preserve"> 8 of Council Regulation (EC, Euratom) No</w:t>
      </w:r>
      <w:r w:rsidR="00E83202">
        <w:rPr>
          <w:rFonts w:ascii="Arial" w:hAnsi="Arial" w:cs="Arial"/>
          <w:iCs/>
        </w:rPr>
        <w:t>.</w:t>
      </w:r>
      <w:r w:rsidRPr="00362002">
        <w:rPr>
          <w:rFonts w:ascii="Arial" w:hAnsi="Arial" w:cs="Arial"/>
          <w:iCs/>
        </w:rPr>
        <w:t xml:space="preserve"> 480/2009 of May 2009</w:t>
      </w:r>
      <w:r w:rsidR="00677761" w:rsidRPr="00EE17F6">
        <w:rPr>
          <w:rFonts w:ascii="Arial" w:hAnsi="Arial" w:cs="Arial"/>
          <w:iCs/>
        </w:rPr>
        <w:t xml:space="preserve">, in conjunction with Article 352 of the Treaty on the Functioning of the European Union and Article </w:t>
      </w:r>
      <w:r w:rsidR="00386D10" w:rsidRPr="00EE17F6">
        <w:rPr>
          <w:rFonts w:ascii="Arial" w:hAnsi="Arial" w:cs="Arial"/>
          <w:iCs/>
        </w:rPr>
        <w:t>203</w:t>
      </w:r>
      <w:r w:rsidR="00677761" w:rsidRPr="00EE17F6">
        <w:rPr>
          <w:rFonts w:ascii="Arial" w:hAnsi="Arial" w:cs="Arial"/>
          <w:iCs/>
        </w:rPr>
        <w:t xml:space="preserve"> of the Treaty establishing the European Atomic Energy Community</w:t>
      </w:r>
      <w:r w:rsidR="00386D10" w:rsidRPr="00EE17F6">
        <w:rPr>
          <w:rFonts w:ascii="Arial" w:hAnsi="Arial" w:cs="Arial"/>
          <w:iCs/>
        </w:rPr>
        <w:t>.</w:t>
      </w:r>
    </w:p>
    <w:p w:rsidR="009A3425" w:rsidRPr="00362002" w:rsidRDefault="009A3425" w:rsidP="003E12D2">
      <w:pPr>
        <w:ind w:left="360"/>
        <w:rPr>
          <w:rFonts w:ascii="Arial" w:hAnsi="Arial" w:cs="Arial"/>
        </w:rPr>
      </w:pPr>
    </w:p>
    <w:p w:rsidR="0077555F" w:rsidRDefault="003E4398" w:rsidP="0064514D">
      <w:pPr>
        <w:numPr>
          <w:ilvl w:val="0"/>
          <w:numId w:val="11"/>
        </w:numPr>
        <w:tabs>
          <w:tab w:val="num" w:pos="2340"/>
        </w:tabs>
        <w:rPr>
          <w:rFonts w:ascii="Arial" w:hAnsi="Arial" w:cs="Arial"/>
        </w:rPr>
      </w:pPr>
      <w:r>
        <w:rPr>
          <w:rFonts w:ascii="Arial" w:hAnsi="Arial" w:cs="Arial"/>
          <w:u w:val="single"/>
        </w:rPr>
        <w:t>Legislative procedure</w:t>
      </w:r>
    </w:p>
    <w:p w:rsidR="0077555F" w:rsidRDefault="0077555F" w:rsidP="003E12D2">
      <w:pPr>
        <w:rPr>
          <w:rFonts w:ascii="Arial" w:hAnsi="Arial" w:cs="Arial"/>
        </w:rPr>
      </w:pPr>
    </w:p>
    <w:p w:rsidR="0077555F" w:rsidRDefault="009A3425" w:rsidP="0064514D">
      <w:pPr>
        <w:pStyle w:val="ListParagraph"/>
        <w:numPr>
          <w:ilvl w:val="0"/>
          <w:numId w:val="20"/>
        </w:numPr>
        <w:jc w:val="both"/>
        <w:rPr>
          <w:rFonts w:ascii="Arial" w:hAnsi="Arial" w:cs="Arial"/>
        </w:rPr>
      </w:pPr>
      <w:r w:rsidRPr="00C94018">
        <w:rPr>
          <w:rFonts w:ascii="Arial" w:hAnsi="Arial" w:cs="Arial"/>
          <w:iCs/>
        </w:rPr>
        <w:t>Not applicable: this is</w:t>
      </w:r>
      <w:r>
        <w:rPr>
          <w:rFonts w:ascii="Arial" w:hAnsi="Arial" w:cs="Arial"/>
          <w:iCs/>
        </w:rPr>
        <w:t xml:space="preserve"> not a proposal for legislation</w:t>
      </w:r>
      <w:r w:rsidR="0008136D">
        <w:rPr>
          <w:rFonts w:ascii="Arial" w:hAnsi="Arial" w:cs="Arial"/>
          <w:iCs/>
        </w:rPr>
        <w:t>.</w:t>
      </w:r>
    </w:p>
    <w:p w:rsidR="009A3425" w:rsidRDefault="009A3425" w:rsidP="003E12D2">
      <w:pPr>
        <w:ind w:left="360"/>
        <w:rPr>
          <w:rFonts w:ascii="Arial" w:hAnsi="Arial" w:cs="Arial"/>
        </w:rPr>
      </w:pPr>
    </w:p>
    <w:p w:rsidR="0064514D" w:rsidRDefault="0064514D" w:rsidP="003E12D2">
      <w:pPr>
        <w:ind w:left="360"/>
        <w:rPr>
          <w:rFonts w:ascii="Arial" w:hAnsi="Arial" w:cs="Arial"/>
        </w:rPr>
      </w:pPr>
    </w:p>
    <w:p w:rsidR="008B71E2" w:rsidRDefault="008B71E2" w:rsidP="003E12D2">
      <w:pPr>
        <w:ind w:left="360"/>
        <w:rPr>
          <w:rFonts w:ascii="Arial" w:hAnsi="Arial" w:cs="Arial"/>
        </w:rPr>
      </w:pPr>
    </w:p>
    <w:p w:rsidR="0064514D" w:rsidRDefault="0064514D" w:rsidP="003E12D2">
      <w:pPr>
        <w:ind w:left="360"/>
        <w:rPr>
          <w:rFonts w:ascii="Arial" w:hAnsi="Arial" w:cs="Arial"/>
        </w:rPr>
      </w:pPr>
    </w:p>
    <w:p w:rsidR="0064514D" w:rsidRDefault="0064514D" w:rsidP="003E12D2">
      <w:pPr>
        <w:ind w:left="360"/>
        <w:rPr>
          <w:rFonts w:ascii="Arial" w:hAnsi="Arial" w:cs="Arial"/>
        </w:rPr>
      </w:pPr>
    </w:p>
    <w:p w:rsidR="0077555F" w:rsidRDefault="003E4398" w:rsidP="0064514D">
      <w:pPr>
        <w:numPr>
          <w:ilvl w:val="0"/>
          <w:numId w:val="11"/>
        </w:numPr>
        <w:tabs>
          <w:tab w:val="num" w:pos="2340"/>
        </w:tabs>
        <w:rPr>
          <w:rFonts w:ascii="Arial" w:hAnsi="Arial" w:cs="Arial"/>
        </w:rPr>
      </w:pPr>
      <w:r>
        <w:rPr>
          <w:rFonts w:ascii="Arial" w:hAnsi="Arial" w:cs="Arial"/>
          <w:u w:val="single"/>
        </w:rPr>
        <w:lastRenderedPageBreak/>
        <w:t>Voting procedure</w:t>
      </w:r>
    </w:p>
    <w:p w:rsidR="0077555F" w:rsidRDefault="0077555F" w:rsidP="003E12D2">
      <w:pPr>
        <w:rPr>
          <w:rFonts w:ascii="Arial" w:hAnsi="Arial" w:cs="Arial"/>
        </w:rPr>
      </w:pPr>
    </w:p>
    <w:p w:rsidR="0077555F" w:rsidRDefault="009A3425" w:rsidP="0064514D">
      <w:pPr>
        <w:pStyle w:val="ListParagraph"/>
        <w:numPr>
          <w:ilvl w:val="0"/>
          <w:numId w:val="20"/>
        </w:numPr>
        <w:jc w:val="both"/>
        <w:rPr>
          <w:rFonts w:ascii="Arial" w:hAnsi="Arial" w:cs="Arial"/>
        </w:rPr>
      </w:pPr>
      <w:r w:rsidRPr="00C94018">
        <w:rPr>
          <w:rFonts w:ascii="Arial" w:hAnsi="Arial" w:cs="Arial"/>
          <w:iCs/>
        </w:rPr>
        <w:t>Not applicable: this is</w:t>
      </w:r>
      <w:r>
        <w:rPr>
          <w:rFonts w:ascii="Arial" w:hAnsi="Arial" w:cs="Arial"/>
          <w:iCs/>
        </w:rPr>
        <w:t xml:space="preserve"> not a proposal for legislation</w:t>
      </w:r>
      <w:r w:rsidRPr="00EA0544">
        <w:rPr>
          <w:rFonts w:ascii="Arial" w:hAnsi="Arial" w:cs="Arial"/>
          <w:iCs/>
        </w:rPr>
        <w:t>.</w:t>
      </w:r>
    </w:p>
    <w:p w:rsidR="009A3425" w:rsidRDefault="009A3425" w:rsidP="003E12D2">
      <w:pPr>
        <w:ind w:left="360"/>
        <w:rPr>
          <w:rFonts w:ascii="Arial" w:hAnsi="Arial" w:cs="Arial"/>
        </w:rPr>
      </w:pPr>
    </w:p>
    <w:p w:rsidR="0077555F" w:rsidRDefault="0064514D" w:rsidP="0064514D">
      <w:pPr>
        <w:numPr>
          <w:ilvl w:val="0"/>
          <w:numId w:val="11"/>
        </w:numPr>
        <w:tabs>
          <w:tab w:val="num" w:pos="2340"/>
        </w:tabs>
        <w:rPr>
          <w:rFonts w:ascii="Arial" w:hAnsi="Arial" w:cs="Arial"/>
        </w:rPr>
      </w:pPr>
      <w:r>
        <w:rPr>
          <w:rFonts w:ascii="Arial" w:hAnsi="Arial" w:cs="Arial"/>
          <w:u w:val="single"/>
        </w:rPr>
        <w:t>I</w:t>
      </w:r>
      <w:r w:rsidR="003E4398">
        <w:rPr>
          <w:rFonts w:ascii="Arial" w:hAnsi="Arial" w:cs="Arial"/>
          <w:u w:val="single"/>
        </w:rPr>
        <w:t>mpact on United Kingdom Law</w:t>
      </w:r>
      <w:r w:rsidR="003E4398">
        <w:rPr>
          <w:rFonts w:ascii="Arial" w:hAnsi="Arial" w:cs="Arial"/>
        </w:rPr>
        <w:t xml:space="preserve"> </w:t>
      </w:r>
    </w:p>
    <w:p w:rsidR="0077555F" w:rsidRDefault="0077555F" w:rsidP="003E12D2">
      <w:pPr>
        <w:rPr>
          <w:rFonts w:ascii="Arial" w:hAnsi="Arial" w:cs="Arial"/>
        </w:rPr>
      </w:pPr>
    </w:p>
    <w:p w:rsidR="0077555F" w:rsidRDefault="009A3425" w:rsidP="0064514D">
      <w:pPr>
        <w:pStyle w:val="ListParagraph"/>
        <w:numPr>
          <w:ilvl w:val="0"/>
          <w:numId w:val="20"/>
        </w:numPr>
        <w:jc w:val="both"/>
        <w:rPr>
          <w:rFonts w:ascii="Arial" w:hAnsi="Arial" w:cs="Arial"/>
        </w:rPr>
      </w:pPr>
      <w:r w:rsidRPr="00C94018">
        <w:rPr>
          <w:rFonts w:ascii="Arial" w:hAnsi="Arial" w:cs="Arial"/>
          <w:iCs/>
        </w:rPr>
        <w:t>Not applicable: this is</w:t>
      </w:r>
      <w:r>
        <w:rPr>
          <w:rFonts w:ascii="Arial" w:hAnsi="Arial" w:cs="Arial"/>
          <w:iCs/>
        </w:rPr>
        <w:t xml:space="preserve"> not a proposal for legislation</w:t>
      </w:r>
    </w:p>
    <w:p w:rsidR="00E6090E" w:rsidRDefault="00E6090E" w:rsidP="003E12D2">
      <w:pPr>
        <w:ind w:left="360"/>
        <w:rPr>
          <w:rFonts w:ascii="Arial" w:hAnsi="Arial" w:cs="Arial"/>
        </w:rPr>
      </w:pPr>
    </w:p>
    <w:p w:rsidR="0077555F" w:rsidRDefault="003E4398" w:rsidP="0064514D">
      <w:pPr>
        <w:numPr>
          <w:ilvl w:val="0"/>
          <w:numId w:val="11"/>
        </w:numPr>
        <w:tabs>
          <w:tab w:val="num" w:pos="2340"/>
        </w:tabs>
        <w:rPr>
          <w:rFonts w:ascii="Arial" w:hAnsi="Arial" w:cs="Arial"/>
        </w:rPr>
      </w:pPr>
      <w:r>
        <w:rPr>
          <w:rFonts w:ascii="Arial" w:hAnsi="Arial" w:cs="Arial"/>
          <w:u w:val="single"/>
        </w:rPr>
        <w:t>Application to Gibraltar</w:t>
      </w:r>
    </w:p>
    <w:p w:rsidR="0077555F" w:rsidRDefault="0077555F" w:rsidP="003E12D2">
      <w:pPr>
        <w:rPr>
          <w:rFonts w:ascii="Arial" w:hAnsi="Arial" w:cs="Arial"/>
        </w:rPr>
      </w:pPr>
    </w:p>
    <w:p w:rsidR="0077555F" w:rsidRDefault="009A3425" w:rsidP="0064514D">
      <w:pPr>
        <w:pStyle w:val="ListParagraph"/>
        <w:numPr>
          <w:ilvl w:val="0"/>
          <w:numId w:val="20"/>
        </w:numPr>
        <w:jc w:val="both"/>
        <w:rPr>
          <w:rFonts w:ascii="Arial" w:hAnsi="Arial" w:cs="Arial"/>
          <w:i/>
          <w:iCs/>
        </w:rPr>
      </w:pPr>
      <w:r w:rsidRPr="00C94018">
        <w:rPr>
          <w:rFonts w:ascii="Arial" w:hAnsi="Arial" w:cs="Arial"/>
          <w:iCs/>
        </w:rPr>
        <w:t>Not applicable: this is not a proposal for legislation</w:t>
      </w:r>
      <w:r>
        <w:rPr>
          <w:rFonts w:ascii="Arial" w:hAnsi="Arial" w:cs="Arial"/>
          <w:iCs/>
        </w:rPr>
        <w:t>.</w:t>
      </w:r>
    </w:p>
    <w:p w:rsidR="009A3425" w:rsidRDefault="009A3425" w:rsidP="003E12D2">
      <w:pPr>
        <w:ind w:left="360"/>
        <w:rPr>
          <w:rFonts w:ascii="Arial" w:hAnsi="Arial" w:cs="Arial"/>
        </w:rPr>
      </w:pPr>
    </w:p>
    <w:p w:rsidR="0077555F" w:rsidRDefault="003E4398" w:rsidP="0064514D">
      <w:pPr>
        <w:numPr>
          <w:ilvl w:val="0"/>
          <w:numId w:val="11"/>
        </w:numPr>
        <w:tabs>
          <w:tab w:val="num" w:pos="2340"/>
        </w:tabs>
        <w:rPr>
          <w:rFonts w:ascii="Arial" w:hAnsi="Arial" w:cs="Arial"/>
        </w:rPr>
      </w:pPr>
      <w:r w:rsidRPr="0064514D">
        <w:rPr>
          <w:rFonts w:ascii="Arial" w:hAnsi="Arial" w:cs="Arial"/>
          <w:u w:val="single"/>
        </w:rPr>
        <w:t>Analysis</w:t>
      </w:r>
      <w:r>
        <w:rPr>
          <w:rFonts w:ascii="Arial" w:hAnsi="Arial" w:cs="Arial"/>
          <w:u w:val="single"/>
          <w:lang w:val="en-US"/>
        </w:rPr>
        <w:t xml:space="preserve"> of Fundamental Rights Compliance</w:t>
      </w:r>
    </w:p>
    <w:p w:rsidR="0077555F" w:rsidRDefault="0077555F" w:rsidP="003E12D2">
      <w:pPr>
        <w:rPr>
          <w:rFonts w:ascii="Arial" w:hAnsi="Arial" w:cs="Arial"/>
        </w:rPr>
      </w:pPr>
    </w:p>
    <w:p w:rsidR="0077555F" w:rsidRPr="00B15D81" w:rsidRDefault="009A3425" w:rsidP="0064514D">
      <w:pPr>
        <w:pStyle w:val="ListParagraph"/>
        <w:numPr>
          <w:ilvl w:val="0"/>
          <w:numId w:val="20"/>
        </w:numPr>
        <w:jc w:val="both"/>
        <w:rPr>
          <w:rFonts w:ascii="Arial" w:hAnsi="Arial" w:cs="Arial"/>
          <w:iCs/>
          <w:color w:val="FF0000"/>
          <w:lang w:val="en-US"/>
        </w:rPr>
      </w:pPr>
      <w:r w:rsidRPr="00C94018">
        <w:rPr>
          <w:rFonts w:ascii="Arial" w:hAnsi="Arial" w:cs="Arial"/>
          <w:iCs/>
        </w:rPr>
        <w:t>Not applicable: this is not a proposal for legislation</w:t>
      </w:r>
      <w:r w:rsidR="00F91563">
        <w:rPr>
          <w:rFonts w:ascii="Arial" w:hAnsi="Arial" w:cs="Arial"/>
          <w:iCs/>
        </w:rPr>
        <w:t>.</w:t>
      </w:r>
    </w:p>
    <w:p w:rsidR="0077555F" w:rsidRDefault="0077555F" w:rsidP="003E12D2">
      <w:pPr>
        <w:rPr>
          <w:rFonts w:ascii="Arial" w:hAnsi="Arial" w:cs="Arial"/>
        </w:rPr>
      </w:pPr>
    </w:p>
    <w:p w:rsidR="0077555F" w:rsidRDefault="003E4398" w:rsidP="003E12D2">
      <w:pPr>
        <w:rPr>
          <w:rFonts w:ascii="Arial" w:hAnsi="Arial" w:cs="Arial"/>
          <w:b/>
          <w:bCs/>
        </w:rPr>
      </w:pPr>
      <w:r>
        <w:rPr>
          <w:rFonts w:ascii="Arial" w:hAnsi="Arial" w:cs="Arial"/>
          <w:b/>
          <w:bCs/>
        </w:rPr>
        <w:t>APPLICATION TO THE EUROPEAN ECONOMIC AREA</w:t>
      </w:r>
    </w:p>
    <w:p w:rsidR="0077555F" w:rsidRDefault="0077555F" w:rsidP="003E12D2">
      <w:pPr>
        <w:pStyle w:val="NormalWeb"/>
        <w:spacing w:before="0" w:beforeAutospacing="0" w:after="0" w:afterAutospacing="0"/>
        <w:rPr>
          <w:rFonts w:ascii="Arial" w:hAnsi="Arial" w:cs="Arial"/>
          <w:lang w:val="en-GB"/>
        </w:rPr>
      </w:pPr>
    </w:p>
    <w:p w:rsidR="0077555F" w:rsidRDefault="00F91563" w:rsidP="0064514D">
      <w:pPr>
        <w:pStyle w:val="ListParagraph"/>
        <w:numPr>
          <w:ilvl w:val="0"/>
          <w:numId w:val="20"/>
        </w:numPr>
        <w:jc w:val="both"/>
        <w:rPr>
          <w:rFonts w:ascii="Arial" w:hAnsi="Arial" w:cs="Arial"/>
          <w:b/>
          <w:bCs/>
        </w:rPr>
      </w:pPr>
      <w:r w:rsidRPr="0022652D">
        <w:rPr>
          <w:rFonts w:ascii="Arial" w:hAnsi="Arial" w:cs="Arial"/>
          <w:iCs/>
        </w:rPr>
        <w:t>Not applicable</w:t>
      </w:r>
      <w:r>
        <w:rPr>
          <w:rFonts w:ascii="Arial" w:hAnsi="Arial" w:cs="Arial"/>
          <w:iCs/>
        </w:rPr>
        <w:t>.</w:t>
      </w:r>
    </w:p>
    <w:p w:rsidR="00F91563" w:rsidRDefault="00F91563" w:rsidP="003E12D2">
      <w:pPr>
        <w:rPr>
          <w:rFonts w:ascii="Arial" w:hAnsi="Arial" w:cs="Arial"/>
          <w:b/>
          <w:bCs/>
        </w:rPr>
      </w:pPr>
    </w:p>
    <w:p w:rsidR="0077555F" w:rsidRDefault="003E4398" w:rsidP="003E12D2">
      <w:pPr>
        <w:rPr>
          <w:rFonts w:ascii="Arial" w:hAnsi="Arial" w:cs="Arial"/>
          <w:b/>
          <w:bCs/>
        </w:rPr>
      </w:pPr>
      <w:r>
        <w:rPr>
          <w:rFonts w:ascii="Arial" w:hAnsi="Arial" w:cs="Arial"/>
          <w:b/>
          <w:bCs/>
        </w:rPr>
        <w:t>SUBSIDIARITY</w:t>
      </w:r>
    </w:p>
    <w:p w:rsidR="0077555F" w:rsidRDefault="0077555F" w:rsidP="003E12D2">
      <w:pPr>
        <w:pStyle w:val="NormalWeb"/>
        <w:spacing w:before="0" w:beforeAutospacing="0" w:after="0" w:afterAutospacing="0"/>
        <w:rPr>
          <w:rFonts w:ascii="Arial" w:hAnsi="Arial" w:cs="Arial"/>
          <w:lang w:val="en-GB"/>
        </w:rPr>
      </w:pPr>
    </w:p>
    <w:p w:rsidR="00EB0219" w:rsidRPr="00F91563" w:rsidRDefault="00F91563" w:rsidP="0064514D">
      <w:pPr>
        <w:pStyle w:val="ListParagraph"/>
        <w:numPr>
          <w:ilvl w:val="0"/>
          <w:numId w:val="20"/>
        </w:numPr>
        <w:jc w:val="both"/>
        <w:rPr>
          <w:rFonts w:ascii="Arial" w:hAnsi="Arial" w:cs="Arial"/>
          <w:iCs/>
        </w:rPr>
      </w:pPr>
      <w:r w:rsidRPr="00F91563">
        <w:rPr>
          <w:rFonts w:ascii="Arial" w:hAnsi="Arial" w:cs="Arial"/>
          <w:iCs/>
        </w:rPr>
        <w:t xml:space="preserve">No </w:t>
      </w:r>
      <w:r w:rsidR="0008136D">
        <w:rPr>
          <w:rFonts w:ascii="Arial" w:hAnsi="Arial" w:cs="Arial"/>
          <w:iCs/>
        </w:rPr>
        <w:t xml:space="preserve">subsidiarity </w:t>
      </w:r>
      <w:r w:rsidRPr="00F91563">
        <w:rPr>
          <w:rFonts w:ascii="Arial" w:hAnsi="Arial" w:cs="Arial"/>
          <w:iCs/>
        </w:rPr>
        <w:t>issues arise</w:t>
      </w:r>
      <w:r w:rsidR="0008136D">
        <w:rPr>
          <w:rFonts w:ascii="Arial" w:hAnsi="Arial" w:cs="Arial"/>
          <w:iCs/>
        </w:rPr>
        <w:t>.</w:t>
      </w:r>
    </w:p>
    <w:p w:rsidR="0077555F" w:rsidRPr="00703AAD" w:rsidRDefault="0077555F" w:rsidP="003E12D2">
      <w:pPr>
        <w:pStyle w:val="NormalWeb"/>
        <w:spacing w:before="0" w:beforeAutospacing="0" w:after="0" w:afterAutospacing="0"/>
        <w:rPr>
          <w:rFonts w:ascii="Arial" w:hAnsi="Arial" w:cs="Arial"/>
          <w:color w:val="E36C0A" w:themeColor="accent6" w:themeShade="BF"/>
          <w:lang w:val="en-GB"/>
        </w:rPr>
      </w:pPr>
    </w:p>
    <w:p w:rsidR="0077555F" w:rsidRDefault="003E4398" w:rsidP="003E12D2">
      <w:pPr>
        <w:rPr>
          <w:rFonts w:ascii="Arial" w:hAnsi="Arial" w:cs="Arial"/>
          <w:b/>
          <w:bCs/>
        </w:rPr>
      </w:pPr>
      <w:r>
        <w:rPr>
          <w:rFonts w:ascii="Arial" w:hAnsi="Arial" w:cs="Arial"/>
          <w:b/>
          <w:bCs/>
        </w:rPr>
        <w:t>POLICY IMPLICATIONS</w:t>
      </w:r>
    </w:p>
    <w:p w:rsidR="0064514D" w:rsidRDefault="0064514D" w:rsidP="003E12D2">
      <w:pPr>
        <w:rPr>
          <w:rFonts w:ascii="Arial" w:hAnsi="Arial" w:cs="Arial"/>
          <w:b/>
          <w:bCs/>
        </w:rPr>
      </w:pPr>
    </w:p>
    <w:p w:rsidR="00C334F6" w:rsidRPr="005472D1" w:rsidRDefault="00C334F6" w:rsidP="005472D1">
      <w:pPr>
        <w:pStyle w:val="ListParagraph"/>
        <w:numPr>
          <w:ilvl w:val="0"/>
          <w:numId w:val="20"/>
        </w:numPr>
        <w:jc w:val="both"/>
        <w:rPr>
          <w:rFonts w:ascii="Arial" w:hAnsi="Arial" w:cs="Arial"/>
          <w:iCs/>
        </w:rPr>
      </w:pPr>
      <w:r w:rsidRPr="005472D1">
        <w:rPr>
          <w:rFonts w:ascii="Arial" w:hAnsi="Arial" w:cs="Arial"/>
          <w:iCs/>
        </w:rPr>
        <w:t xml:space="preserve">The Fund helps to manage some risks associated with borrowing and lending activities undertaken by the EU and the EIB. The Government </w:t>
      </w:r>
      <w:r w:rsidR="005132F6">
        <w:rPr>
          <w:rFonts w:ascii="Arial" w:hAnsi="Arial" w:cs="Arial"/>
          <w:iCs/>
        </w:rPr>
        <w:t>notes</w:t>
      </w:r>
      <w:r w:rsidRPr="005472D1">
        <w:rPr>
          <w:rFonts w:ascii="Arial" w:hAnsi="Arial" w:cs="Arial"/>
          <w:iCs/>
        </w:rPr>
        <w:t xml:space="preserve"> this update on the position and management of the Fund at 31 December 2012</w:t>
      </w:r>
      <w:r w:rsidR="0064514D" w:rsidRPr="005472D1">
        <w:rPr>
          <w:rFonts w:ascii="Arial" w:hAnsi="Arial" w:cs="Arial"/>
          <w:iCs/>
        </w:rPr>
        <w:t xml:space="preserve">. The </w:t>
      </w:r>
      <w:r w:rsidR="00C3160F">
        <w:rPr>
          <w:rFonts w:ascii="Arial" w:hAnsi="Arial" w:cs="Arial"/>
          <w:iCs/>
        </w:rPr>
        <w:t>report</w:t>
      </w:r>
      <w:r w:rsidRPr="005472D1">
        <w:rPr>
          <w:rFonts w:ascii="Arial" w:hAnsi="Arial" w:cs="Arial"/>
          <w:iCs/>
        </w:rPr>
        <w:t xml:space="preserve"> </w:t>
      </w:r>
      <w:r w:rsidR="00BC398E" w:rsidRPr="005472D1">
        <w:rPr>
          <w:rFonts w:ascii="Arial" w:hAnsi="Arial" w:cs="Arial"/>
          <w:iCs/>
        </w:rPr>
        <w:t>is a</w:t>
      </w:r>
      <w:r w:rsidR="005132F6">
        <w:rPr>
          <w:rFonts w:ascii="Arial" w:hAnsi="Arial" w:cs="Arial"/>
          <w:iCs/>
        </w:rPr>
        <w:t>n important</w:t>
      </w:r>
      <w:r w:rsidR="00BC398E" w:rsidRPr="005472D1">
        <w:rPr>
          <w:rFonts w:ascii="Arial" w:hAnsi="Arial" w:cs="Arial"/>
          <w:iCs/>
        </w:rPr>
        <w:t xml:space="preserve"> contribution</w:t>
      </w:r>
      <w:r w:rsidRPr="005472D1">
        <w:rPr>
          <w:rFonts w:ascii="Arial" w:hAnsi="Arial" w:cs="Arial"/>
          <w:iCs/>
        </w:rPr>
        <w:t xml:space="preserve"> to the transparent operation and proper scrutiny of the Fund’s activities. </w:t>
      </w:r>
    </w:p>
    <w:p w:rsidR="0064514D" w:rsidRPr="00D9066E" w:rsidRDefault="0064514D" w:rsidP="0064514D">
      <w:pPr>
        <w:pStyle w:val="ListParagraph"/>
        <w:ind w:left="360"/>
        <w:jc w:val="both"/>
        <w:rPr>
          <w:rFonts w:ascii="Arial" w:hAnsi="Arial" w:cs="Arial"/>
          <w:iCs/>
        </w:rPr>
      </w:pPr>
    </w:p>
    <w:p w:rsidR="0077555F" w:rsidRPr="0064514D" w:rsidRDefault="00C334F6" w:rsidP="0064514D">
      <w:pPr>
        <w:pStyle w:val="ListParagraph"/>
        <w:numPr>
          <w:ilvl w:val="0"/>
          <w:numId w:val="20"/>
        </w:numPr>
        <w:jc w:val="both"/>
        <w:rPr>
          <w:rFonts w:ascii="Arial" w:hAnsi="Arial" w:cs="Arial"/>
          <w:iCs/>
        </w:rPr>
      </w:pPr>
      <w:r w:rsidRPr="00D9066E">
        <w:rPr>
          <w:rFonts w:ascii="Arial" w:hAnsi="Arial" w:cs="Arial"/>
          <w:iCs/>
        </w:rPr>
        <w:t>The Government will continue to monitor the operation of the Fund, in order to ensure sound financial management</w:t>
      </w:r>
      <w:r w:rsidR="00BC398E">
        <w:rPr>
          <w:rFonts w:ascii="Arial" w:hAnsi="Arial" w:cs="Arial"/>
          <w:iCs/>
        </w:rPr>
        <w:t>.</w:t>
      </w:r>
    </w:p>
    <w:p w:rsidR="00C334F6" w:rsidRPr="00D9066E" w:rsidRDefault="00C334F6" w:rsidP="003E12D2">
      <w:pPr>
        <w:rPr>
          <w:rFonts w:ascii="Arial" w:hAnsi="Arial" w:cs="Arial"/>
          <w:b/>
          <w:bCs/>
        </w:rPr>
      </w:pPr>
    </w:p>
    <w:p w:rsidR="0077555F" w:rsidRPr="00D9066E" w:rsidRDefault="003E4398" w:rsidP="003E12D2">
      <w:pPr>
        <w:rPr>
          <w:rFonts w:ascii="Arial" w:hAnsi="Arial" w:cs="Arial"/>
          <w:b/>
          <w:bCs/>
        </w:rPr>
      </w:pPr>
      <w:r w:rsidRPr="00D9066E">
        <w:rPr>
          <w:rFonts w:ascii="Arial" w:hAnsi="Arial" w:cs="Arial"/>
          <w:b/>
          <w:bCs/>
        </w:rPr>
        <w:t>REGULATORY IMPACT ASSESSMENT</w:t>
      </w:r>
    </w:p>
    <w:p w:rsidR="00502220" w:rsidRPr="00D9066E" w:rsidRDefault="00502220" w:rsidP="003E12D2">
      <w:pPr>
        <w:pStyle w:val="NormalWeb"/>
        <w:spacing w:before="0" w:beforeAutospacing="0" w:after="0" w:afterAutospacing="0"/>
        <w:rPr>
          <w:rFonts w:ascii="Arial" w:hAnsi="Arial" w:cs="Arial"/>
          <w:lang w:val="en-GB"/>
        </w:rPr>
      </w:pPr>
    </w:p>
    <w:p w:rsidR="00F91563" w:rsidRPr="00FA532F" w:rsidRDefault="00F91563" w:rsidP="0064514D">
      <w:pPr>
        <w:pStyle w:val="ListParagraph"/>
        <w:numPr>
          <w:ilvl w:val="0"/>
          <w:numId w:val="20"/>
        </w:numPr>
        <w:jc w:val="both"/>
        <w:rPr>
          <w:rFonts w:ascii="Arial" w:hAnsi="Arial" w:cs="Arial"/>
          <w:color w:val="FF0000"/>
        </w:rPr>
      </w:pPr>
      <w:r w:rsidRPr="00BC661C">
        <w:rPr>
          <w:rFonts w:ascii="Arial" w:hAnsi="Arial" w:cs="Arial"/>
          <w:iCs/>
        </w:rPr>
        <w:t>Not applicable.</w:t>
      </w:r>
    </w:p>
    <w:p w:rsidR="0077555F" w:rsidRDefault="0077555F" w:rsidP="003E12D2">
      <w:pPr>
        <w:rPr>
          <w:rFonts w:ascii="Arial" w:hAnsi="Arial" w:cs="Arial"/>
        </w:rPr>
      </w:pPr>
    </w:p>
    <w:p w:rsidR="0077555F" w:rsidRDefault="003E4398" w:rsidP="003E12D2">
      <w:pPr>
        <w:rPr>
          <w:rFonts w:ascii="Arial" w:hAnsi="Arial" w:cs="Arial"/>
          <w:b/>
          <w:bCs/>
        </w:rPr>
      </w:pPr>
      <w:r>
        <w:rPr>
          <w:rFonts w:ascii="Arial" w:hAnsi="Arial" w:cs="Arial"/>
          <w:b/>
          <w:bCs/>
        </w:rPr>
        <w:t>FINANCIAL IMPLICATIONS</w:t>
      </w:r>
    </w:p>
    <w:p w:rsidR="0077555F" w:rsidRDefault="0077555F" w:rsidP="003E12D2">
      <w:pPr>
        <w:pStyle w:val="NormalWeb"/>
        <w:spacing w:before="0" w:beforeAutospacing="0" w:after="0" w:afterAutospacing="0"/>
        <w:rPr>
          <w:rFonts w:ascii="Arial" w:hAnsi="Arial" w:cs="Arial"/>
          <w:lang w:val="en-GB"/>
        </w:rPr>
      </w:pPr>
    </w:p>
    <w:p w:rsidR="00067A60" w:rsidRPr="00D9066E" w:rsidRDefault="00067A60" w:rsidP="0064514D">
      <w:pPr>
        <w:pStyle w:val="ListParagraph"/>
        <w:numPr>
          <w:ilvl w:val="0"/>
          <w:numId w:val="20"/>
        </w:numPr>
        <w:jc w:val="both"/>
        <w:rPr>
          <w:rFonts w:ascii="Arial" w:hAnsi="Arial" w:cs="Arial"/>
          <w:iCs/>
        </w:rPr>
      </w:pPr>
      <w:r w:rsidRPr="00D9066E">
        <w:rPr>
          <w:rFonts w:ascii="Arial" w:hAnsi="Arial" w:cs="Arial"/>
          <w:iCs/>
        </w:rPr>
        <w:t>This report has no financial implications for the UK Government. The Government notes</w:t>
      </w:r>
      <w:r w:rsidR="009A573D" w:rsidRPr="00D9066E">
        <w:rPr>
          <w:rFonts w:ascii="Arial" w:hAnsi="Arial" w:cs="Arial"/>
          <w:iCs/>
        </w:rPr>
        <w:t xml:space="preserve"> </w:t>
      </w:r>
      <w:r w:rsidRPr="00D9066E">
        <w:rPr>
          <w:rFonts w:ascii="Arial" w:hAnsi="Arial" w:cs="Arial"/>
          <w:iCs/>
        </w:rPr>
        <w:t>however that</w:t>
      </w:r>
      <w:r w:rsidR="009A573D" w:rsidRPr="00D9066E">
        <w:rPr>
          <w:rFonts w:ascii="Arial" w:hAnsi="Arial" w:cs="Arial"/>
          <w:iCs/>
        </w:rPr>
        <w:t xml:space="preserve"> EUR 0.16</w:t>
      </w:r>
      <w:r w:rsidRPr="00D9066E">
        <w:rPr>
          <w:rFonts w:ascii="Arial" w:hAnsi="Arial" w:cs="Arial"/>
          <w:iCs/>
        </w:rPr>
        <w:t>bn</w:t>
      </w:r>
      <w:r w:rsidR="00847FB9" w:rsidRPr="00D9066E">
        <w:rPr>
          <w:rFonts w:ascii="Arial" w:hAnsi="Arial" w:cs="Arial"/>
          <w:iCs/>
        </w:rPr>
        <w:t xml:space="preserve"> (£0.13bn)</w:t>
      </w:r>
      <w:r w:rsidRPr="00D9066E">
        <w:rPr>
          <w:rFonts w:ascii="Arial" w:hAnsi="Arial" w:cs="Arial"/>
          <w:iCs/>
        </w:rPr>
        <w:t xml:space="preserve"> </w:t>
      </w:r>
      <w:r w:rsidR="009A573D" w:rsidRPr="00D9066E">
        <w:rPr>
          <w:rFonts w:ascii="Arial" w:hAnsi="Arial" w:cs="Arial"/>
          <w:iCs/>
        </w:rPr>
        <w:t>was</w:t>
      </w:r>
      <w:r w:rsidRPr="00D9066E">
        <w:rPr>
          <w:rFonts w:ascii="Arial" w:hAnsi="Arial" w:cs="Arial"/>
          <w:iCs/>
        </w:rPr>
        <w:t xml:space="preserve"> </w:t>
      </w:r>
      <w:r w:rsidR="009A573D" w:rsidRPr="00D9066E">
        <w:rPr>
          <w:rFonts w:ascii="Arial" w:hAnsi="Arial" w:cs="Arial"/>
          <w:iCs/>
        </w:rPr>
        <w:t xml:space="preserve">transferred on 20 February 2013 from the </w:t>
      </w:r>
      <w:r w:rsidR="0093604D">
        <w:rPr>
          <w:rFonts w:ascii="Arial" w:hAnsi="Arial" w:cs="Arial"/>
          <w:iCs/>
        </w:rPr>
        <w:t xml:space="preserve">EU </w:t>
      </w:r>
      <w:r w:rsidR="009A573D" w:rsidRPr="00D9066E">
        <w:rPr>
          <w:rFonts w:ascii="Arial" w:hAnsi="Arial" w:cs="Arial"/>
          <w:iCs/>
        </w:rPr>
        <w:t>budget</w:t>
      </w:r>
      <w:r w:rsidRPr="00D9066E">
        <w:rPr>
          <w:rFonts w:ascii="Arial" w:hAnsi="Arial" w:cs="Arial"/>
          <w:iCs/>
        </w:rPr>
        <w:t xml:space="preserve"> for the provisioning of the fund at </w:t>
      </w:r>
      <w:r w:rsidR="00386D10">
        <w:rPr>
          <w:rFonts w:ascii="Arial" w:hAnsi="Arial" w:cs="Arial"/>
          <w:iCs/>
        </w:rPr>
        <w:t>its</w:t>
      </w:r>
      <w:r w:rsidR="00386D10" w:rsidRPr="00D9066E">
        <w:rPr>
          <w:rFonts w:ascii="Arial" w:hAnsi="Arial" w:cs="Arial"/>
          <w:iCs/>
        </w:rPr>
        <w:t xml:space="preserve"> </w:t>
      </w:r>
      <w:r w:rsidRPr="00D9066E">
        <w:rPr>
          <w:rFonts w:ascii="Arial" w:hAnsi="Arial" w:cs="Arial"/>
          <w:iCs/>
        </w:rPr>
        <w:t xml:space="preserve">target level </w:t>
      </w:r>
      <w:r w:rsidR="00EE17F6">
        <w:rPr>
          <w:rFonts w:ascii="Arial" w:hAnsi="Arial" w:cs="Arial"/>
          <w:iCs/>
        </w:rPr>
        <w:t>of 9%</w:t>
      </w:r>
      <w:r w:rsidRPr="00D9066E">
        <w:rPr>
          <w:rFonts w:ascii="Arial" w:hAnsi="Arial" w:cs="Arial"/>
          <w:iCs/>
        </w:rPr>
        <w:t>.</w:t>
      </w:r>
    </w:p>
    <w:p w:rsidR="0077555F" w:rsidRDefault="0077555F" w:rsidP="003E12D2">
      <w:pPr>
        <w:pStyle w:val="NormalWeb"/>
        <w:spacing w:before="0" w:beforeAutospacing="0" w:after="0" w:afterAutospacing="0"/>
        <w:rPr>
          <w:rFonts w:ascii="Arial" w:hAnsi="Arial" w:cs="Arial"/>
          <w:lang w:val="en-GB"/>
        </w:rPr>
      </w:pPr>
    </w:p>
    <w:p w:rsidR="0064514D" w:rsidRDefault="0064514D" w:rsidP="003E12D2">
      <w:pPr>
        <w:pStyle w:val="NormalWeb"/>
        <w:spacing w:before="0" w:beforeAutospacing="0" w:after="0" w:afterAutospacing="0"/>
        <w:rPr>
          <w:rFonts w:ascii="Arial" w:hAnsi="Arial" w:cs="Arial"/>
          <w:lang w:val="en-GB"/>
        </w:rPr>
      </w:pPr>
    </w:p>
    <w:p w:rsidR="0064514D" w:rsidRDefault="0064514D" w:rsidP="003E12D2">
      <w:pPr>
        <w:pStyle w:val="NormalWeb"/>
        <w:spacing w:before="0" w:beforeAutospacing="0" w:after="0" w:afterAutospacing="0"/>
        <w:rPr>
          <w:rFonts w:ascii="Arial" w:hAnsi="Arial" w:cs="Arial"/>
          <w:lang w:val="en-GB"/>
        </w:rPr>
      </w:pPr>
    </w:p>
    <w:p w:rsidR="0064514D" w:rsidRDefault="0064514D" w:rsidP="003E12D2">
      <w:pPr>
        <w:pStyle w:val="NormalWeb"/>
        <w:spacing w:before="0" w:beforeAutospacing="0" w:after="0" w:afterAutospacing="0"/>
        <w:rPr>
          <w:rFonts w:ascii="Arial" w:hAnsi="Arial" w:cs="Arial"/>
          <w:lang w:val="en-GB"/>
        </w:rPr>
      </w:pPr>
    </w:p>
    <w:p w:rsidR="0077555F" w:rsidRPr="00D9066E" w:rsidRDefault="003E4398" w:rsidP="003E12D2">
      <w:pPr>
        <w:pStyle w:val="Heading1"/>
      </w:pPr>
      <w:r w:rsidRPr="00D9066E">
        <w:lastRenderedPageBreak/>
        <w:t>TIMETABLE</w:t>
      </w:r>
    </w:p>
    <w:p w:rsidR="0077555F" w:rsidRPr="00D9066E" w:rsidRDefault="0077555F" w:rsidP="003E12D2">
      <w:pPr>
        <w:pStyle w:val="NormalWeb"/>
        <w:spacing w:before="0" w:beforeAutospacing="0" w:after="0" w:afterAutospacing="0"/>
        <w:rPr>
          <w:rFonts w:ascii="Arial" w:hAnsi="Arial" w:cs="Arial"/>
          <w:lang w:val="en-GB"/>
        </w:rPr>
      </w:pPr>
    </w:p>
    <w:p w:rsidR="0077555F" w:rsidRPr="00F91563" w:rsidRDefault="003D0C3F" w:rsidP="0064514D">
      <w:pPr>
        <w:pStyle w:val="ListParagraph"/>
        <w:numPr>
          <w:ilvl w:val="0"/>
          <w:numId w:val="20"/>
        </w:numPr>
        <w:jc w:val="both"/>
        <w:rPr>
          <w:rFonts w:ascii="Arial" w:hAnsi="Arial" w:cs="Arial"/>
        </w:rPr>
      </w:pPr>
      <w:r w:rsidRPr="00D9066E">
        <w:rPr>
          <w:rFonts w:ascii="Arial" w:hAnsi="Arial" w:cs="Arial"/>
          <w:iCs/>
        </w:rPr>
        <w:t xml:space="preserve"> </w:t>
      </w:r>
      <w:r w:rsidR="00F91563" w:rsidRPr="00F91563">
        <w:rPr>
          <w:rFonts w:ascii="Arial" w:hAnsi="Arial" w:cs="Arial"/>
          <w:iCs/>
        </w:rPr>
        <w:t>Currently, there are no plans for ministerial discussion of this document.</w:t>
      </w:r>
    </w:p>
    <w:p w:rsidR="00F91563" w:rsidRDefault="00F91563" w:rsidP="003E12D2">
      <w:pPr>
        <w:rPr>
          <w:rFonts w:ascii="Arial" w:hAnsi="Arial" w:cs="Arial"/>
          <w:b/>
          <w:bCs/>
        </w:rPr>
      </w:pPr>
    </w:p>
    <w:p w:rsidR="00F91563" w:rsidRDefault="00F91563" w:rsidP="003E12D2">
      <w:pPr>
        <w:rPr>
          <w:rFonts w:ascii="Arial" w:hAnsi="Arial" w:cs="Arial"/>
          <w:b/>
          <w:bCs/>
        </w:rPr>
      </w:pPr>
    </w:p>
    <w:p w:rsidR="00F91563" w:rsidRDefault="00F91563" w:rsidP="003E12D2">
      <w:pPr>
        <w:rPr>
          <w:rFonts w:ascii="Arial" w:hAnsi="Arial" w:cs="Arial"/>
          <w:b/>
          <w:bCs/>
        </w:rPr>
      </w:pPr>
    </w:p>
    <w:p w:rsidR="0064514D" w:rsidRDefault="0064514D" w:rsidP="003E12D2">
      <w:pPr>
        <w:rPr>
          <w:rFonts w:ascii="Arial" w:hAnsi="Arial" w:cs="Arial"/>
          <w:b/>
          <w:bCs/>
        </w:rPr>
      </w:pPr>
    </w:p>
    <w:p w:rsidR="0064514D" w:rsidRDefault="0064514D" w:rsidP="003E12D2">
      <w:pPr>
        <w:rPr>
          <w:rFonts w:ascii="Arial" w:hAnsi="Arial" w:cs="Arial"/>
          <w:b/>
          <w:bCs/>
        </w:rPr>
      </w:pPr>
    </w:p>
    <w:p w:rsidR="0064514D" w:rsidRDefault="0064514D" w:rsidP="003E12D2">
      <w:pPr>
        <w:rPr>
          <w:rFonts w:ascii="Arial" w:hAnsi="Arial" w:cs="Arial"/>
          <w:b/>
          <w:bCs/>
        </w:rPr>
      </w:pPr>
    </w:p>
    <w:p w:rsidR="0064514D" w:rsidRDefault="0064514D" w:rsidP="003E12D2">
      <w:pPr>
        <w:rPr>
          <w:rFonts w:ascii="Arial" w:hAnsi="Arial" w:cs="Arial"/>
          <w:b/>
          <w:bCs/>
        </w:rPr>
      </w:pPr>
    </w:p>
    <w:p w:rsidR="0064514D" w:rsidRDefault="0064514D" w:rsidP="003E12D2">
      <w:pPr>
        <w:rPr>
          <w:rFonts w:ascii="Arial" w:hAnsi="Arial" w:cs="Arial"/>
          <w:b/>
          <w:bCs/>
        </w:rPr>
      </w:pPr>
    </w:p>
    <w:p w:rsidR="0077555F" w:rsidRPr="007B2757" w:rsidRDefault="007B2757" w:rsidP="007B2757">
      <w:pPr>
        <w:ind w:left="360"/>
        <w:jc w:val="both"/>
        <w:rPr>
          <w:rFonts w:ascii="Arial" w:hAnsi="Arial" w:cs="Arial"/>
          <w:b/>
          <w:i/>
          <w:iCs/>
          <w:color w:val="FF0000"/>
        </w:rPr>
      </w:pPr>
      <w:r w:rsidRPr="007B2757">
        <w:rPr>
          <w:rFonts w:ascii="Arial" w:hAnsi="Arial" w:cs="Arial"/>
          <w:b/>
          <w:iCs/>
          <w:color w:val="FF0000"/>
        </w:rPr>
        <w:tab/>
      </w:r>
      <w:r w:rsidRPr="007B2757">
        <w:rPr>
          <w:rFonts w:ascii="Arial" w:hAnsi="Arial" w:cs="Arial"/>
          <w:b/>
          <w:iCs/>
          <w:color w:val="FF0000"/>
        </w:rPr>
        <w:tab/>
      </w:r>
      <w:r w:rsidRPr="007B2757">
        <w:rPr>
          <w:rFonts w:ascii="Arial" w:hAnsi="Arial" w:cs="Arial"/>
          <w:b/>
          <w:iCs/>
          <w:color w:val="FF0000"/>
        </w:rPr>
        <w:tab/>
      </w:r>
      <w:r w:rsidRPr="007B2757">
        <w:rPr>
          <w:rFonts w:ascii="Arial" w:hAnsi="Arial" w:cs="Arial"/>
          <w:b/>
          <w:iCs/>
          <w:color w:val="FF0000"/>
        </w:rPr>
        <w:tab/>
        <w:t xml:space="preserve"> </w:t>
      </w:r>
      <w:r>
        <w:rPr>
          <w:rFonts w:ascii="Arial" w:hAnsi="Arial" w:cs="Arial"/>
          <w:b/>
          <w:iCs/>
          <w:color w:val="FF0000"/>
        </w:rPr>
        <w:t xml:space="preserve">  </w:t>
      </w:r>
      <w:r w:rsidRPr="007B2757">
        <w:rPr>
          <w:rFonts w:ascii="Arial" w:hAnsi="Arial" w:cs="Arial"/>
          <w:b/>
          <w:iCs/>
          <w:color w:val="FF0000"/>
        </w:rPr>
        <w:t xml:space="preserve"> </w:t>
      </w:r>
      <w:r w:rsidR="00FA356F" w:rsidRPr="007B2757">
        <w:rPr>
          <w:rFonts w:ascii="Arial" w:hAnsi="Arial" w:cs="Arial"/>
          <w:b/>
          <w:caps/>
        </w:rPr>
        <w:t>NICKY MORGAN</w:t>
      </w:r>
    </w:p>
    <w:p w:rsidR="0077555F" w:rsidRDefault="003E4398" w:rsidP="003E12D2">
      <w:pPr>
        <w:pStyle w:val="Heading3"/>
        <w:jc w:val="center"/>
        <w:rPr>
          <w:caps/>
        </w:rPr>
      </w:pPr>
      <w:r>
        <w:rPr>
          <w:caps/>
        </w:rPr>
        <w:t>ECONOMIC Secretary</w:t>
      </w:r>
    </w:p>
    <w:p w:rsidR="0077555F" w:rsidRDefault="003E4398" w:rsidP="003E12D2">
      <w:pPr>
        <w:pStyle w:val="Heading2"/>
        <w:ind w:firstLine="0"/>
        <w:jc w:val="center"/>
        <w:rPr>
          <w:caps/>
        </w:rPr>
      </w:pPr>
      <w:r>
        <w:rPr>
          <w:caps/>
        </w:rPr>
        <w:t>HM Treasury</w:t>
      </w:r>
    </w:p>
    <w:p w:rsidR="00D76787" w:rsidRPr="00D76787" w:rsidRDefault="00D76787" w:rsidP="003E12D2"/>
    <w:p w:rsidR="00B22E62" w:rsidRDefault="00B22E62" w:rsidP="003E12D2"/>
    <w:p w:rsidR="00B22E62" w:rsidRPr="008E5AD5" w:rsidRDefault="00B22E62" w:rsidP="003E12D2">
      <w:pPr>
        <w:rPr>
          <w:rFonts w:ascii="Arial" w:hAnsi="Arial" w:cs="Arial"/>
          <w:color w:val="E36C0A" w:themeColor="accent6" w:themeShade="BF"/>
        </w:rPr>
      </w:pPr>
    </w:p>
    <w:sectPr w:rsidR="00B22E62" w:rsidRPr="008E5AD5" w:rsidSect="0077555F">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0331" w:rsidRDefault="003C0331" w:rsidP="00DD7892">
      <w:r>
        <w:separator/>
      </w:r>
    </w:p>
  </w:endnote>
  <w:endnote w:type="continuationSeparator" w:id="0">
    <w:p w:rsidR="003C0331" w:rsidRDefault="003C0331" w:rsidP="00DD7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425" w:rsidRDefault="00284291" w:rsidP="0064514D">
    <w:pPr>
      <w:pStyle w:val="Footer"/>
      <w:jc w:val="center"/>
    </w:pPr>
    <w:r>
      <w:fldChar w:fldCharType="begin"/>
    </w:r>
    <w:r w:rsidR="0064514D" w:rsidRPr="00E83202">
      <w:rPr>
        <w:rFonts w:ascii="Calibri" w:hAnsi="Calibri"/>
        <w:color w:val="000000"/>
        <w:sz w:val="22"/>
      </w:rPr>
      <w:instrText xml:space="preserve"> DOCPROPERTY  bjDocumentSecurityLabel"  \* MERGEFORMAT </w:instrText>
    </w:r>
    <w:r>
      <w:fldChar w:fldCharType="separate"/>
    </w:r>
    <w:r w:rsidR="005132F6">
      <w:rPr>
        <w:rFonts w:ascii="Calibri" w:hAnsi="Calibri"/>
        <w:color w:val="000000"/>
        <w:sz w:val="22"/>
      </w:rPr>
      <w:t>UNCLASSIFIED</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425" w:rsidRDefault="00284291" w:rsidP="0064514D">
    <w:pPr>
      <w:pStyle w:val="Footer"/>
      <w:jc w:val="center"/>
    </w:pPr>
    <w:r>
      <w:fldChar w:fldCharType="begin"/>
    </w:r>
    <w:r w:rsidR="0064514D" w:rsidRPr="00E83202">
      <w:rPr>
        <w:rFonts w:ascii="Calibri" w:hAnsi="Calibri"/>
        <w:color w:val="000000"/>
        <w:sz w:val="22"/>
      </w:rPr>
      <w:instrText xml:space="preserve"> DOCPROPERTY  bjDocumentSecurityLabel"  \* MERGEFORMAT </w:instrText>
    </w:r>
    <w:r>
      <w:fldChar w:fldCharType="separate"/>
    </w:r>
    <w:r w:rsidR="005132F6">
      <w:rPr>
        <w:rFonts w:ascii="Calibri" w:hAnsi="Calibri"/>
        <w:color w:val="000000"/>
        <w:sz w:val="22"/>
      </w:rPr>
      <w:t>UNCLASSIFIED</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425" w:rsidRDefault="00284291" w:rsidP="0064514D">
    <w:pPr>
      <w:pStyle w:val="Footer"/>
      <w:jc w:val="center"/>
    </w:pPr>
    <w:r>
      <w:fldChar w:fldCharType="begin"/>
    </w:r>
    <w:r w:rsidR="0064514D" w:rsidRPr="00E83202">
      <w:rPr>
        <w:rFonts w:ascii="Calibri" w:hAnsi="Calibri"/>
        <w:color w:val="000000"/>
        <w:sz w:val="22"/>
      </w:rPr>
      <w:instrText xml:space="preserve"> DOCPROPERTY  bjDocumentSecurityLabel"  \* MERGEFORMAT </w:instrText>
    </w:r>
    <w:r>
      <w:fldChar w:fldCharType="separate"/>
    </w:r>
    <w:r w:rsidR="005132F6">
      <w:rPr>
        <w:rFonts w:ascii="Calibri" w:hAnsi="Calibri"/>
        <w:color w:val="000000"/>
        <w:sz w:val="22"/>
      </w:rPr>
      <w:t>UNCLASSIFIED</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0331" w:rsidRDefault="003C0331" w:rsidP="00DD7892">
      <w:r>
        <w:separator/>
      </w:r>
    </w:p>
  </w:footnote>
  <w:footnote w:type="continuationSeparator" w:id="0">
    <w:p w:rsidR="003C0331" w:rsidRDefault="003C0331" w:rsidP="00DD7892">
      <w:r>
        <w:continuationSeparator/>
      </w:r>
    </w:p>
  </w:footnote>
  <w:footnote w:id="1">
    <w:p w:rsidR="006B1BF9" w:rsidRDefault="006B1BF9">
      <w:pPr>
        <w:pStyle w:val="FootnoteText"/>
      </w:pPr>
      <w:r>
        <w:rPr>
          <w:rStyle w:val="FootnoteReference"/>
        </w:rPr>
        <w:footnoteRef/>
      </w:r>
      <w:r>
        <w:t xml:space="preserve"> </w:t>
      </w:r>
      <w:r w:rsidRPr="00514D13">
        <w:t xml:space="preserve">This and all other sterling figures have been converted using the rate </w:t>
      </w:r>
      <w:r>
        <w:t xml:space="preserve">EUR </w:t>
      </w:r>
      <w:r w:rsidRPr="00514D13">
        <w:t xml:space="preserve">1 = £0.8361, which was the EUR/£ exchange rate effective </w:t>
      </w:r>
      <w:proofErr w:type="gramStart"/>
      <w:r w:rsidRPr="00514D13">
        <w:t>on</w:t>
      </w:r>
      <w:r>
        <w:t xml:space="preserve">  30</w:t>
      </w:r>
      <w:r w:rsidRPr="00514D13">
        <w:rPr>
          <w:vertAlign w:val="superscript"/>
        </w:rPr>
        <w:t>th</w:t>
      </w:r>
      <w:proofErr w:type="gramEnd"/>
      <w:r>
        <w:t xml:space="preserve"> September 20</w:t>
      </w:r>
      <w:r w:rsidRPr="00514D13">
        <w:t>13.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425" w:rsidRDefault="00284291" w:rsidP="0064514D">
    <w:pPr>
      <w:pStyle w:val="Header"/>
      <w:jc w:val="center"/>
    </w:pPr>
    <w:r>
      <w:fldChar w:fldCharType="begin"/>
    </w:r>
    <w:r w:rsidR="0064514D" w:rsidRPr="00E83202">
      <w:rPr>
        <w:rFonts w:ascii="Calibri" w:hAnsi="Calibri"/>
        <w:color w:val="000000"/>
        <w:sz w:val="22"/>
      </w:rPr>
      <w:instrText xml:space="preserve"> DOCPROPERTY  bjDocumentSecurityLabel"  \* MERGEFORMAT </w:instrText>
    </w:r>
    <w:r>
      <w:fldChar w:fldCharType="separate"/>
    </w:r>
    <w:r w:rsidR="005132F6">
      <w:rPr>
        <w:rFonts w:ascii="Calibri" w:hAnsi="Calibri"/>
        <w:color w:val="000000"/>
        <w:sz w:val="22"/>
      </w:rPr>
      <w:t>UNCLASSIFIED</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425" w:rsidRDefault="00284291" w:rsidP="0064514D">
    <w:pPr>
      <w:pStyle w:val="Header"/>
      <w:jc w:val="center"/>
    </w:pPr>
    <w:r>
      <w:fldChar w:fldCharType="begin"/>
    </w:r>
    <w:r w:rsidR="0064514D" w:rsidRPr="00E83202">
      <w:rPr>
        <w:rFonts w:ascii="Calibri" w:hAnsi="Calibri"/>
        <w:color w:val="000000"/>
        <w:sz w:val="22"/>
      </w:rPr>
      <w:instrText xml:space="preserve"> DOCPROPERTY  bjDocumentSecurityLabel"  \* MERGEFORMAT </w:instrText>
    </w:r>
    <w:r>
      <w:fldChar w:fldCharType="separate"/>
    </w:r>
    <w:r w:rsidR="005132F6">
      <w:rPr>
        <w:rFonts w:ascii="Calibri" w:hAnsi="Calibri"/>
        <w:color w:val="000000"/>
        <w:sz w:val="22"/>
      </w:rPr>
      <w:t>UNCLASSIFIED</w:t>
    </w:r>
    <w:r>
      <w:fldChar w:fldCharType="end"/>
    </w:r>
  </w:p>
  <w:p w:rsidR="009A3425" w:rsidRPr="00E57CB8" w:rsidRDefault="009A3425" w:rsidP="0064514D">
    <w:pPr>
      <w:pStyle w:val="Header"/>
      <w:jc w:val="center"/>
      <w:rPr>
        <w:rFonts w:ascii="Arial" w:hAnsi="Arial" w:cs="Arial"/>
        <w:color w:val="FF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425" w:rsidRDefault="00284291" w:rsidP="0064514D">
    <w:pPr>
      <w:pStyle w:val="Header"/>
      <w:jc w:val="center"/>
    </w:pPr>
    <w:r>
      <w:fldChar w:fldCharType="begin"/>
    </w:r>
    <w:r w:rsidR="0064514D" w:rsidRPr="00E83202">
      <w:rPr>
        <w:rFonts w:ascii="Calibri" w:hAnsi="Calibri"/>
        <w:color w:val="000000"/>
        <w:sz w:val="22"/>
      </w:rPr>
      <w:instrText xml:space="preserve"> DOCPROPERTY  bjDocumentSecurityLabel"  \* MERGEFORMAT </w:instrText>
    </w:r>
    <w:r>
      <w:fldChar w:fldCharType="separate"/>
    </w:r>
    <w:r w:rsidR="005132F6">
      <w:rPr>
        <w:rFonts w:ascii="Calibri" w:hAnsi="Calibri"/>
        <w:color w:val="000000"/>
        <w:sz w:val="22"/>
      </w:rPr>
      <w:t>UNCLASSIFIED</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3123E"/>
    <w:multiLevelType w:val="hybridMultilevel"/>
    <w:tmpl w:val="B4F00B8A"/>
    <w:lvl w:ilvl="0" w:tplc="C550336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342330D"/>
    <w:multiLevelType w:val="hybridMultilevel"/>
    <w:tmpl w:val="54861B9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07C003E1"/>
    <w:multiLevelType w:val="hybridMultilevel"/>
    <w:tmpl w:val="4A46EE14"/>
    <w:lvl w:ilvl="0" w:tplc="08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63367E7"/>
    <w:multiLevelType w:val="hybridMultilevel"/>
    <w:tmpl w:val="9602664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008028D"/>
    <w:multiLevelType w:val="hybridMultilevel"/>
    <w:tmpl w:val="FD7053FE"/>
    <w:lvl w:ilvl="0" w:tplc="37BEFE54">
      <w:start w:val="2"/>
      <w:numFmt w:val="bullet"/>
      <w:lvlText w:val=""/>
      <w:lvlJc w:val="left"/>
      <w:pPr>
        <w:tabs>
          <w:tab w:val="num" w:pos="360"/>
        </w:tabs>
        <w:ind w:left="340" w:hanging="34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0BE62E3"/>
    <w:multiLevelType w:val="hybridMultilevel"/>
    <w:tmpl w:val="93BC116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AF3AF7C0">
      <w:start w:val="1"/>
      <w:numFmt w:val="lowerRoman"/>
      <w:lvlText w:val="%3."/>
      <w:lvlJc w:val="left"/>
      <w:pPr>
        <w:tabs>
          <w:tab w:val="num" w:pos="2700"/>
        </w:tabs>
        <w:ind w:left="2700" w:hanging="72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0197BEC"/>
    <w:multiLevelType w:val="hybridMultilevel"/>
    <w:tmpl w:val="1F102EEE"/>
    <w:lvl w:ilvl="0" w:tplc="A7584AF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62D744D"/>
    <w:multiLevelType w:val="hybridMultilevel"/>
    <w:tmpl w:val="630E73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ECA6BB0"/>
    <w:multiLevelType w:val="hybridMultilevel"/>
    <w:tmpl w:val="360CC26A"/>
    <w:lvl w:ilvl="0" w:tplc="F580ECA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6BB0446"/>
    <w:multiLevelType w:val="hybridMultilevel"/>
    <w:tmpl w:val="7528FDE4"/>
    <w:lvl w:ilvl="0" w:tplc="CAF6C09C">
      <w:start w:val="1"/>
      <w:numFmt w:val="decimal"/>
      <w:lvlText w:val="%1."/>
      <w:lvlJc w:val="left"/>
      <w:pPr>
        <w:ind w:left="360" w:hanging="360"/>
      </w:pPr>
      <w:rPr>
        <w:b w:val="0"/>
        <w:i w:val="0"/>
        <w:color w:val="000000" w:themeColor="text1"/>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57093619"/>
    <w:multiLevelType w:val="hybridMultilevel"/>
    <w:tmpl w:val="D93089EE"/>
    <w:lvl w:ilvl="0" w:tplc="89087660">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7202E10"/>
    <w:multiLevelType w:val="hybridMultilevel"/>
    <w:tmpl w:val="D3FCFCE8"/>
    <w:lvl w:ilvl="0" w:tplc="2816484E">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A757D1D"/>
    <w:multiLevelType w:val="hybridMultilevel"/>
    <w:tmpl w:val="AE4AD436"/>
    <w:lvl w:ilvl="0" w:tplc="BA16716E">
      <w:start w:val="1"/>
      <w:numFmt w:val="decimal"/>
      <w:lvlText w:val="%1."/>
      <w:lvlJc w:val="left"/>
      <w:pPr>
        <w:tabs>
          <w:tab w:val="num" w:pos="720"/>
        </w:tabs>
        <w:ind w:left="720" w:hanging="360"/>
      </w:pPr>
      <w:rPr>
        <w:i w:val="0"/>
      </w:rPr>
    </w:lvl>
    <w:lvl w:ilvl="1" w:tplc="D9368AE2">
      <w:start w:val="1"/>
      <w:numFmt w:val="decimal"/>
      <w:lvlText w:val="%2)"/>
      <w:lvlJc w:val="left"/>
      <w:pPr>
        <w:tabs>
          <w:tab w:val="num" w:pos="1440"/>
        </w:tabs>
        <w:ind w:left="1440" w:hanging="360"/>
      </w:pPr>
      <w:rPr>
        <w:rFonts w:hint="default"/>
      </w:rPr>
    </w:lvl>
    <w:lvl w:ilvl="2" w:tplc="AF3AF7C0">
      <w:start w:val="1"/>
      <w:numFmt w:val="lowerRoman"/>
      <w:lvlText w:val="%3."/>
      <w:lvlJc w:val="left"/>
      <w:pPr>
        <w:tabs>
          <w:tab w:val="num" w:pos="2700"/>
        </w:tabs>
        <w:ind w:left="2700" w:hanging="72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D0605EF"/>
    <w:multiLevelType w:val="hybridMultilevel"/>
    <w:tmpl w:val="91F4CE5A"/>
    <w:lvl w:ilvl="0" w:tplc="0809001B">
      <w:start w:val="1"/>
      <w:numFmt w:val="lowerRoman"/>
      <w:lvlText w:val="%1."/>
      <w:lvlJc w:val="right"/>
      <w:pPr>
        <w:tabs>
          <w:tab w:val="num" w:pos="720"/>
        </w:tabs>
        <w:ind w:left="720" w:hanging="360"/>
      </w:pPr>
      <w:rPr>
        <w:rFonts w:hint="default"/>
        <w:i w:val="0"/>
      </w:rPr>
    </w:lvl>
    <w:lvl w:ilvl="1" w:tplc="D9368AE2">
      <w:start w:val="1"/>
      <w:numFmt w:val="decimal"/>
      <w:lvlText w:val="%2)"/>
      <w:lvlJc w:val="left"/>
      <w:pPr>
        <w:tabs>
          <w:tab w:val="num" w:pos="1440"/>
        </w:tabs>
        <w:ind w:left="1440" w:hanging="360"/>
      </w:pPr>
      <w:rPr>
        <w:rFonts w:hint="default"/>
      </w:rPr>
    </w:lvl>
    <w:lvl w:ilvl="2" w:tplc="AF3AF7C0">
      <w:start w:val="1"/>
      <w:numFmt w:val="lowerRoman"/>
      <w:lvlText w:val="%3."/>
      <w:lvlJc w:val="left"/>
      <w:pPr>
        <w:tabs>
          <w:tab w:val="num" w:pos="2700"/>
        </w:tabs>
        <w:ind w:left="2700" w:hanging="72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CAC4147"/>
    <w:multiLevelType w:val="hybridMultilevel"/>
    <w:tmpl w:val="538CA4A6"/>
    <w:lvl w:ilvl="0" w:tplc="6896A6A4">
      <w:start w:val="6"/>
      <w:numFmt w:val="bullet"/>
      <w:lvlText w:val="-"/>
      <w:lvlJc w:val="left"/>
      <w:pPr>
        <w:ind w:left="729" w:hanging="360"/>
      </w:pPr>
      <w:rPr>
        <w:rFonts w:ascii="Arial" w:eastAsia="Times New Roman" w:hAnsi="Arial" w:cs="Arial" w:hint="default"/>
      </w:rPr>
    </w:lvl>
    <w:lvl w:ilvl="1" w:tplc="08090003" w:tentative="1">
      <w:start w:val="1"/>
      <w:numFmt w:val="bullet"/>
      <w:lvlText w:val="o"/>
      <w:lvlJc w:val="left"/>
      <w:pPr>
        <w:ind w:left="1449" w:hanging="360"/>
      </w:pPr>
      <w:rPr>
        <w:rFonts w:ascii="Courier New" w:hAnsi="Courier New" w:cs="Courier New" w:hint="default"/>
      </w:rPr>
    </w:lvl>
    <w:lvl w:ilvl="2" w:tplc="08090005" w:tentative="1">
      <w:start w:val="1"/>
      <w:numFmt w:val="bullet"/>
      <w:lvlText w:val=""/>
      <w:lvlJc w:val="left"/>
      <w:pPr>
        <w:ind w:left="2169" w:hanging="360"/>
      </w:pPr>
      <w:rPr>
        <w:rFonts w:ascii="Wingdings" w:hAnsi="Wingdings" w:hint="default"/>
      </w:rPr>
    </w:lvl>
    <w:lvl w:ilvl="3" w:tplc="08090001" w:tentative="1">
      <w:start w:val="1"/>
      <w:numFmt w:val="bullet"/>
      <w:lvlText w:val=""/>
      <w:lvlJc w:val="left"/>
      <w:pPr>
        <w:ind w:left="2889" w:hanging="360"/>
      </w:pPr>
      <w:rPr>
        <w:rFonts w:ascii="Symbol" w:hAnsi="Symbol" w:hint="default"/>
      </w:rPr>
    </w:lvl>
    <w:lvl w:ilvl="4" w:tplc="08090003" w:tentative="1">
      <w:start w:val="1"/>
      <w:numFmt w:val="bullet"/>
      <w:lvlText w:val="o"/>
      <w:lvlJc w:val="left"/>
      <w:pPr>
        <w:ind w:left="3609" w:hanging="360"/>
      </w:pPr>
      <w:rPr>
        <w:rFonts w:ascii="Courier New" w:hAnsi="Courier New" w:cs="Courier New" w:hint="default"/>
      </w:rPr>
    </w:lvl>
    <w:lvl w:ilvl="5" w:tplc="08090005" w:tentative="1">
      <w:start w:val="1"/>
      <w:numFmt w:val="bullet"/>
      <w:lvlText w:val=""/>
      <w:lvlJc w:val="left"/>
      <w:pPr>
        <w:ind w:left="4329" w:hanging="360"/>
      </w:pPr>
      <w:rPr>
        <w:rFonts w:ascii="Wingdings" w:hAnsi="Wingdings" w:hint="default"/>
      </w:rPr>
    </w:lvl>
    <w:lvl w:ilvl="6" w:tplc="08090001" w:tentative="1">
      <w:start w:val="1"/>
      <w:numFmt w:val="bullet"/>
      <w:lvlText w:val=""/>
      <w:lvlJc w:val="left"/>
      <w:pPr>
        <w:ind w:left="5049" w:hanging="360"/>
      </w:pPr>
      <w:rPr>
        <w:rFonts w:ascii="Symbol" w:hAnsi="Symbol" w:hint="default"/>
      </w:rPr>
    </w:lvl>
    <w:lvl w:ilvl="7" w:tplc="08090003" w:tentative="1">
      <w:start w:val="1"/>
      <w:numFmt w:val="bullet"/>
      <w:lvlText w:val="o"/>
      <w:lvlJc w:val="left"/>
      <w:pPr>
        <w:ind w:left="5769" w:hanging="360"/>
      </w:pPr>
      <w:rPr>
        <w:rFonts w:ascii="Courier New" w:hAnsi="Courier New" w:cs="Courier New" w:hint="default"/>
      </w:rPr>
    </w:lvl>
    <w:lvl w:ilvl="8" w:tplc="08090005" w:tentative="1">
      <w:start w:val="1"/>
      <w:numFmt w:val="bullet"/>
      <w:lvlText w:val=""/>
      <w:lvlJc w:val="left"/>
      <w:pPr>
        <w:ind w:left="6489" w:hanging="360"/>
      </w:pPr>
      <w:rPr>
        <w:rFonts w:ascii="Wingdings" w:hAnsi="Wingdings" w:hint="default"/>
      </w:rPr>
    </w:lvl>
  </w:abstractNum>
  <w:abstractNum w:abstractNumId="15">
    <w:nsid w:val="6E2D7C38"/>
    <w:multiLevelType w:val="hybridMultilevel"/>
    <w:tmpl w:val="A8E4C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0D91364"/>
    <w:multiLevelType w:val="hybridMultilevel"/>
    <w:tmpl w:val="9B0A4E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85A68EF"/>
    <w:multiLevelType w:val="hybridMultilevel"/>
    <w:tmpl w:val="EF9E1ED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D823238"/>
    <w:multiLevelType w:val="hybridMultilevel"/>
    <w:tmpl w:val="F1D4ECB4"/>
    <w:lvl w:ilvl="0" w:tplc="CB6206F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FF07CA2"/>
    <w:multiLevelType w:val="hybridMultilevel"/>
    <w:tmpl w:val="5E3EE340"/>
    <w:lvl w:ilvl="0" w:tplc="A376622A">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8"/>
  </w:num>
  <w:num w:numId="3">
    <w:abstractNumId w:val="6"/>
  </w:num>
  <w:num w:numId="4">
    <w:abstractNumId w:val="19"/>
  </w:num>
  <w:num w:numId="5">
    <w:abstractNumId w:val="10"/>
  </w:num>
  <w:num w:numId="6">
    <w:abstractNumId w:val="4"/>
  </w:num>
  <w:num w:numId="7">
    <w:abstractNumId w:val="17"/>
  </w:num>
  <w:num w:numId="8">
    <w:abstractNumId w:val="3"/>
  </w:num>
  <w:num w:numId="9">
    <w:abstractNumId w:val="8"/>
  </w:num>
  <w:num w:numId="10">
    <w:abstractNumId w:val="2"/>
  </w:num>
  <w:num w:numId="11">
    <w:abstractNumId w:val="13"/>
  </w:num>
  <w:num w:numId="12">
    <w:abstractNumId w:val="5"/>
  </w:num>
  <w:num w:numId="13">
    <w:abstractNumId w:val="14"/>
  </w:num>
  <w:num w:numId="14">
    <w:abstractNumId w:val="11"/>
  </w:num>
  <w:num w:numId="15">
    <w:abstractNumId w:val="12"/>
  </w:num>
  <w:num w:numId="16">
    <w:abstractNumId w:val="15"/>
  </w:num>
  <w:num w:numId="17">
    <w:abstractNumId w:val="1"/>
  </w:num>
  <w:num w:numId="18">
    <w:abstractNumId w:val="7"/>
  </w:num>
  <w:num w:numId="19">
    <w:abstractNumId w:val="16"/>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Formatting/>
  <w:defaultTabStop w:val="720"/>
  <w:noPunctuationKerning/>
  <w:characterSpacingControl w:val="doNotCompress"/>
  <w:hdrShapeDefaults>
    <o:shapedefaults v:ext="edit" spidmax="686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892"/>
    <w:rsid w:val="00002028"/>
    <w:rsid w:val="00020BC3"/>
    <w:rsid w:val="000258BF"/>
    <w:rsid w:val="00042C8A"/>
    <w:rsid w:val="0004319E"/>
    <w:rsid w:val="00067A60"/>
    <w:rsid w:val="000721D9"/>
    <w:rsid w:val="000807F8"/>
    <w:rsid w:val="0008136D"/>
    <w:rsid w:val="000861BC"/>
    <w:rsid w:val="000D619D"/>
    <w:rsid w:val="000F2972"/>
    <w:rsid w:val="00124DFA"/>
    <w:rsid w:val="001568C9"/>
    <w:rsid w:val="00167297"/>
    <w:rsid w:val="00172330"/>
    <w:rsid w:val="00186684"/>
    <w:rsid w:val="001B7429"/>
    <w:rsid w:val="0021769D"/>
    <w:rsid w:val="00222860"/>
    <w:rsid w:val="002246BA"/>
    <w:rsid w:val="00277892"/>
    <w:rsid w:val="0027797A"/>
    <w:rsid w:val="00284291"/>
    <w:rsid w:val="00287B07"/>
    <w:rsid w:val="002A13A5"/>
    <w:rsid w:val="002A392D"/>
    <w:rsid w:val="002B3ABB"/>
    <w:rsid w:val="002C5071"/>
    <w:rsid w:val="002C63CD"/>
    <w:rsid w:val="002D2560"/>
    <w:rsid w:val="002F198D"/>
    <w:rsid w:val="002F312E"/>
    <w:rsid w:val="002F4B6B"/>
    <w:rsid w:val="002F79F7"/>
    <w:rsid w:val="00300906"/>
    <w:rsid w:val="003556B4"/>
    <w:rsid w:val="00362002"/>
    <w:rsid w:val="00363738"/>
    <w:rsid w:val="00370417"/>
    <w:rsid w:val="00386D10"/>
    <w:rsid w:val="00395D1E"/>
    <w:rsid w:val="003A73F9"/>
    <w:rsid w:val="003C0331"/>
    <w:rsid w:val="003D0C3F"/>
    <w:rsid w:val="003D42F5"/>
    <w:rsid w:val="003E12D2"/>
    <w:rsid w:val="003E3BBE"/>
    <w:rsid w:val="003E4398"/>
    <w:rsid w:val="00453DF9"/>
    <w:rsid w:val="004558F3"/>
    <w:rsid w:val="00461797"/>
    <w:rsid w:val="004633B1"/>
    <w:rsid w:val="00464B62"/>
    <w:rsid w:val="0047012C"/>
    <w:rsid w:val="00492E98"/>
    <w:rsid w:val="004A31CE"/>
    <w:rsid w:val="004D320B"/>
    <w:rsid w:val="004E4389"/>
    <w:rsid w:val="004F1B84"/>
    <w:rsid w:val="00502220"/>
    <w:rsid w:val="00502318"/>
    <w:rsid w:val="005132F6"/>
    <w:rsid w:val="00514D13"/>
    <w:rsid w:val="00546D9B"/>
    <w:rsid w:val="005472D1"/>
    <w:rsid w:val="00557073"/>
    <w:rsid w:val="00563C83"/>
    <w:rsid w:val="00591307"/>
    <w:rsid w:val="005A3B52"/>
    <w:rsid w:val="005B4AA0"/>
    <w:rsid w:val="005C1867"/>
    <w:rsid w:val="005F16F3"/>
    <w:rsid w:val="0064514D"/>
    <w:rsid w:val="00646D8D"/>
    <w:rsid w:val="00667FF3"/>
    <w:rsid w:val="00677761"/>
    <w:rsid w:val="0069063C"/>
    <w:rsid w:val="006B1BF9"/>
    <w:rsid w:val="006D1F4C"/>
    <w:rsid w:val="006F308E"/>
    <w:rsid w:val="00703AAD"/>
    <w:rsid w:val="00742211"/>
    <w:rsid w:val="007512FF"/>
    <w:rsid w:val="007576D3"/>
    <w:rsid w:val="00762D9B"/>
    <w:rsid w:val="0077555F"/>
    <w:rsid w:val="00797152"/>
    <w:rsid w:val="007A30E8"/>
    <w:rsid w:val="007B2757"/>
    <w:rsid w:val="007B7F78"/>
    <w:rsid w:val="007C7CCF"/>
    <w:rsid w:val="007D3C57"/>
    <w:rsid w:val="00801EE0"/>
    <w:rsid w:val="00833C07"/>
    <w:rsid w:val="00847FB9"/>
    <w:rsid w:val="00860B69"/>
    <w:rsid w:val="00867C40"/>
    <w:rsid w:val="00870512"/>
    <w:rsid w:val="00871558"/>
    <w:rsid w:val="008B540F"/>
    <w:rsid w:val="008B71E2"/>
    <w:rsid w:val="008C5504"/>
    <w:rsid w:val="008D4622"/>
    <w:rsid w:val="008E556F"/>
    <w:rsid w:val="008E5AD5"/>
    <w:rsid w:val="008E6807"/>
    <w:rsid w:val="008F4795"/>
    <w:rsid w:val="0093604D"/>
    <w:rsid w:val="0095296D"/>
    <w:rsid w:val="0095453B"/>
    <w:rsid w:val="009A3425"/>
    <w:rsid w:val="009A573D"/>
    <w:rsid w:val="009B4A8E"/>
    <w:rsid w:val="009F0F4D"/>
    <w:rsid w:val="009F58DF"/>
    <w:rsid w:val="009F6652"/>
    <w:rsid w:val="00A01F46"/>
    <w:rsid w:val="00A33541"/>
    <w:rsid w:val="00A41C85"/>
    <w:rsid w:val="00A83940"/>
    <w:rsid w:val="00A8657B"/>
    <w:rsid w:val="00AB3E07"/>
    <w:rsid w:val="00AE26AA"/>
    <w:rsid w:val="00AF361B"/>
    <w:rsid w:val="00B15D81"/>
    <w:rsid w:val="00B21EAF"/>
    <w:rsid w:val="00B22E62"/>
    <w:rsid w:val="00B301E8"/>
    <w:rsid w:val="00B359D5"/>
    <w:rsid w:val="00B71CF5"/>
    <w:rsid w:val="00B82159"/>
    <w:rsid w:val="00B96621"/>
    <w:rsid w:val="00BA0E65"/>
    <w:rsid w:val="00BB2186"/>
    <w:rsid w:val="00BB3088"/>
    <w:rsid w:val="00BC398E"/>
    <w:rsid w:val="00C2485D"/>
    <w:rsid w:val="00C3160F"/>
    <w:rsid w:val="00C334F6"/>
    <w:rsid w:val="00C606C8"/>
    <w:rsid w:val="00C60851"/>
    <w:rsid w:val="00C811B2"/>
    <w:rsid w:val="00C97C51"/>
    <w:rsid w:val="00CC2192"/>
    <w:rsid w:val="00CC5BAF"/>
    <w:rsid w:val="00CC703C"/>
    <w:rsid w:val="00CC77C5"/>
    <w:rsid w:val="00D20A5E"/>
    <w:rsid w:val="00D34F3E"/>
    <w:rsid w:val="00D56C18"/>
    <w:rsid w:val="00D62772"/>
    <w:rsid w:val="00D74AEA"/>
    <w:rsid w:val="00D74FAB"/>
    <w:rsid w:val="00D76787"/>
    <w:rsid w:val="00D9066E"/>
    <w:rsid w:val="00D95124"/>
    <w:rsid w:val="00DD1664"/>
    <w:rsid w:val="00DD7892"/>
    <w:rsid w:val="00DE10D6"/>
    <w:rsid w:val="00DF6E53"/>
    <w:rsid w:val="00E125B2"/>
    <w:rsid w:val="00E14C18"/>
    <w:rsid w:val="00E5612F"/>
    <w:rsid w:val="00E57CB8"/>
    <w:rsid w:val="00E6090E"/>
    <w:rsid w:val="00E76574"/>
    <w:rsid w:val="00E83202"/>
    <w:rsid w:val="00EB0219"/>
    <w:rsid w:val="00EB2003"/>
    <w:rsid w:val="00EC0596"/>
    <w:rsid w:val="00EE17F6"/>
    <w:rsid w:val="00F2099F"/>
    <w:rsid w:val="00F26E5E"/>
    <w:rsid w:val="00F34428"/>
    <w:rsid w:val="00F44A3C"/>
    <w:rsid w:val="00F65958"/>
    <w:rsid w:val="00F74EFE"/>
    <w:rsid w:val="00F7506D"/>
    <w:rsid w:val="00F75AEF"/>
    <w:rsid w:val="00F91563"/>
    <w:rsid w:val="00F929FB"/>
    <w:rsid w:val="00FA356F"/>
    <w:rsid w:val="00FA532F"/>
    <w:rsid w:val="00FF2C32"/>
  </w:rsids>
  <m:mathPr>
    <m:mathFont m:val="Cambria Math"/>
    <m:brkBin m:val="before"/>
    <m:brkBinSub m:val="--"/>
    <m:smallFrac m:val="0"/>
    <m:dispDef/>
    <m:lMargin m:val="0"/>
    <m:rMargin m:val="0"/>
    <m:defJc m:val="centerGroup"/>
    <m:wrapIndent m:val="1440"/>
    <m:intLim m:val="subSup"/>
    <m:naryLim m:val="undOvr"/>
  </m:mathPr>
  <w:attachedSchema w:val="http://www.boldonjames.com/SAFEofficeXML.xsd"/>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86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55F"/>
    <w:rPr>
      <w:sz w:val="24"/>
      <w:szCs w:val="24"/>
      <w:lang w:eastAsia="en-US"/>
    </w:rPr>
  </w:style>
  <w:style w:type="paragraph" w:styleId="Heading1">
    <w:name w:val="heading 1"/>
    <w:basedOn w:val="Normal"/>
    <w:next w:val="Normal"/>
    <w:qFormat/>
    <w:rsid w:val="0077555F"/>
    <w:pPr>
      <w:keepNext/>
      <w:outlineLvl w:val="0"/>
    </w:pPr>
    <w:rPr>
      <w:rFonts w:ascii="Arial" w:hAnsi="Arial" w:cs="Arial"/>
      <w:b/>
      <w:bCs/>
    </w:rPr>
  </w:style>
  <w:style w:type="paragraph" w:styleId="Heading2">
    <w:name w:val="heading 2"/>
    <w:basedOn w:val="Normal"/>
    <w:next w:val="Normal"/>
    <w:qFormat/>
    <w:rsid w:val="0077555F"/>
    <w:pPr>
      <w:keepNext/>
      <w:ind w:hanging="720"/>
      <w:jc w:val="right"/>
      <w:outlineLvl w:val="1"/>
    </w:pPr>
    <w:rPr>
      <w:rFonts w:ascii="Arial" w:hAnsi="Arial" w:cs="Arial"/>
      <w:b/>
      <w:bCs/>
    </w:rPr>
  </w:style>
  <w:style w:type="paragraph" w:styleId="Heading3">
    <w:name w:val="heading 3"/>
    <w:basedOn w:val="Normal"/>
    <w:next w:val="Normal"/>
    <w:qFormat/>
    <w:rsid w:val="0077555F"/>
    <w:pPr>
      <w:keepNext/>
      <w:jc w:val="right"/>
      <w:outlineLvl w:val="2"/>
    </w:pPr>
    <w:rPr>
      <w:rFonts w:ascii="Arial" w:hAnsi="Arial" w:cs="Arial"/>
      <w:b/>
      <w:bCs/>
    </w:rPr>
  </w:style>
  <w:style w:type="paragraph" w:styleId="Heading4">
    <w:name w:val="heading 4"/>
    <w:basedOn w:val="Normal"/>
    <w:next w:val="Normal"/>
    <w:qFormat/>
    <w:rsid w:val="0077555F"/>
    <w:pPr>
      <w:keepNext/>
      <w:jc w:val="both"/>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77555F"/>
    <w:rPr>
      <w:color w:val="0000FF"/>
      <w:u w:val="single"/>
    </w:rPr>
  </w:style>
  <w:style w:type="character" w:styleId="FollowedHyperlink">
    <w:name w:val="FollowedHyperlink"/>
    <w:basedOn w:val="DefaultParagraphFont"/>
    <w:semiHidden/>
    <w:rsid w:val="0077555F"/>
    <w:rPr>
      <w:color w:val="800080"/>
      <w:u w:val="single"/>
    </w:rPr>
  </w:style>
  <w:style w:type="paragraph" w:styleId="BodyText">
    <w:name w:val="Body Text"/>
    <w:basedOn w:val="Normal"/>
    <w:semiHidden/>
    <w:rsid w:val="0077555F"/>
    <w:pPr>
      <w:jc w:val="right"/>
    </w:pPr>
    <w:rPr>
      <w:rFonts w:ascii="Arial" w:hAnsi="Arial" w:cs="Arial"/>
      <w:b/>
      <w:bCs/>
    </w:rPr>
  </w:style>
  <w:style w:type="paragraph" w:styleId="BodyText2">
    <w:name w:val="Body Text 2"/>
    <w:basedOn w:val="Normal"/>
    <w:semiHidden/>
    <w:rsid w:val="0077555F"/>
    <w:rPr>
      <w:rFonts w:ascii="Arial" w:hAnsi="Arial" w:cs="Arial"/>
      <w:i/>
      <w:iCs/>
    </w:rPr>
  </w:style>
  <w:style w:type="paragraph" w:styleId="BodyText3">
    <w:name w:val="Body Text 3"/>
    <w:basedOn w:val="Normal"/>
    <w:semiHidden/>
    <w:rsid w:val="0077555F"/>
    <w:pPr>
      <w:jc w:val="both"/>
    </w:pPr>
  </w:style>
  <w:style w:type="paragraph" w:styleId="NormalWeb">
    <w:name w:val="Normal (Web)"/>
    <w:basedOn w:val="Normal"/>
    <w:semiHidden/>
    <w:rsid w:val="0077555F"/>
    <w:pPr>
      <w:spacing w:before="100" w:beforeAutospacing="1" w:after="100" w:afterAutospacing="1"/>
    </w:pPr>
    <w:rPr>
      <w:rFonts w:ascii="Arial Unicode MS" w:hAnsi="Arial Unicode MS"/>
      <w:lang w:val="en-US"/>
    </w:rPr>
  </w:style>
  <w:style w:type="paragraph" w:styleId="Header">
    <w:name w:val="header"/>
    <w:basedOn w:val="Normal"/>
    <w:link w:val="HeaderChar"/>
    <w:uiPriority w:val="99"/>
    <w:semiHidden/>
    <w:unhideWhenUsed/>
    <w:rsid w:val="00DD7892"/>
    <w:pPr>
      <w:tabs>
        <w:tab w:val="center" w:pos="4513"/>
        <w:tab w:val="right" w:pos="9026"/>
      </w:tabs>
    </w:pPr>
  </w:style>
  <w:style w:type="character" w:customStyle="1" w:styleId="HeaderChar">
    <w:name w:val="Header Char"/>
    <w:basedOn w:val="DefaultParagraphFont"/>
    <w:link w:val="Header"/>
    <w:uiPriority w:val="99"/>
    <w:semiHidden/>
    <w:rsid w:val="00DD7892"/>
    <w:rPr>
      <w:sz w:val="24"/>
      <w:szCs w:val="24"/>
      <w:lang w:eastAsia="en-US"/>
    </w:rPr>
  </w:style>
  <w:style w:type="paragraph" w:styleId="Footer">
    <w:name w:val="footer"/>
    <w:basedOn w:val="Normal"/>
    <w:link w:val="FooterChar"/>
    <w:uiPriority w:val="99"/>
    <w:semiHidden/>
    <w:unhideWhenUsed/>
    <w:rsid w:val="00DD7892"/>
    <w:pPr>
      <w:tabs>
        <w:tab w:val="center" w:pos="4513"/>
        <w:tab w:val="right" w:pos="9026"/>
      </w:tabs>
    </w:pPr>
  </w:style>
  <w:style w:type="character" w:customStyle="1" w:styleId="FooterChar">
    <w:name w:val="Footer Char"/>
    <w:basedOn w:val="DefaultParagraphFont"/>
    <w:link w:val="Footer"/>
    <w:uiPriority w:val="99"/>
    <w:semiHidden/>
    <w:rsid w:val="00DD7892"/>
    <w:rPr>
      <w:sz w:val="24"/>
      <w:szCs w:val="24"/>
      <w:lang w:eastAsia="en-US"/>
    </w:rPr>
  </w:style>
  <w:style w:type="paragraph" w:styleId="ListParagraph">
    <w:name w:val="List Paragraph"/>
    <w:basedOn w:val="Normal"/>
    <w:uiPriority w:val="34"/>
    <w:qFormat/>
    <w:rsid w:val="00A01F46"/>
    <w:pPr>
      <w:ind w:left="720"/>
    </w:pPr>
  </w:style>
  <w:style w:type="paragraph" w:styleId="PlainText">
    <w:name w:val="Plain Text"/>
    <w:basedOn w:val="Normal"/>
    <w:link w:val="PlainTextChar"/>
    <w:uiPriority w:val="99"/>
    <w:semiHidden/>
    <w:unhideWhenUsed/>
    <w:rsid w:val="00A33541"/>
    <w:rPr>
      <w:rFonts w:ascii="Consolas" w:eastAsiaTheme="minorEastAsia" w:hAnsi="Consolas" w:cstheme="minorBidi"/>
      <w:sz w:val="21"/>
      <w:szCs w:val="21"/>
      <w:lang w:eastAsia="en-GB"/>
    </w:rPr>
  </w:style>
  <w:style w:type="character" w:customStyle="1" w:styleId="PlainTextChar">
    <w:name w:val="Plain Text Char"/>
    <w:basedOn w:val="DefaultParagraphFont"/>
    <w:link w:val="PlainText"/>
    <w:uiPriority w:val="99"/>
    <w:semiHidden/>
    <w:rsid w:val="00A33541"/>
    <w:rPr>
      <w:rFonts w:ascii="Consolas" w:eastAsiaTheme="minorEastAsia" w:hAnsi="Consolas" w:cstheme="minorBidi"/>
      <w:sz w:val="21"/>
      <w:szCs w:val="21"/>
    </w:rPr>
  </w:style>
  <w:style w:type="paragraph" w:styleId="FootnoteText">
    <w:name w:val="footnote text"/>
    <w:basedOn w:val="Normal"/>
    <w:link w:val="FootnoteTextChar"/>
    <w:uiPriority w:val="99"/>
    <w:semiHidden/>
    <w:unhideWhenUsed/>
    <w:rsid w:val="00514D13"/>
    <w:rPr>
      <w:sz w:val="20"/>
      <w:szCs w:val="20"/>
    </w:rPr>
  </w:style>
  <w:style w:type="character" w:customStyle="1" w:styleId="FootnoteTextChar">
    <w:name w:val="Footnote Text Char"/>
    <w:basedOn w:val="DefaultParagraphFont"/>
    <w:link w:val="FootnoteText"/>
    <w:uiPriority w:val="99"/>
    <w:semiHidden/>
    <w:rsid w:val="00514D13"/>
    <w:rPr>
      <w:lang w:eastAsia="en-US"/>
    </w:rPr>
  </w:style>
  <w:style w:type="character" w:styleId="FootnoteReference">
    <w:name w:val="footnote reference"/>
    <w:basedOn w:val="DefaultParagraphFont"/>
    <w:uiPriority w:val="99"/>
    <w:semiHidden/>
    <w:unhideWhenUsed/>
    <w:rsid w:val="00514D1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55F"/>
    <w:rPr>
      <w:sz w:val="24"/>
      <w:szCs w:val="24"/>
      <w:lang w:eastAsia="en-US"/>
    </w:rPr>
  </w:style>
  <w:style w:type="paragraph" w:styleId="Heading1">
    <w:name w:val="heading 1"/>
    <w:basedOn w:val="Normal"/>
    <w:next w:val="Normal"/>
    <w:qFormat/>
    <w:rsid w:val="0077555F"/>
    <w:pPr>
      <w:keepNext/>
      <w:outlineLvl w:val="0"/>
    </w:pPr>
    <w:rPr>
      <w:rFonts w:ascii="Arial" w:hAnsi="Arial" w:cs="Arial"/>
      <w:b/>
      <w:bCs/>
    </w:rPr>
  </w:style>
  <w:style w:type="paragraph" w:styleId="Heading2">
    <w:name w:val="heading 2"/>
    <w:basedOn w:val="Normal"/>
    <w:next w:val="Normal"/>
    <w:qFormat/>
    <w:rsid w:val="0077555F"/>
    <w:pPr>
      <w:keepNext/>
      <w:ind w:hanging="720"/>
      <w:jc w:val="right"/>
      <w:outlineLvl w:val="1"/>
    </w:pPr>
    <w:rPr>
      <w:rFonts w:ascii="Arial" w:hAnsi="Arial" w:cs="Arial"/>
      <w:b/>
      <w:bCs/>
    </w:rPr>
  </w:style>
  <w:style w:type="paragraph" w:styleId="Heading3">
    <w:name w:val="heading 3"/>
    <w:basedOn w:val="Normal"/>
    <w:next w:val="Normal"/>
    <w:qFormat/>
    <w:rsid w:val="0077555F"/>
    <w:pPr>
      <w:keepNext/>
      <w:jc w:val="right"/>
      <w:outlineLvl w:val="2"/>
    </w:pPr>
    <w:rPr>
      <w:rFonts w:ascii="Arial" w:hAnsi="Arial" w:cs="Arial"/>
      <w:b/>
      <w:bCs/>
    </w:rPr>
  </w:style>
  <w:style w:type="paragraph" w:styleId="Heading4">
    <w:name w:val="heading 4"/>
    <w:basedOn w:val="Normal"/>
    <w:next w:val="Normal"/>
    <w:qFormat/>
    <w:rsid w:val="0077555F"/>
    <w:pPr>
      <w:keepNext/>
      <w:jc w:val="both"/>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77555F"/>
    <w:rPr>
      <w:color w:val="0000FF"/>
      <w:u w:val="single"/>
    </w:rPr>
  </w:style>
  <w:style w:type="character" w:styleId="FollowedHyperlink">
    <w:name w:val="FollowedHyperlink"/>
    <w:basedOn w:val="DefaultParagraphFont"/>
    <w:semiHidden/>
    <w:rsid w:val="0077555F"/>
    <w:rPr>
      <w:color w:val="800080"/>
      <w:u w:val="single"/>
    </w:rPr>
  </w:style>
  <w:style w:type="paragraph" w:styleId="BodyText">
    <w:name w:val="Body Text"/>
    <w:basedOn w:val="Normal"/>
    <w:semiHidden/>
    <w:rsid w:val="0077555F"/>
    <w:pPr>
      <w:jc w:val="right"/>
    </w:pPr>
    <w:rPr>
      <w:rFonts w:ascii="Arial" w:hAnsi="Arial" w:cs="Arial"/>
      <w:b/>
      <w:bCs/>
    </w:rPr>
  </w:style>
  <w:style w:type="paragraph" w:styleId="BodyText2">
    <w:name w:val="Body Text 2"/>
    <w:basedOn w:val="Normal"/>
    <w:semiHidden/>
    <w:rsid w:val="0077555F"/>
    <w:rPr>
      <w:rFonts w:ascii="Arial" w:hAnsi="Arial" w:cs="Arial"/>
      <w:i/>
      <w:iCs/>
    </w:rPr>
  </w:style>
  <w:style w:type="paragraph" w:styleId="BodyText3">
    <w:name w:val="Body Text 3"/>
    <w:basedOn w:val="Normal"/>
    <w:semiHidden/>
    <w:rsid w:val="0077555F"/>
    <w:pPr>
      <w:jc w:val="both"/>
    </w:pPr>
  </w:style>
  <w:style w:type="paragraph" w:styleId="NormalWeb">
    <w:name w:val="Normal (Web)"/>
    <w:basedOn w:val="Normal"/>
    <w:semiHidden/>
    <w:rsid w:val="0077555F"/>
    <w:pPr>
      <w:spacing w:before="100" w:beforeAutospacing="1" w:after="100" w:afterAutospacing="1"/>
    </w:pPr>
    <w:rPr>
      <w:rFonts w:ascii="Arial Unicode MS" w:hAnsi="Arial Unicode MS"/>
      <w:lang w:val="en-US"/>
    </w:rPr>
  </w:style>
  <w:style w:type="paragraph" w:styleId="Header">
    <w:name w:val="header"/>
    <w:basedOn w:val="Normal"/>
    <w:link w:val="HeaderChar"/>
    <w:uiPriority w:val="99"/>
    <w:semiHidden/>
    <w:unhideWhenUsed/>
    <w:rsid w:val="00DD7892"/>
    <w:pPr>
      <w:tabs>
        <w:tab w:val="center" w:pos="4513"/>
        <w:tab w:val="right" w:pos="9026"/>
      </w:tabs>
    </w:pPr>
  </w:style>
  <w:style w:type="character" w:customStyle="1" w:styleId="HeaderChar">
    <w:name w:val="Header Char"/>
    <w:basedOn w:val="DefaultParagraphFont"/>
    <w:link w:val="Header"/>
    <w:uiPriority w:val="99"/>
    <w:semiHidden/>
    <w:rsid w:val="00DD7892"/>
    <w:rPr>
      <w:sz w:val="24"/>
      <w:szCs w:val="24"/>
      <w:lang w:eastAsia="en-US"/>
    </w:rPr>
  </w:style>
  <w:style w:type="paragraph" w:styleId="Footer">
    <w:name w:val="footer"/>
    <w:basedOn w:val="Normal"/>
    <w:link w:val="FooterChar"/>
    <w:uiPriority w:val="99"/>
    <w:semiHidden/>
    <w:unhideWhenUsed/>
    <w:rsid w:val="00DD7892"/>
    <w:pPr>
      <w:tabs>
        <w:tab w:val="center" w:pos="4513"/>
        <w:tab w:val="right" w:pos="9026"/>
      </w:tabs>
    </w:pPr>
  </w:style>
  <w:style w:type="character" w:customStyle="1" w:styleId="FooterChar">
    <w:name w:val="Footer Char"/>
    <w:basedOn w:val="DefaultParagraphFont"/>
    <w:link w:val="Footer"/>
    <w:uiPriority w:val="99"/>
    <w:semiHidden/>
    <w:rsid w:val="00DD7892"/>
    <w:rPr>
      <w:sz w:val="24"/>
      <w:szCs w:val="24"/>
      <w:lang w:eastAsia="en-US"/>
    </w:rPr>
  </w:style>
  <w:style w:type="paragraph" w:styleId="ListParagraph">
    <w:name w:val="List Paragraph"/>
    <w:basedOn w:val="Normal"/>
    <w:uiPriority w:val="34"/>
    <w:qFormat/>
    <w:rsid w:val="00A01F46"/>
    <w:pPr>
      <w:ind w:left="720"/>
    </w:pPr>
  </w:style>
  <w:style w:type="paragraph" w:styleId="PlainText">
    <w:name w:val="Plain Text"/>
    <w:basedOn w:val="Normal"/>
    <w:link w:val="PlainTextChar"/>
    <w:uiPriority w:val="99"/>
    <w:semiHidden/>
    <w:unhideWhenUsed/>
    <w:rsid w:val="00A33541"/>
    <w:rPr>
      <w:rFonts w:ascii="Consolas" w:eastAsiaTheme="minorEastAsia" w:hAnsi="Consolas" w:cstheme="minorBidi"/>
      <w:sz w:val="21"/>
      <w:szCs w:val="21"/>
      <w:lang w:eastAsia="en-GB"/>
    </w:rPr>
  </w:style>
  <w:style w:type="character" w:customStyle="1" w:styleId="PlainTextChar">
    <w:name w:val="Plain Text Char"/>
    <w:basedOn w:val="DefaultParagraphFont"/>
    <w:link w:val="PlainText"/>
    <w:uiPriority w:val="99"/>
    <w:semiHidden/>
    <w:rsid w:val="00A33541"/>
    <w:rPr>
      <w:rFonts w:ascii="Consolas" w:eastAsiaTheme="minorEastAsia" w:hAnsi="Consolas" w:cstheme="minorBidi"/>
      <w:sz w:val="21"/>
      <w:szCs w:val="21"/>
    </w:rPr>
  </w:style>
  <w:style w:type="paragraph" w:styleId="FootnoteText">
    <w:name w:val="footnote text"/>
    <w:basedOn w:val="Normal"/>
    <w:link w:val="FootnoteTextChar"/>
    <w:uiPriority w:val="99"/>
    <w:semiHidden/>
    <w:unhideWhenUsed/>
    <w:rsid w:val="00514D13"/>
    <w:rPr>
      <w:sz w:val="20"/>
      <w:szCs w:val="20"/>
    </w:rPr>
  </w:style>
  <w:style w:type="character" w:customStyle="1" w:styleId="FootnoteTextChar">
    <w:name w:val="Footnote Text Char"/>
    <w:basedOn w:val="DefaultParagraphFont"/>
    <w:link w:val="FootnoteText"/>
    <w:uiPriority w:val="99"/>
    <w:semiHidden/>
    <w:rsid w:val="00514D13"/>
    <w:rPr>
      <w:lang w:eastAsia="en-US"/>
    </w:rPr>
  </w:style>
  <w:style w:type="character" w:styleId="FootnoteReference">
    <w:name w:val="footnote reference"/>
    <w:basedOn w:val="DefaultParagraphFont"/>
    <w:uiPriority w:val="99"/>
    <w:semiHidden/>
    <w:unhideWhenUsed/>
    <w:rsid w:val="00514D1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653899">
      <w:bodyDiv w:val="1"/>
      <w:marLeft w:val="0"/>
      <w:marRight w:val="0"/>
      <w:marTop w:val="0"/>
      <w:marBottom w:val="0"/>
      <w:divBdr>
        <w:top w:val="none" w:sz="0" w:space="0" w:color="auto"/>
        <w:left w:val="none" w:sz="0" w:space="0" w:color="auto"/>
        <w:bottom w:val="none" w:sz="0" w:space="0" w:color="auto"/>
        <w:right w:val="none" w:sz="0" w:space="0" w:color="auto"/>
      </w:divBdr>
    </w:div>
    <w:div w:id="213470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label version="1.0">
  <element uid="id_newpolicy" value=""/>
  <element uid="id_unclassified" value=""/>
</label>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B7AB7F-BF2C-43D9-A3B0-4F58DE66A0A2}">
  <ds:schemaRefs/>
</ds:datastoreItem>
</file>

<file path=customXml/itemProps2.xml><?xml version="1.0" encoding="utf-8"?>
<ds:datastoreItem xmlns:ds="http://schemas.openxmlformats.org/officeDocument/2006/customXml" ds:itemID="{3D562FEE-00CA-4E9C-9AB9-2EF21F66D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748</Words>
  <Characters>4267</Characters>
  <Application>Microsoft Office Word</Application>
  <DocSecurity>4</DocSecurity>
  <Lines>35</Lines>
  <Paragraphs>10</Paragraphs>
  <ScaleCrop>false</ScaleCrop>
  <HeadingPairs>
    <vt:vector size="2" baseType="variant">
      <vt:variant>
        <vt:lpstr>Title</vt:lpstr>
      </vt:variant>
      <vt:variant>
        <vt:i4>1</vt:i4>
      </vt:variant>
    </vt:vector>
  </HeadingPairs>
  <TitlesOfParts>
    <vt:vector size="1" baseType="lpstr">
      <vt:lpstr>STANDARD FORM OF EXPLANATORY MEMORANDUM FOR FIRST PILLAR (COMMUNITY) LEGISLATION</vt:lpstr>
    </vt:vector>
  </TitlesOfParts>
  <Company>Her Majesty's Treasury</Company>
  <LinksUpToDate>false</LinksUpToDate>
  <CharactersWithSpaces>5005</CharactersWithSpaces>
  <SharedDoc>false</SharedDoc>
  <HLinks>
    <vt:vector size="6" baseType="variant">
      <vt:variant>
        <vt:i4>327683</vt:i4>
      </vt:variant>
      <vt:variant>
        <vt:i4>0</vt:i4>
      </vt:variant>
      <vt:variant>
        <vt:i4>0</vt:i4>
      </vt:variant>
      <vt:variant>
        <vt:i4>5</vt:i4>
      </vt:variant>
      <vt:variant>
        <vt:lpwstr>http://www.parliament.uk/documents/upload/webdoc5.doc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FORM OF EXPLANATORY MEMORANDUM FOR FIRST PILLAR (COMMUNITY) LEGISLATION</dc:title>
  <dc:creator>Alex Keattch</dc:creator>
  <cp:lastModifiedBy>Lawrence, Ellen - Cabinet Office [Restricted]</cp:lastModifiedBy>
  <cp:revision>2</cp:revision>
  <cp:lastPrinted>2013-10-17T14:08:00Z</cp:lastPrinted>
  <dcterms:created xsi:type="dcterms:W3CDTF">2013-10-18T09:43:00Z</dcterms:created>
  <dcterms:modified xsi:type="dcterms:W3CDTF">2013-10-18T09:43:00Z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0x01010078361F5267250D4B9A0755E8D2C30AFB</vt:lpwstr>
  </property>
  <property fmtid="{D5CDD505-2E9C-101B-9397-08002B2CF9AE}" pid="3" name="bjDocumentSecurityLabel">
    <vt:lpwstr>UNCLASSIFIED</vt:lpwstr>
  </property>
  <property fmtid="{D5CDD505-2E9C-101B-9397-08002B2CF9AE}" pid="4" name="Document Security Label">
    <vt:lpwstr>UNCLASSIFIED</vt:lpwstr>
  </property>
  <property fmtid="{D5CDD505-2E9C-101B-9397-08002B2CF9AE}" pid="5" name="bjDocumentSecurityXML">
    <vt:lpwstr>&lt;label version="1.0"&gt;&lt;element uid="id_newpolicy" value=""/&gt;&lt;element uid="id_unclassified" value=""/&gt;&lt;/label&gt;</vt:lpwstr>
  </property>
  <property fmtid="{D5CDD505-2E9C-101B-9397-08002B2CF9AE}" pid="6" name="bjDocumentSecurityPolicyProp">
    <vt:lpwstr>UK</vt:lpwstr>
  </property>
  <property fmtid="{D5CDD505-2E9C-101B-9397-08002B2CF9AE}" pid="7" name="bjDocumentSecurityPolicyPropID">
    <vt:lpwstr>id_newpolicy</vt:lpwstr>
  </property>
  <property fmtid="{D5CDD505-2E9C-101B-9397-08002B2CF9AE}" pid="8" name="bjDocumentSecurityProp1">
    <vt:lpwstr>UNCLASSIFIED</vt:lpwstr>
  </property>
  <property fmtid="{D5CDD505-2E9C-101B-9397-08002B2CF9AE}" pid="9" name="bjSecLabelProp1ID">
    <vt:lpwstr>id_unclassified</vt:lpwstr>
  </property>
  <property fmtid="{D5CDD505-2E9C-101B-9397-08002B2CF9AE}" pid="10" name="bjDocumentSecurityProp2">
    <vt:lpwstr/>
  </property>
  <property fmtid="{D5CDD505-2E9C-101B-9397-08002B2CF9AE}" pid="11" name="bjSecLabelProp2ID">
    <vt:lpwstr/>
  </property>
  <property fmtid="{D5CDD505-2E9C-101B-9397-08002B2CF9AE}" pid="12" name="bjDocumentSecurityProp3">
    <vt:lpwstr/>
  </property>
  <property fmtid="{D5CDD505-2E9C-101B-9397-08002B2CF9AE}" pid="13" name="bjSecLabelProp3ID">
    <vt:lpwstr/>
  </property>
  <property fmtid="{D5CDD505-2E9C-101B-9397-08002B2CF9AE}" pid="14" name="eGMS.protectiveMarking">
    <vt:lpwstr/>
  </property>
  <property fmtid="{D5CDD505-2E9C-101B-9397-08002B2CF9AE}" pid="15" name="docIndexRef">
    <vt:lpwstr>6f3cd9f0-cb8a-4a14-89a8-4fb6569f32f0</vt:lpwstr>
  </property>
</Properties>
</file>