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640D1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Instrumento de Avaliação Socioemocional de Relato Familiar (</w:t>
      </w:r>
      <w:proofErr w:type="spellStart"/>
      <w:r w:rsidRPr="00911921">
        <w:rPr>
          <w:b/>
          <w:bCs/>
        </w:rPr>
        <w:t>Heteroavaliação</w:t>
      </w:r>
      <w:proofErr w:type="spellEnd"/>
      <w:r w:rsidRPr="00911921">
        <w:rPr>
          <w:b/>
          <w:bCs/>
        </w:rPr>
        <w:t>)</w:t>
      </w:r>
    </w:p>
    <w:p w14:paraId="7E418D8E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1. Fundamentação Teórica e Arquitetura Psicométrica</w:t>
      </w:r>
    </w:p>
    <w:p w14:paraId="33E075B3" w14:textId="77777777" w:rsidR="00911921" w:rsidRPr="00911921" w:rsidRDefault="00911921" w:rsidP="00911921">
      <w:r w:rsidRPr="00911921">
        <w:t xml:space="preserve">A construção de um instrumento de </w:t>
      </w:r>
      <w:proofErr w:type="spellStart"/>
      <w:r w:rsidRPr="00911921">
        <w:t>heteroavaliação</w:t>
      </w:r>
      <w:proofErr w:type="spellEnd"/>
      <w:r w:rsidRPr="00911921">
        <w:t xml:space="preserve"> focado no desenvolvimento socioemocional exige ancoragem em modelos psicométricos e educacionais empiricamente validados. O presente protocolo estrutura-se na intersecção entre o modelo heurístico dos Cinco Grandes Fatores (</w:t>
      </w:r>
      <w:r w:rsidRPr="00911921">
        <w:rPr>
          <w:i/>
          <w:iCs/>
        </w:rPr>
        <w:t>Big Five</w:t>
      </w:r>
      <w:r w:rsidRPr="00911921">
        <w:t xml:space="preserve">) — amplamente validado na literatura psicológica contemporânea para a mensuração de traços de personalidade (JOHN; SRIVASTAVA, 1999) — e o </w:t>
      </w:r>
      <w:r w:rsidRPr="00911921">
        <w:rPr>
          <w:i/>
          <w:iCs/>
        </w:rPr>
        <w:t>framework</w:t>
      </w:r>
      <w:r w:rsidRPr="00911921">
        <w:t xml:space="preserve"> de competências da </w:t>
      </w:r>
      <w:proofErr w:type="spellStart"/>
      <w:r w:rsidRPr="00911921">
        <w:rPr>
          <w:i/>
          <w:iCs/>
        </w:rPr>
        <w:t>Collaborative</w:t>
      </w:r>
      <w:proofErr w:type="spellEnd"/>
      <w:r w:rsidRPr="00911921">
        <w:rPr>
          <w:i/>
          <w:iCs/>
        </w:rPr>
        <w:t xml:space="preserve"> for </w:t>
      </w:r>
      <w:proofErr w:type="spellStart"/>
      <w:r w:rsidRPr="00911921">
        <w:rPr>
          <w:i/>
          <w:iCs/>
        </w:rPr>
        <w:t>Academic</w:t>
      </w:r>
      <w:proofErr w:type="spellEnd"/>
      <w:r w:rsidRPr="00911921">
        <w:rPr>
          <w:i/>
          <w:iCs/>
        </w:rPr>
        <w:t xml:space="preserve">, Social, </w:t>
      </w:r>
      <w:proofErr w:type="spellStart"/>
      <w:r w:rsidRPr="00911921">
        <w:rPr>
          <w:i/>
          <w:iCs/>
        </w:rPr>
        <w:t>and</w:t>
      </w:r>
      <w:proofErr w:type="spellEnd"/>
      <w:r w:rsidRPr="00911921">
        <w:rPr>
          <w:i/>
          <w:iCs/>
        </w:rPr>
        <w:t xml:space="preserve"> </w:t>
      </w:r>
      <w:proofErr w:type="spellStart"/>
      <w:r w:rsidRPr="00911921">
        <w:rPr>
          <w:i/>
          <w:iCs/>
        </w:rPr>
        <w:t>Emotional</w:t>
      </w:r>
      <w:proofErr w:type="spellEnd"/>
      <w:r w:rsidRPr="00911921">
        <w:rPr>
          <w:i/>
          <w:iCs/>
        </w:rPr>
        <w:t xml:space="preserve"> Learning</w:t>
      </w:r>
      <w:r w:rsidRPr="00911921">
        <w:t xml:space="preserve"> (CASEL, 2020).</w:t>
      </w:r>
    </w:p>
    <w:p w14:paraId="45102A45" w14:textId="56619448" w:rsidR="00911921" w:rsidRPr="00911921" w:rsidRDefault="00911921" w:rsidP="00911921">
      <w:r w:rsidRPr="00911921">
        <w:drawing>
          <wp:inline distT="0" distB="0" distL="0" distR="0" wp14:anchorId="48AB433C" wp14:editId="51F997BC">
            <wp:extent cx="5400040" cy="5400040"/>
            <wp:effectExtent l="0" t="0" r="0" b="0"/>
            <wp:docPr id="1408133417" name="Imagem 2" descr="the Big Five personality traits model, gerada com 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the Big Five personality traits model, gerada com I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27588" w14:textId="77777777" w:rsidR="00911921" w:rsidRPr="00911921" w:rsidRDefault="00911921" w:rsidP="00911921">
      <w:proofErr w:type="spellStart"/>
      <w:r w:rsidRPr="00911921">
        <w:t>Shutterstock</w:t>
      </w:r>
      <w:proofErr w:type="spellEnd"/>
    </w:p>
    <w:p w14:paraId="62D39B6D" w14:textId="77777777" w:rsidR="00911921" w:rsidRPr="00911921" w:rsidRDefault="00911921" w:rsidP="00911921">
      <w:r w:rsidRPr="00911921">
        <w:t>Explorar</w:t>
      </w:r>
    </w:p>
    <w:p w14:paraId="6AFE8733" w14:textId="77777777" w:rsidR="00911921" w:rsidRPr="00911921" w:rsidRDefault="00911921" w:rsidP="00911921">
      <w:r w:rsidRPr="00911921">
        <w:t xml:space="preserve">Enquanto o modelo </w:t>
      </w:r>
      <w:r w:rsidRPr="00911921">
        <w:rPr>
          <w:i/>
          <w:iCs/>
        </w:rPr>
        <w:t>Big Five</w:t>
      </w:r>
      <w:r w:rsidRPr="00911921">
        <w:t xml:space="preserve"> oferece a estabilidade do construto psicológico (Abertura, Conscienciosidade, Extroversão, Amabilidade e Estabilidade Emocional), o modelo CASEL traduz esses traços em habilidades operacionais no contexto ecológico e escolar </w:t>
      </w:r>
      <w:r w:rsidRPr="00911921">
        <w:lastRenderedPageBreak/>
        <w:t>(Autoconhecimento, Autogestão, Consciência Social, Habilidades de Relacionamento e Tomada de Decisão Responsável). A opção pelo relato familiar (</w:t>
      </w:r>
      <w:proofErr w:type="spellStart"/>
      <w:r w:rsidRPr="00911921">
        <w:t>heteroavaliação</w:t>
      </w:r>
      <w:proofErr w:type="spellEnd"/>
      <w:r w:rsidRPr="00911921">
        <w:t>) justifica-se pela premissa sociológica e sistêmica de que a família atua como o grupo primário de socialização, detendo um acesso privilegiado e longitudinal aos padrões comportamentais do educando em ambientes não estruturados (BERGER; LUCKMANN, 1985).</w:t>
      </w:r>
    </w:p>
    <w:p w14:paraId="4195B13A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2. Instruções de Aplicação e Escala de Medida</w:t>
      </w:r>
    </w:p>
    <w:p w14:paraId="26BCE819" w14:textId="77777777" w:rsidR="00911921" w:rsidRPr="00911921" w:rsidRDefault="00911921" w:rsidP="00911921">
      <w:r w:rsidRPr="00911921">
        <w:t xml:space="preserve">O instrumento utiliza uma escala do tipo </w:t>
      </w:r>
      <w:proofErr w:type="spellStart"/>
      <w:r w:rsidRPr="00911921">
        <w:rPr>
          <w:i/>
          <w:iCs/>
        </w:rPr>
        <w:t>Likert</w:t>
      </w:r>
      <w:proofErr w:type="spellEnd"/>
      <w:r w:rsidRPr="00911921">
        <w:t xml:space="preserve"> de 5 pontos para aferir a frequência e a intensidade dos comportamentos observáveis. A quantificação permite a mitigação de respostas dicotômicas e oferece uma gradação estatística mais refinada da percepção parental.</w:t>
      </w:r>
    </w:p>
    <w:p w14:paraId="3820BB62" w14:textId="77777777" w:rsidR="00911921" w:rsidRPr="00911921" w:rsidRDefault="00911921" w:rsidP="00911921">
      <w:r w:rsidRPr="00911921">
        <w:rPr>
          <w:b/>
          <w:bCs/>
        </w:rPr>
        <w:t>Instrução à Família:</w:t>
      </w:r>
      <w:r w:rsidRPr="00911921">
        <w:t xml:space="preserve"> "Abaixo, apresentamos afirmações sobre o comportamento cotidiano do(a) estudante. Baseado em suas observações nos últimos seis meses, assinale a alternativa que melhor descreve a frequência dessas atitudes, utilizando a seguinte escala: </w:t>
      </w:r>
      <w:r w:rsidRPr="00911921">
        <w:rPr>
          <w:b/>
          <w:bCs/>
        </w:rPr>
        <w:t>(1) Nunca | (2) Raramente | (3) Algumas Vezes | (4) Frequentemente | (5) Quase Sempre</w:t>
      </w:r>
      <w:r w:rsidRPr="00911921">
        <w:t>"</w:t>
      </w:r>
    </w:p>
    <w:p w14:paraId="5AC17032" w14:textId="77777777" w:rsidR="00911921" w:rsidRPr="00911921" w:rsidRDefault="00911921" w:rsidP="00911921">
      <w:r w:rsidRPr="00911921">
        <w:pict w14:anchorId="6D3F34ED">
          <v:rect id="_x0000_i1043" style="width:0;height:1.5pt" o:hralign="center" o:hrstd="t" o:hr="t" fillcolor="#a0a0a0" stroked="f"/>
        </w:pict>
      </w:r>
    </w:p>
    <w:p w14:paraId="49FA26F3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3. Inventário de Comportamentos Socioemocionais</w:t>
      </w:r>
    </w:p>
    <w:p w14:paraId="1CB50AA0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Eixo I: Autogestão e Conscienciosidade (Regulação da Ação)</w:t>
      </w:r>
    </w:p>
    <w:p w14:paraId="68656780" w14:textId="77777777" w:rsidR="00911921" w:rsidRPr="00911921" w:rsidRDefault="00911921" w:rsidP="00911921">
      <w:r w:rsidRPr="00911921">
        <w:t>Este eixo avalia a capacidade neurocognitiva e comportamental de postergar gratificações, organizar demandas e sustentar o foco (DUCKWORTH, 2016).</w:t>
      </w:r>
    </w:p>
    <w:p w14:paraId="15408F5D" w14:textId="77777777" w:rsidR="00911921" w:rsidRPr="00911921" w:rsidRDefault="00911921" w:rsidP="00911921">
      <w:pPr>
        <w:numPr>
          <w:ilvl w:val="0"/>
          <w:numId w:val="1"/>
        </w:numPr>
      </w:pPr>
      <w:proofErr w:type="gramStart"/>
      <w:r w:rsidRPr="00911921">
        <w:t>[ ]</w:t>
      </w:r>
      <w:proofErr w:type="gramEnd"/>
      <w:r w:rsidRPr="00911921">
        <w:t xml:space="preserve"> O(a) estudante consegue iniciar e concluir suas tarefas escolares em casa sem a necessidade de cobranças constantes.</w:t>
      </w:r>
    </w:p>
    <w:p w14:paraId="68C8B1E8" w14:textId="77777777" w:rsidR="00911921" w:rsidRPr="00911921" w:rsidRDefault="00911921" w:rsidP="00911921">
      <w:pPr>
        <w:numPr>
          <w:ilvl w:val="0"/>
          <w:numId w:val="1"/>
        </w:numPr>
      </w:pPr>
      <w:proofErr w:type="gramStart"/>
      <w:r w:rsidRPr="00911921">
        <w:t>[ ]</w:t>
      </w:r>
      <w:proofErr w:type="gramEnd"/>
      <w:r w:rsidRPr="00911921">
        <w:t xml:space="preserve"> Diante de uma tarefa longa ou difícil, mantém o esforço e não desiste nos primeiros obstáculos.</w:t>
      </w:r>
    </w:p>
    <w:p w14:paraId="765E0A4A" w14:textId="77777777" w:rsidR="00911921" w:rsidRPr="00911921" w:rsidRDefault="00911921" w:rsidP="00911921">
      <w:pPr>
        <w:numPr>
          <w:ilvl w:val="0"/>
          <w:numId w:val="1"/>
        </w:numPr>
      </w:pPr>
      <w:proofErr w:type="gramStart"/>
      <w:r w:rsidRPr="00911921">
        <w:t>[ ]</w:t>
      </w:r>
      <w:proofErr w:type="gramEnd"/>
      <w:r w:rsidRPr="00911921">
        <w:t xml:space="preserve"> Mantém seus materiais, rotinas e espaços de estudo organizados de forma autônoma.</w:t>
      </w:r>
    </w:p>
    <w:p w14:paraId="10BDA023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Eixo II: Resiliência e Estabilidade Emocional (Regulação da Emoção)</w:t>
      </w:r>
    </w:p>
    <w:p w14:paraId="1077C56E" w14:textId="77777777" w:rsidR="00911921" w:rsidRDefault="00911921" w:rsidP="00911921">
      <w:r w:rsidRPr="00911921">
        <w:t xml:space="preserve">Mapeia a flexibilidade cognitiva do sujeito diante de estressores e sua capacidade de modular respostas afetivas frente à frustração (BECK, 2013). </w:t>
      </w:r>
    </w:p>
    <w:p w14:paraId="20EFA60F" w14:textId="104AE408" w:rsidR="00911921" w:rsidRDefault="00911921" w:rsidP="00911921">
      <w:pPr>
        <w:ind w:left="284"/>
      </w:pPr>
      <w:r w:rsidRPr="00911921">
        <w:t xml:space="preserve">4. </w:t>
      </w:r>
      <w:proofErr w:type="gramStart"/>
      <w:r>
        <w:tab/>
      </w:r>
      <w:r w:rsidRPr="00911921">
        <w:t>[ ]</w:t>
      </w:r>
      <w:proofErr w:type="gramEnd"/>
      <w:r w:rsidRPr="00911921">
        <w:t xml:space="preserve"> Recupera-se com facilidade após receber uma crítica, correção ou ao enfrentar uma situação de perda (</w:t>
      </w:r>
      <w:proofErr w:type="spellStart"/>
      <w:r w:rsidRPr="00911921">
        <w:t>ex</w:t>
      </w:r>
      <w:proofErr w:type="spellEnd"/>
      <w:r w:rsidRPr="00911921">
        <w:t xml:space="preserve">: em jogos). </w:t>
      </w:r>
    </w:p>
    <w:p w14:paraId="4BF6AD9F" w14:textId="241AD2E3" w:rsidR="00911921" w:rsidRDefault="00911921" w:rsidP="00911921">
      <w:pPr>
        <w:ind w:left="284"/>
      </w:pPr>
      <w:r w:rsidRPr="00911921">
        <w:t xml:space="preserve">5. </w:t>
      </w:r>
      <w:proofErr w:type="gramStart"/>
      <w:r>
        <w:tab/>
      </w:r>
      <w:r w:rsidRPr="00911921">
        <w:t>[ ]</w:t>
      </w:r>
      <w:proofErr w:type="gramEnd"/>
      <w:r w:rsidRPr="00911921">
        <w:t xml:space="preserve"> Consegue expressar raiva ou frustração por meio de palavras, evitando comportamentos agressivos físicos ou explosões desproporcionais. </w:t>
      </w:r>
    </w:p>
    <w:p w14:paraId="55B51DE1" w14:textId="341908FC" w:rsidR="00911921" w:rsidRPr="00911921" w:rsidRDefault="00911921" w:rsidP="00911921">
      <w:pPr>
        <w:ind w:left="284"/>
      </w:pPr>
      <w:r w:rsidRPr="00911921">
        <w:t xml:space="preserve">6. </w:t>
      </w:r>
      <w:proofErr w:type="gramStart"/>
      <w:r>
        <w:tab/>
      </w:r>
      <w:r w:rsidRPr="00911921">
        <w:t>[ ]</w:t>
      </w:r>
      <w:proofErr w:type="gramEnd"/>
      <w:r w:rsidRPr="00911921">
        <w:t xml:space="preserve"> Adapta-se rapidamente a mudanças inesperadas na rotina sem apresentar ansiedade paralisante.</w:t>
      </w:r>
    </w:p>
    <w:p w14:paraId="20481F4D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lastRenderedPageBreak/>
        <w:t>Eixo III: Amabilidade e Consciência Social (Empatia)</w:t>
      </w:r>
    </w:p>
    <w:p w14:paraId="598FE1D1" w14:textId="77777777" w:rsidR="00911921" w:rsidRDefault="00911921" w:rsidP="00911921">
      <w:r w:rsidRPr="00911921">
        <w:t xml:space="preserve">Avalia a capacidade de </w:t>
      </w:r>
      <w:proofErr w:type="spellStart"/>
      <w:r w:rsidRPr="00911921">
        <w:t>descentração</w:t>
      </w:r>
      <w:proofErr w:type="spellEnd"/>
      <w:r w:rsidRPr="00911921">
        <w:t xml:space="preserve"> cognitiva, permitindo a leitura de estados mentais alheios (</w:t>
      </w:r>
      <w:r w:rsidRPr="00911921">
        <w:rPr>
          <w:i/>
          <w:iCs/>
        </w:rPr>
        <w:t>Teoria da Mente</w:t>
      </w:r>
      <w:r w:rsidRPr="00911921">
        <w:t xml:space="preserve">) e a inclinação à cooperação. </w:t>
      </w:r>
    </w:p>
    <w:p w14:paraId="7635F022" w14:textId="1780EB16" w:rsidR="00911921" w:rsidRDefault="00911921" w:rsidP="00911921">
      <w:pPr>
        <w:ind w:left="284"/>
      </w:pPr>
      <w:r w:rsidRPr="00911921">
        <w:t xml:space="preserve">7. </w:t>
      </w:r>
      <w:proofErr w:type="gramStart"/>
      <w:r>
        <w:tab/>
      </w:r>
      <w:r w:rsidRPr="00911921">
        <w:t>[ ]</w:t>
      </w:r>
      <w:proofErr w:type="gramEnd"/>
      <w:r w:rsidRPr="00911921">
        <w:t xml:space="preserve"> Demonstra preocupação genuína ao perceber que um familiar, colega ou animal está triste ou machucado. </w:t>
      </w:r>
    </w:p>
    <w:p w14:paraId="67CAC208" w14:textId="47C75C38" w:rsidR="00911921" w:rsidRDefault="00911921" w:rsidP="00911921">
      <w:pPr>
        <w:ind w:left="284"/>
      </w:pPr>
      <w:r w:rsidRPr="00911921">
        <w:t>8.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É capaz de ceder a própria vez ou compartilhar seus pertences para o benefício do grupo escolar ou familiar. </w:t>
      </w:r>
    </w:p>
    <w:p w14:paraId="09E5894B" w14:textId="4629B725" w:rsidR="00911921" w:rsidRPr="00911921" w:rsidRDefault="00911921" w:rsidP="00911921">
      <w:pPr>
        <w:ind w:left="284"/>
      </w:pPr>
      <w:r w:rsidRPr="00911921">
        <w:t>9.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Escuta atentamente a opinião dos outros, mesmo quando contrária à sua, antes de argumentar.</w:t>
      </w:r>
    </w:p>
    <w:p w14:paraId="45D0BE30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Eixo IV: Engajamento Social e Habilidades Relacionais (Extroversão)</w:t>
      </w:r>
    </w:p>
    <w:p w14:paraId="18D66DDD" w14:textId="77777777" w:rsidR="00911921" w:rsidRDefault="00911921" w:rsidP="00911921">
      <w:r w:rsidRPr="00911921">
        <w:t xml:space="preserve">Mensura a assertividade, a proatividade nas interações sociais e a competência na resolução de conflitos interpessoais. </w:t>
      </w:r>
    </w:p>
    <w:p w14:paraId="6BE2B2E7" w14:textId="225E294B" w:rsidR="00911921" w:rsidRDefault="00911921" w:rsidP="00911921">
      <w:pPr>
        <w:ind w:left="142"/>
      </w:pPr>
      <w:r w:rsidRPr="00911921">
        <w:t>10.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Inicia conversas e interações com outras crianças e adultos com naturalidade e confiança. </w:t>
      </w:r>
    </w:p>
    <w:p w14:paraId="6B9BB1A1" w14:textId="1162F5CB" w:rsidR="00911921" w:rsidRDefault="00911921" w:rsidP="00911921">
      <w:pPr>
        <w:ind w:left="142"/>
      </w:pPr>
      <w:r w:rsidRPr="00911921">
        <w:t>11.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Resolve conflitos com irmãos ou colegas por meio do diálogo, negociando soluções em vez de impor sua vontade. </w:t>
      </w:r>
    </w:p>
    <w:p w14:paraId="741D1D43" w14:textId="1C7C3488" w:rsidR="00911921" w:rsidRPr="00911921" w:rsidRDefault="00911921" w:rsidP="00911921">
      <w:pPr>
        <w:ind w:left="142"/>
      </w:pPr>
      <w:r w:rsidRPr="00911921">
        <w:t>12.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Trabalha bem em equipe, assumindo responsabilidades e encorajando os demais membros do grupo.</w:t>
      </w:r>
    </w:p>
    <w:p w14:paraId="1BF88DC6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Eixo V: Abertura ao Novo e Tomada de Decisão (Curiosidade Cognitiva)</w:t>
      </w:r>
    </w:p>
    <w:p w14:paraId="3B250700" w14:textId="77777777" w:rsidR="00911921" w:rsidRDefault="00911921" w:rsidP="00911921">
      <w:r w:rsidRPr="00911921">
        <w:t xml:space="preserve">Afere a receptividade a novas experiências estéticas, culturais e intelectuais, bem como a avaliação ética das próprias escolhas. </w:t>
      </w:r>
    </w:p>
    <w:p w14:paraId="5285893B" w14:textId="559F9C66" w:rsidR="00911921" w:rsidRDefault="00911921" w:rsidP="00911921">
      <w:r w:rsidRPr="00911921">
        <w:t>13.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Demonstra curiosidade por temas diversos, fazendo perguntas complexas sobre como o mundo, a natureza ou a sociedade funcionam. </w:t>
      </w:r>
    </w:p>
    <w:p w14:paraId="42B4E7AC" w14:textId="673FE8E4" w:rsidR="00911921" w:rsidRDefault="00911921" w:rsidP="00911921">
      <w:r w:rsidRPr="00911921">
        <w:t>14.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Antes de tomar uma atitude que afeta outras pessoas, pausa para refletir sobre as possíveis consequências de seus atos. </w:t>
      </w:r>
    </w:p>
    <w:p w14:paraId="2963B747" w14:textId="19D66BFD" w:rsidR="00911921" w:rsidRPr="00911921" w:rsidRDefault="00911921" w:rsidP="00911921">
      <w:r w:rsidRPr="00911921">
        <w:t>15.</w:t>
      </w:r>
      <w:r>
        <w:tab/>
      </w:r>
      <w:r w:rsidRPr="00911921">
        <w:t xml:space="preserve"> </w:t>
      </w:r>
      <w:proofErr w:type="gramStart"/>
      <w:r w:rsidRPr="00911921">
        <w:t>[ ]</w:t>
      </w:r>
      <w:proofErr w:type="gramEnd"/>
      <w:r w:rsidRPr="00911921">
        <w:t xml:space="preserve"> Mostra-se receptivo a experimentar novos métodos de estudo, novos alimentos ou novas atividades culturais.</w:t>
      </w:r>
    </w:p>
    <w:p w14:paraId="717AEA2B" w14:textId="3128773E" w:rsidR="00911921" w:rsidRPr="00911921" w:rsidRDefault="00911921" w:rsidP="00911921"/>
    <w:p w14:paraId="1376697D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4. Matriz de Apuração e Desenho do Perfil Socioemocional</w:t>
      </w:r>
    </w:p>
    <w:p w14:paraId="40B9893F" w14:textId="77777777" w:rsidR="00911921" w:rsidRPr="00911921" w:rsidRDefault="00911921" w:rsidP="00911921">
      <w:r w:rsidRPr="00911921">
        <w:t>A apuração ocorre por meio da soma aritmética simples dos itens de cada eixo (pontuação mínima de 3 e máxima de 15 por eixo). O perfil socioemocional não deve ser interpretado de forma clínica ou patologizante, mas sim como um mapa topológico de forças e áreas de desenvolvimento pedagógico.</w:t>
      </w:r>
    </w:p>
    <w:p w14:paraId="28D30F81" w14:textId="77777777" w:rsidR="00911921" w:rsidRPr="00911921" w:rsidRDefault="00911921" w:rsidP="00911921">
      <w:pPr>
        <w:numPr>
          <w:ilvl w:val="0"/>
          <w:numId w:val="2"/>
        </w:numPr>
      </w:pPr>
      <w:r w:rsidRPr="00911921">
        <w:rPr>
          <w:b/>
          <w:bCs/>
        </w:rPr>
        <w:lastRenderedPageBreak/>
        <w:t>12 a 15 pontos (Zona de Maestria):</w:t>
      </w:r>
      <w:r w:rsidRPr="00911921">
        <w:t xml:space="preserve"> A competência apresenta-se consolidada e funciona como um recurso protetivo para o estudante. A escola deve fomentar oportunidades para que o aluno exerça liderança e tutoria de pares nessas áreas.</w:t>
      </w:r>
    </w:p>
    <w:p w14:paraId="440684A1" w14:textId="77777777" w:rsidR="00911921" w:rsidRPr="00911921" w:rsidRDefault="00911921" w:rsidP="00911921">
      <w:pPr>
        <w:numPr>
          <w:ilvl w:val="0"/>
          <w:numId w:val="2"/>
        </w:numPr>
      </w:pPr>
      <w:r w:rsidRPr="00911921">
        <w:rPr>
          <w:b/>
          <w:bCs/>
        </w:rPr>
        <w:t>8 a 11 pontos (Zona de Desenvolvimento Proximal):</w:t>
      </w:r>
      <w:r w:rsidRPr="00911921">
        <w:t xml:space="preserve"> A habilidade está em formação, manifestando-se de forma oscilante, dependente do contexto ou da mediação de um adulto. Requer reforço positivo e modelagem comportamental.</w:t>
      </w:r>
    </w:p>
    <w:p w14:paraId="491AFA3E" w14:textId="77777777" w:rsidR="00911921" w:rsidRPr="00911921" w:rsidRDefault="00911921" w:rsidP="00911921">
      <w:pPr>
        <w:numPr>
          <w:ilvl w:val="0"/>
          <w:numId w:val="2"/>
        </w:numPr>
      </w:pPr>
      <w:r w:rsidRPr="00911921">
        <w:rPr>
          <w:b/>
          <w:bCs/>
        </w:rPr>
        <w:t>3 a 7 pontos (Zona de Atenção Pedagógica):</w:t>
      </w:r>
      <w:r w:rsidRPr="00911921">
        <w:t xml:space="preserve"> Indica vulnerabilidade no repertório comportamental. Exige a inserção do aluno em programas de intervenção socioemocional direcionados, treinamento de habilidades sociais (THS) ou, dependendo da severidade dos prejuízos acadêmicos e relacionais, encaminhamento para avaliação psicológica.</w:t>
      </w:r>
    </w:p>
    <w:p w14:paraId="2AFEE9A0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 xml:space="preserve">5. Contrapontos Teóricos: Os Limites da </w:t>
      </w:r>
      <w:proofErr w:type="spellStart"/>
      <w:r w:rsidRPr="00911921">
        <w:rPr>
          <w:b/>
          <w:bCs/>
        </w:rPr>
        <w:t>Heteroavaliação</w:t>
      </w:r>
      <w:proofErr w:type="spellEnd"/>
      <w:r w:rsidRPr="00911921">
        <w:rPr>
          <w:b/>
          <w:bCs/>
        </w:rPr>
        <w:t xml:space="preserve"> Parental</w:t>
      </w:r>
    </w:p>
    <w:p w14:paraId="10557572" w14:textId="77777777" w:rsidR="00911921" w:rsidRPr="00911921" w:rsidRDefault="00911921" w:rsidP="00911921">
      <w:r w:rsidRPr="00911921">
        <w:t xml:space="preserve">Do ponto de vista da psicometria e da psicologia cognitiva, é imperativo reconhecer as limitações epistêmicas inerentes aos instrumentos de relato baseados na observação familiar. A percepção parental </w:t>
      </w:r>
      <w:proofErr w:type="spellStart"/>
      <w:r w:rsidRPr="00911921">
        <w:t>está</w:t>
      </w:r>
      <w:proofErr w:type="spellEnd"/>
      <w:r w:rsidRPr="00911921">
        <w:t xml:space="preserve"> suscetível a vieses cognitivos significativos. O </w:t>
      </w:r>
      <w:r w:rsidRPr="00911921">
        <w:rPr>
          <w:i/>
          <w:iCs/>
        </w:rPr>
        <w:t>efeito halo</w:t>
      </w:r>
      <w:r w:rsidRPr="00911921">
        <w:t xml:space="preserve"> pode levar cuidadores a generalizar uma característica positiva (</w:t>
      </w:r>
      <w:proofErr w:type="spellStart"/>
      <w:r w:rsidRPr="00911921">
        <w:t>ex</w:t>
      </w:r>
      <w:proofErr w:type="spellEnd"/>
      <w:r w:rsidRPr="00911921">
        <w:t>: obediência) para todas as demais competências socioemocionais, inflando artificialmente os resultados (CRONBACH, 1990).</w:t>
      </w:r>
    </w:p>
    <w:p w14:paraId="3987537B" w14:textId="77777777" w:rsidR="00911921" w:rsidRPr="00911921" w:rsidRDefault="00911921" w:rsidP="00911921">
      <w:r w:rsidRPr="00911921">
        <w:t xml:space="preserve">Ademais, sob a lente da Terapia Cognitivo-Comportamental (TCC), as respostas fornecidas pela família são inexoravelmente filtradas pelos esquemas cognitivos dos próprios avaliadores (BECK, 2013). Pais com esquemas de </w:t>
      </w:r>
      <w:proofErr w:type="spellStart"/>
      <w:r w:rsidRPr="00911921">
        <w:t>hiper-exigência</w:t>
      </w:r>
      <w:proofErr w:type="spellEnd"/>
      <w:r w:rsidRPr="00911921">
        <w:t xml:space="preserve"> podem subavaliar a competência da criança, enquanto dinâmicas familiares marcadas pela negação de conflitos podem gerar respostas ancoradas na desejabilidade social. Portanto, para garantir o rigor metodológico na práxis educativa, os dados oriundos deste instrumento devem ser triangulados com autoavaliações do próprio estudante, registros anedóticos de professores e dados de desempenho acadêmico (PRIMI </w:t>
      </w:r>
      <w:r w:rsidRPr="00911921">
        <w:rPr>
          <w:i/>
          <w:iCs/>
        </w:rPr>
        <w:t>et al.</w:t>
      </w:r>
      <w:r w:rsidRPr="00911921">
        <w:t>, 2014), constituindo uma avaliação ecológica multimodal.</w:t>
      </w:r>
    </w:p>
    <w:p w14:paraId="179A70F3" w14:textId="77777777" w:rsidR="00911921" w:rsidRPr="00911921" w:rsidRDefault="00911921" w:rsidP="00911921">
      <w:pPr>
        <w:rPr>
          <w:b/>
          <w:bCs/>
        </w:rPr>
      </w:pPr>
      <w:r w:rsidRPr="00911921">
        <w:rPr>
          <w:b/>
          <w:bCs/>
        </w:rPr>
        <w:t>Referências</w:t>
      </w:r>
    </w:p>
    <w:p w14:paraId="1AEBD6E6" w14:textId="77777777" w:rsidR="00911921" w:rsidRPr="00911921" w:rsidRDefault="00911921" w:rsidP="00911921">
      <w:r w:rsidRPr="00911921">
        <w:t xml:space="preserve">BECK, J. S. </w:t>
      </w:r>
      <w:r w:rsidRPr="00911921">
        <w:rPr>
          <w:b/>
          <w:bCs/>
        </w:rPr>
        <w:t>Terapia Cognitivo-Comportamental</w:t>
      </w:r>
      <w:r w:rsidRPr="00911921">
        <w:t>: teoria e prática. 2. ed. Porto Alegre: Artmed, 2013.</w:t>
      </w:r>
    </w:p>
    <w:p w14:paraId="649FE701" w14:textId="77777777" w:rsidR="00911921" w:rsidRPr="00911921" w:rsidRDefault="00911921" w:rsidP="00911921">
      <w:pPr>
        <w:rPr>
          <w:lang w:val="en-US"/>
        </w:rPr>
      </w:pPr>
      <w:r w:rsidRPr="00911921">
        <w:t xml:space="preserve">BERGER, P. L.; LUCKMANN, T. </w:t>
      </w:r>
      <w:r w:rsidRPr="00911921">
        <w:rPr>
          <w:b/>
          <w:bCs/>
        </w:rPr>
        <w:t>A Construção Social da Realidade</w:t>
      </w:r>
      <w:r w:rsidRPr="00911921">
        <w:t xml:space="preserve">: tratado de sociologia do conhecimento. </w:t>
      </w:r>
      <w:proofErr w:type="spellStart"/>
      <w:r w:rsidRPr="00911921">
        <w:rPr>
          <w:lang w:val="en-US"/>
        </w:rPr>
        <w:t>Petrópolis</w:t>
      </w:r>
      <w:proofErr w:type="spellEnd"/>
      <w:r w:rsidRPr="00911921">
        <w:rPr>
          <w:lang w:val="en-US"/>
        </w:rPr>
        <w:t xml:space="preserve">: </w:t>
      </w:r>
      <w:proofErr w:type="spellStart"/>
      <w:r w:rsidRPr="00911921">
        <w:rPr>
          <w:lang w:val="en-US"/>
        </w:rPr>
        <w:t>Vozes</w:t>
      </w:r>
      <w:proofErr w:type="spellEnd"/>
      <w:r w:rsidRPr="00911921">
        <w:rPr>
          <w:lang w:val="en-US"/>
        </w:rPr>
        <w:t>, 1985.</w:t>
      </w:r>
    </w:p>
    <w:p w14:paraId="656E0D11" w14:textId="77777777" w:rsidR="00911921" w:rsidRPr="00911921" w:rsidRDefault="00911921" w:rsidP="00911921">
      <w:pPr>
        <w:rPr>
          <w:lang w:val="en-US"/>
        </w:rPr>
      </w:pPr>
      <w:r w:rsidRPr="00911921">
        <w:rPr>
          <w:lang w:val="en-US"/>
        </w:rPr>
        <w:t xml:space="preserve">CASEL. </w:t>
      </w:r>
      <w:r w:rsidRPr="00911921">
        <w:rPr>
          <w:b/>
          <w:bCs/>
          <w:lang w:val="en-US"/>
        </w:rPr>
        <w:t xml:space="preserve">CASEL's SEL Framework: What Are the Core Competence Areas and Where Are They </w:t>
      </w:r>
      <w:proofErr w:type="gramStart"/>
      <w:r w:rsidRPr="00911921">
        <w:rPr>
          <w:b/>
          <w:bCs/>
          <w:lang w:val="en-US"/>
        </w:rPr>
        <w:t>Promoted?</w:t>
      </w:r>
      <w:r w:rsidRPr="00911921">
        <w:rPr>
          <w:lang w:val="en-US"/>
        </w:rPr>
        <w:t>.</w:t>
      </w:r>
      <w:proofErr w:type="gramEnd"/>
      <w:r w:rsidRPr="00911921">
        <w:rPr>
          <w:lang w:val="en-US"/>
        </w:rPr>
        <w:t xml:space="preserve"> Chicago, IL: Collaborative for Academic, Social, and Emotional Learning, 2020.</w:t>
      </w:r>
    </w:p>
    <w:p w14:paraId="49F8411B" w14:textId="77777777" w:rsidR="00911921" w:rsidRPr="00911921" w:rsidRDefault="00911921" w:rsidP="00911921">
      <w:pPr>
        <w:rPr>
          <w:lang w:val="en-US"/>
        </w:rPr>
      </w:pPr>
      <w:r w:rsidRPr="00911921">
        <w:rPr>
          <w:lang w:val="en-US"/>
        </w:rPr>
        <w:t xml:space="preserve">CRONBACH, L. J. </w:t>
      </w:r>
      <w:r w:rsidRPr="00911921">
        <w:rPr>
          <w:b/>
          <w:bCs/>
          <w:lang w:val="en-US"/>
        </w:rPr>
        <w:t>Essentials of psychological testing</w:t>
      </w:r>
      <w:r w:rsidRPr="00911921">
        <w:rPr>
          <w:lang w:val="en-US"/>
        </w:rPr>
        <w:t>. 5. ed. New York: Harper &amp; Row, 1990.</w:t>
      </w:r>
    </w:p>
    <w:p w14:paraId="53E69348" w14:textId="77777777" w:rsidR="00911921" w:rsidRPr="00911921" w:rsidRDefault="00911921" w:rsidP="00911921">
      <w:pPr>
        <w:rPr>
          <w:lang w:val="en-US"/>
        </w:rPr>
      </w:pPr>
      <w:r w:rsidRPr="00911921">
        <w:rPr>
          <w:lang w:val="en-US"/>
        </w:rPr>
        <w:lastRenderedPageBreak/>
        <w:t xml:space="preserve">DUCKWORTH, A. </w:t>
      </w:r>
      <w:r w:rsidRPr="00911921">
        <w:rPr>
          <w:b/>
          <w:bCs/>
          <w:lang w:val="en-US"/>
        </w:rPr>
        <w:t>Grit</w:t>
      </w:r>
      <w:r w:rsidRPr="00911921">
        <w:rPr>
          <w:lang w:val="en-US"/>
        </w:rPr>
        <w:t>: The Power of Passion and Perseverance. New York: Scribner, 2016.</w:t>
      </w:r>
    </w:p>
    <w:p w14:paraId="4FAD0F44" w14:textId="77777777" w:rsidR="00911921" w:rsidRPr="00911921" w:rsidRDefault="00911921" w:rsidP="00911921">
      <w:pPr>
        <w:rPr>
          <w:lang w:val="en-US"/>
        </w:rPr>
      </w:pPr>
      <w:r w:rsidRPr="00911921">
        <w:rPr>
          <w:lang w:val="en-US"/>
        </w:rPr>
        <w:t xml:space="preserve">JOHN, O. P.; SRIVASTAVA, S. The Big Five trait taxonomy: History, measurement, and theoretical perspectives. In: PERVIN, L. A.; JOHN, O. P. (Org.). </w:t>
      </w:r>
      <w:r w:rsidRPr="00911921">
        <w:rPr>
          <w:b/>
          <w:bCs/>
          <w:lang w:val="en-US"/>
        </w:rPr>
        <w:t>Handbook of personality: Theory and research</w:t>
      </w:r>
      <w:r w:rsidRPr="00911921">
        <w:rPr>
          <w:lang w:val="en-US"/>
        </w:rPr>
        <w:t xml:space="preserve">. 2. ed. New York: Guilford Press, 1999. </w:t>
      </w:r>
      <w:proofErr w:type="gramStart"/>
      <w:r w:rsidRPr="00911921">
        <w:rPr>
          <w:lang w:val="en-US"/>
        </w:rPr>
        <w:t>p. 102</w:t>
      </w:r>
      <w:proofErr w:type="gramEnd"/>
      <w:r w:rsidRPr="00911921">
        <w:rPr>
          <w:lang w:val="en-US"/>
        </w:rPr>
        <w:t>-138.</w:t>
      </w:r>
    </w:p>
    <w:p w14:paraId="3D2F82F0" w14:textId="77777777" w:rsidR="00911921" w:rsidRPr="00911921" w:rsidRDefault="00911921" w:rsidP="00911921">
      <w:r w:rsidRPr="00911921">
        <w:rPr>
          <w:lang w:val="en-US"/>
        </w:rPr>
        <w:t xml:space="preserve">PRIMI, R. </w:t>
      </w:r>
      <w:r w:rsidRPr="00911921">
        <w:rPr>
          <w:i/>
          <w:iCs/>
          <w:lang w:val="en-US"/>
        </w:rPr>
        <w:t>et al</w:t>
      </w:r>
      <w:r w:rsidRPr="00911921">
        <w:rPr>
          <w:lang w:val="en-US"/>
        </w:rPr>
        <w:t xml:space="preserve">. </w:t>
      </w:r>
      <w:r w:rsidRPr="00911921">
        <w:rPr>
          <w:b/>
          <w:bCs/>
        </w:rPr>
        <w:t>Desenvolvimento de um inventário de avaliação de competências socioemocionais para crianças e jovens (SENNA)</w:t>
      </w:r>
      <w:r w:rsidRPr="00911921">
        <w:t>. São Paulo: Instituto Ayrton Senna, 2014.</w:t>
      </w:r>
    </w:p>
    <w:p w14:paraId="7E807524" w14:textId="77777777" w:rsidR="0037414D" w:rsidRDefault="0037414D"/>
    <w:sectPr w:rsidR="003741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3B60"/>
    <w:multiLevelType w:val="multilevel"/>
    <w:tmpl w:val="495A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256663"/>
    <w:multiLevelType w:val="multilevel"/>
    <w:tmpl w:val="55342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6640262">
    <w:abstractNumId w:val="0"/>
  </w:num>
  <w:num w:numId="2" w16cid:durableId="2076080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921"/>
    <w:rsid w:val="00190A18"/>
    <w:rsid w:val="00312FE6"/>
    <w:rsid w:val="0037414D"/>
    <w:rsid w:val="0091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39EF5"/>
  <w15:chartTrackingRefBased/>
  <w15:docId w15:val="{04F71C26-ABB1-40FF-A2F6-B809D1B2F7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414D"/>
    <w:pPr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37414D"/>
    <w:pPr>
      <w:keepNext/>
      <w:keepLines/>
      <w:spacing w:before="360" w:after="80"/>
      <w:jc w:val="center"/>
      <w:outlineLvl w:val="0"/>
    </w:pPr>
    <w:rPr>
      <w:rFonts w:eastAsiaTheme="majorEastAsia" w:cstheme="majorBidi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1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192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192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192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192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192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192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192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7414D"/>
    <w:rPr>
      <w:rFonts w:ascii="Times New Roman" w:eastAsiaTheme="majorEastAsia" w:hAnsi="Times New Roman" w:cstheme="majorBidi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19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19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192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192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1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192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1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1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192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1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1921"/>
    <w:rPr>
      <w:rFonts w:ascii="Times New Roman" w:hAnsi="Times New Roman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192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192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19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1921"/>
    <w:rPr>
      <w:rFonts w:ascii="Times New Roman" w:hAnsi="Times New Roman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19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1163</Words>
  <Characters>6970</Characters>
  <Application>Microsoft Office Word</Application>
  <DocSecurity>0</DocSecurity>
  <Lines>122</Lines>
  <Paragraphs>45</Paragraphs>
  <ScaleCrop>false</ScaleCrop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Marcio Felipe Salles Medeiros</dc:creator>
  <cp:keywords/>
  <dc:description/>
  <cp:lastModifiedBy>Marcio Felipe Salles Medeiros</cp:lastModifiedBy>
  <cp:revision>1</cp:revision>
  <dcterms:created xsi:type="dcterms:W3CDTF">2026-02-24T12:22:00Z</dcterms:created>
  <dcterms:modified xsi:type="dcterms:W3CDTF">2026-02-24T12:25:00Z</dcterms:modified>
</cp:coreProperties>
</file>