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vezetés"/>
      <w:r>
        <w:t xml:space="preserve">Bevezetés</w:t>
      </w:r>
      <w:bookmarkEnd w:id="20"/>
    </w:p>
    <w:p>
      <w:pPr>
        <w:pStyle w:val="FirstParagraph"/>
      </w:pPr>
      <w:r>
        <w:t xml:space="preserve">A rendezvény célja a vívás biztonságos és barátságos értékelése a „találni úgy, hogy közben nem ér találat” elv alapján. A történelmi szabályrendszerekhez hasonlóan a verseny kifejezetten absztrahált képességek tesztje, nem pedig egy szabályozatlan, végsőkig folytatott harc szimulációja – ebben</w:t>
      </w:r>
      <w:r>
        <w:t xml:space="preserve"> </w:t>
      </w:r>
      <w:r>
        <w:t xml:space="preserve">értelmében minden egyes pontot külön „párbajnak” tekintünk az alábbi szabályok keretei között, amelyek elvesztését egy, a vesztes vívó ellen ítélt pont jelzi. Célunk az, hogy meghatározzuk a relatív rangsort, és a versenyzők közül az versenynapok alatt legjobbnak bizonyuló vívót taktikai, technikai és atlétikai képességek terén.</w:t>
      </w:r>
    </w:p>
    <w:p>
      <w:pPr>
        <w:pStyle w:val="BodyText"/>
      </w:pPr>
      <w:r>
        <w:t xml:space="preserve">Az egyik alapelv, amely mindenek felett áll, a sportszerűség elve. Mindegyik működőképes szabályrendszernek hatékonynak kell lennie abban, hogy egyenlő esélyeket biztosítson minden versenyen résztvevő számára.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2022-12-01T14:55:55Z</dcterms:created>
  <dcterms:modified xsi:type="dcterms:W3CDTF">2022-12-01T14:55:55Z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