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EC9" w:rsidRDefault="001D7EC9" w:rsidP="001D7EC9">
      <w:pPr>
        <w:pStyle w:val="Heading1"/>
      </w:pPr>
      <w:r>
        <w:t>Trevor Bekolay, 6796723, umbekol0</w:t>
      </w:r>
    </w:p>
    <w:p w:rsidR="001D7EC9" w:rsidRDefault="00EA78FA" w:rsidP="001D7EC9">
      <w:pPr>
        <w:pStyle w:val="Heading2"/>
      </w:pPr>
      <w:r>
        <w:t>Assignment 4, Question 4</w:t>
      </w:r>
    </w:p>
    <w:p w:rsidR="001D7EC9" w:rsidRPr="003D6B71" w:rsidRDefault="00EA78FA" w:rsidP="001D7EC9">
      <w:pPr>
        <w:pStyle w:val="Heading1"/>
      </w:pPr>
      <w:r>
        <w:rPr>
          <w:rFonts w:eastAsiaTheme="minorHAnsi"/>
        </w:rPr>
        <w:t>Blue Gene/L</w:t>
      </w:r>
      <w:r w:rsidR="001D7EC9">
        <w:rPr>
          <w:rFonts w:eastAsiaTheme="minorHAnsi"/>
        </w:rPr>
        <w:t xml:space="preserve"> Overview</w:t>
      </w:r>
    </w:p>
    <w:p w:rsidR="00534C8D" w:rsidRDefault="00EE3DFB">
      <w:r>
        <w:t>I will discuss the Blue Gene/L architecture from a bottom up approach, starting at the smallest pieces and working my way up.</w:t>
      </w:r>
    </w:p>
    <w:p w:rsidR="00EE3DFB" w:rsidRDefault="00EE3DFB" w:rsidP="00EE3DFB">
      <w:pPr>
        <w:pStyle w:val="Heading2"/>
      </w:pPr>
      <w:r>
        <w:t>Compute Nodes</w:t>
      </w:r>
    </w:p>
    <w:p w:rsidR="00EE3DFB" w:rsidRDefault="00EE3DFB" w:rsidP="00EE3DFB">
      <w:r>
        <w:t xml:space="preserve">Each compute node is </w:t>
      </w:r>
      <w:r w:rsidR="006D4F6B">
        <w:t>a self contained “</w:t>
      </w:r>
      <w:r w:rsidR="001D532A">
        <w:t>system</w:t>
      </w:r>
      <w:r w:rsidR="006D4F6B">
        <w:t xml:space="preserve"> on a chip.”  </w:t>
      </w:r>
      <w:r w:rsidR="001D532A">
        <w:t>Each chip is composed of two PowerPC 440 Processors (clocked at 700 MHz), two double precision floating point units (FPUs), a shared 4 MB EDRAM L3 cache, and a 1 Gb Ethernet connection.  Unlike many supercomputers, the Blue Gene/L tries to keep these compute nodes relatively power efficient; each chip consumes only 10-13 watts.</w:t>
      </w:r>
    </w:p>
    <w:p w:rsidR="001D532A" w:rsidRDefault="001D532A" w:rsidP="001D532A">
      <w:pPr>
        <w:pStyle w:val="Heading2"/>
      </w:pPr>
      <w:r>
        <w:t>Compute Node Networking</w:t>
      </w:r>
    </w:p>
    <w:p w:rsidR="001D532A" w:rsidRDefault="00B7585E" w:rsidP="00EE3DFB">
      <w:r>
        <w:t>In addition to the 1 Gb Ethernet connection, every compute node is connected to two different networks.  The first network is a 3-dimensional torus that conne</w:t>
      </w:r>
      <w:r w:rsidR="00F80E2D">
        <w:t>cts together all of the compute</w:t>
      </w:r>
      <w:r>
        <w:t xml:space="preserve"> nodes (but not the I/O nodes).  </w:t>
      </w:r>
      <w:r w:rsidR="003542DC">
        <w:t>Each compute</w:t>
      </w:r>
      <w:r>
        <w:t xml:space="preserve"> node has 6 incoming and 6 outgoing connections, with aggregate bandwidth of 2.1 GB/s.  The latency is between 1 and 10 μs, depending on</w:t>
      </w:r>
      <w:r w:rsidR="00F80E2D">
        <w:t xml:space="preserve"> how far away the other compute</w:t>
      </w:r>
      <w:r>
        <w:t xml:space="preserve"> node is.</w:t>
      </w:r>
    </w:p>
    <w:p w:rsidR="00B7585E" w:rsidRDefault="00B7585E" w:rsidP="00EE3DFB">
      <w:r>
        <w:t xml:space="preserve">The second network is a tree that connects all compute nodes and I/O nodes.  </w:t>
      </w:r>
      <w:r w:rsidR="003542DC">
        <w:t>It’s specialized to provide quick I/O.  Each compute node has 3 incoming and 3 outgoing connections, with bandwidth of 2.8 Gb/s per link.  The latency of a one way tree traversal is 2.5 μs.</w:t>
      </w:r>
    </w:p>
    <w:p w:rsidR="00DF0292" w:rsidRDefault="00DF0292" w:rsidP="00DF0292">
      <w:pPr>
        <w:pStyle w:val="Heading2"/>
      </w:pPr>
      <w:r>
        <w:t>I/O Nodes</w:t>
      </w:r>
    </w:p>
    <w:p w:rsidR="00DF0292" w:rsidRDefault="00DF0292" w:rsidP="00EE3DFB">
      <w:r>
        <w:t>The I/O nodes use the same “system on a chip” as the computer nodes.  The difference is that the I/O nodes use their 1 Gb Ethernet connection to communicate with I/O devices; NAS, etc.  The number of I/O nodes in a Blue Gene/L system can range from one per 128 compute nodes to one per 8 compute nodes.</w:t>
      </w:r>
    </w:p>
    <w:p w:rsidR="00DF0292" w:rsidRDefault="00204428" w:rsidP="00204428">
      <w:pPr>
        <w:pStyle w:val="Heading2"/>
      </w:pPr>
      <w:r>
        <w:t>Compute Cards</w:t>
      </w:r>
    </w:p>
    <w:p w:rsidR="00204428" w:rsidRDefault="00204428" w:rsidP="00204428">
      <w:r>
        <w:t>A compute card contains two compute nodes and up to 2 GB of RAM.</w:t>
      </w:r>
    </w:p>
    <w:p w:rsidR="00807A3A" w:rsidRDefault="00807A3A" w:rsidP="00807A3A">
      <w:pPr>
        <w:pStyle w:val="Heading2"/>
      </w:pPr>
      <w:r>
        <w:t>Node Cards</w:t>
      </w:r>
    </w:p>
    <w:p w:rsidR="00807A3A" w:rsidRDefault="00807A3A" w:rsidP="00807A3A">
      <w:r>
        <w:t>A node card contains 16 compute cards and up to two I/O cards (compute cards with I/O nodes).</w:t>
      </w:r>
    </w:p>
    <w:p w:rsidR="00807A3A" w:rsidRDefault="00807A3A" w:rsidP="00807A3A">
      <w:pPr>
        <w:pStyle w:val="Heading2"/>
      </w:pPr>
      <w:r>
        <w:t>Racks</w:t>
      </w:r>
    </w:p>
    <w:p w:rsidR="00807A3A" w:rsidRDefault="00807A3A" w:rsidP="00807A3A">
      <w:r>
        <w:t>A rack contains 32 node cards (1024 compute nodes).</w:t>
      </w:r>
    </w:p>
    <w:p w:rsidR="00807A3A" w:rsidRDefault="00807A3A" w:rsidP="00807A3A">
      <w:r>
        <w:t>A Blue Gene/L system may contain up to 64 racks.</w:t>
      </w:r>
    </w:p>
    <w:p w:rsidR="00807A3A" w:rsidRDefault="002B3B8F" w:rsidP="002B3B8F">
      <w:pPr>
        <w:pStyle w:val="Heading1"/>
      </w:pPr>
      <w:r>
        <w:lastRenderedPageBreak/>
        <w:t>Scalability</w:t>
      </w:r>
    </w:p>
    <w:p w:rsidR="002B3B8F" w:rsidRDefault="002B3B8F" w:rsidP="002B3B8F">
      <w:r>
        <w:t xml:space="preserve">One of the main reasons that the Blue Gene/L system is so scalable is the relative simplicity found in each compute node.  The entire system, with the exception of main memory (which is stored on a compute card), is stored on one chip.  </w:t>
      </w:r>
      <w:r w:rsidR="008865AE">
        <w:t>Not only does this make each compute node easy to assemble, it is easy to add new compute nodes</w:t>
      </w:r>
      <w:r w:rsidR="0055683B">
        <w:t xml:space="preserve"> </w:t>
      </w:r>
      <w:r w:rsidR="008865AE">
        <w:t>as needed</w:t>
      </w:r>
      <w:r w:rsidR="0055683B">
        <w:t xml:space="preserve"> (in increments of 1024)</w:t>
      </w:r>
      <w:r w:rsidR="00FD019C">
        <w:t>; when a node has to be replaced, one can replace the node without removing or moving any cables</w:t>
      </w:r>
      <w:r w:rsidR="008865AE">
        <w:t xml:space="preserve">.  Further, each compute node consumes relatively little </w:t>
      </w:r>
      <w:r w:rsidR="002D5941">
        <w:t>power, so a system is easier to scale up, as the main cost is done initially, not over time with power consumption.</w:t>
      </w:r>
    </w:p>
    <w:p w:rsidR="003031E4" w:rsidRDefault="003031E4" w:rsidP="002B3B8F">
      <w:r>
        <w:t xml:space="preserve">Another significant innovation that improves scalability is the Blue Gene/L reliability, available, security (RAS) mechanisms.  In addition to compute and I/O nodes, the Blue Gene/L contains service nodes that perform system management services in a way transparent to the compute and I/O nodes.  </w:t>
      </w:r>
      <w:r w:rsidR="005F3483">
        <w:t>When a compute node fails, the application running on that node is restarting from a checkpoint on a different node.   These and other mechanisms ensure that the system can handle an extremely large number of nodes.</w:t>
      </w:r>
    </w:p>
    <w:p w:rsidR="00157E49" w:rsidRDefault="00157E49" w:rsidP="00157E49">
      <w:pPr>
        <w:pStyle w:val="Heading1"/>
      </w:pPr>
      <w:r>
        <w:t>General Purpose?</w:t>
      </w:r>
    </w:p>
    <w:p w:rsidR="00157E49" w:rsidRDefault="003031E4" w:rsidP="00157E49">
      <w:r>
        <w:t xml:space="preserve">The </w:t>
      </w:r>
      <w:r w:rsidR="00A958D5">
        <w:t xml:space="preserve">Blue Gene/L system has been first on the list of the top 500 supercomputers worldwide; to be on this list, it must be a general purpose computer.   </w:t>
      </w:r>
      <w:r w:rsidR="0055683B">
        <w:t>Yet, its speed is always measure in FLOPS (floating point operations per second) despite the fact that most applications</w:t>
      </w:r>
      <w:r w:rsidR="004444E2">
        <w:t xml:space="preserve"> a normal user would encounter</w:t>
      </w:r>
      <w:r w:rsidR="0055683B">
        <w:t xml:space="preserve"> deal largely in integer operations.  Of course, Blue Gene/L can do integer operations, but it is without a doubt specialized for floating point operations, which are used in most complicated scientific applications.  Even IBM’s own report (</w:t>
      </w:r>
      <w:hyperlink r:id="rId4" w:history="1">
        <w:r w:rsidR="0055683B" w:rsidRPr="00EF1D32">
          <w:rPr>
            <w:rStyle w:val="Hyperlink"/>
          </w:rPr>
          <w:t>http://www.research.ibm.com/journal/rd/492/gara.html</w:t>
        </w:r>
      </w:hyperlink>
      <w:r w:rsidR="0055683B">
        <w:t>) notes that “</w:t>
      </w:r>
      <w:r w:rsidR="0055683B" w:rsidRPr="0055683B">
        <w:t>we chose not to build a machine that would necessarily be appropriate for all applications</w:t>
      </w:r>
      <w:r w:rsidR="0055683B">
        <w:t xml:space="preserve">.”  </w:t>
      </w:r>
      <w:r w:rsidR="005B362E">
        <w:t>Certainly, the Blue Gene/L system would not be appropriate for a normal home user, however, it is general purpose in the context of scientific applications, which are what supercomputers are generally used for.</w:t>
      </w:r>
    </w:p>
    <w:p w:rsidR="00F91EBA" w:rsidRPr="00157E49" w:rsidRDefault="007E0110" w:rsidP="00157E49">
      <w:r>
        <w:t xml:space="preserve">Sources: </w:t>
      </w:r>
      <w:hyperlink r:id="rId5" w:history="1">
        <w:r w:rsidRPr="00EF1D32">
          <w:rPr>
            <w:rStyle w:val="Hyperlink"/>
          </w:rPr>
          <w:t>http://en.wikipedia.org/wiki/Blue_Gene</w:t>
        </w:r>
      </w:hyperlink>
      <w:r w:rsidR="00535FAE">
        <w:t xml:space="preserve"> , </w:t>
      </w:r>
      <w:hyperlink r:id="rId6" w:history="1">
        <w:r w:rsidR="00535FAE" w:rsidRPr="00EF1D32">
          <w:rPr>
            <w:rStyle w:val="Hyperlink"/>
          </w:rPr>
          <w:t>http://www.redbooks.ibm.com/redbooks/pdfs/sg247352.pdf</w:t>
        </w:r>
      </w:hyperlink>
      <w:r w:rsidR="00535FAE">
        <w:t xml:space="preserve"> ,</w:t>
      </w:r>
      <w:r w:rsidR="00DB5867">
        <w:t xml:space="preserve"> </w:t>
      </w:r>
      <w:hyperlink r:id="rId7" w:history="1">
        <w:r w:rsidR="00DB5867" w:rsidRPr="00EF1D32">
          <w:rPr>
            <w:rStyle w:val="Hyperlink"/>
          </w:rPr>
          <w:t>http://www.skatelescope.org/US_SKA_Technology_Day06/Liebsch.pdf</w:t>
        </w:r>
      </w:hyperlink>
      <w:r w:rsidR="00DB5867">
        <w:t xml:space="preserve"> ,</w:t>
      </w:r>
      <w:r w:rsidR="00F91EBA">
        <w:t xml:space="preserve"> </w:t>
      </w:r>
      <w:hyperlink r:id="rId8" w:history="1">
        <w:r w:rsidR="00780190" w:rsidRPr="00EF1D32">
          <w:rPr>
            <w:rStyle w:val="Hyperlink"/>
          </w:rPr>
          <w:t>http://www.research.ibm.com/journal/rd/492/gara.html</w:t>
        </w:r>
      </w:hyperlink>
    </w:p>
    <w:sectPr w:rsidR="00F91EBA" w:rsidRPr="00157E49" w:rsidSect="003C3C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1D7EC9"/>
    <w:rsid w:val="00157E49"/>
    <w:rsid w:val="001D4A54"/>
    <w:rsid w:val="001D532A"/>
    <w:rsid w:val="001D7EC9"/>
    <w:rsid w:val="00204428"/>
    <w:rsid w:val="00281F90"/>
    <w:rsid w:val="002B3B8F"/>
    <w:rsid w:val="002D5941"/>
    <w:rsid w:val="003031E4"/>
    <w:rsid w:val="00313B60"/>
    <w:rsid w:val="003542DC"/>
    <w:rsid w:val="003C24AC"/>
    <w:rsid w:val="004444E2"/>
    <w:rsid w:val="004E708D"/>
    <w:rsid w:val="00535FAE"/>
    <w:rsid w:val="0055683B"/>
    <w:rsid w:val="005B362E"/>
    <w:rsid w:val="005E246F"/>
    <w:rsid w:val="005F3483"/>
    <w:rsid w:val="006D4F6B"/>
    <w:rsid w:val="00780190"/>
    <w:rsid w:val="007E0110"/>
    <w:rsid w:val="00807A3A"/>
    <w:rsid w:val="008865AE"/>
    <w:rsid w:val="00A958D5"/>
    <w:rsid w:val="00B7585E"/>
    <w:rsid w:val="00DB5867"/>
    <w:rsid w:val="00DF0292"/>
    <w:rsid w:val="00E00856"/>
    <w:rsid w:val="00EA78FA"/>
    <w:rsid w:val="00EE3DFB"/>
    <w:rsid w:val="00F57D62"/>
    <w:rsid w:val="00F80E2D"/>
    <w:rsid w:val="00F91EBA"/>
    <w:rsid w:val="00FD0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EC9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7E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E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E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1D7E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styleId="Hyperlink">
    <w:name w:val="Hyperlink"/>
    <w:basedOn w:val="DefaultParagraphFont"/>
    <w:uiPriority w:val="99"/>
    <w:unhideWhenUsed/>
    <w:rsid w:val="001D7EC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D7EC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">
    <w:name w:val="a"/>
    <w:basedOn w:val="DefaultParagraphFont"/>
    <w:rsid w:val="00DB58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search.ibm.com/journal/rd/492/gara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katelescope.org/US_SKA_Technology_Day06/Liebsch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edbooks.ibm.com/redbooks/pdfs/sg247352.pdf" TargetMode="External"/><Relationship Id="rId5" Type="http://schemas.openxmlformats.org/officeDocument/2006/relationships/hyperlink" Target="http://en.wikipedia.org/wiki/Blue_Gen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research.ibm.com/journal/rd/492/gara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7F7F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Use</Company>
  <LinksUpToDate>false</LinksUpToDate>
  <CharactersWithSpaces>4565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Bekolay</dc:creator>
  <cp:keywords/>
  <dc:description/>
  <cp:lastModifiedBy>Trevor Bekolay</cp:lastModifiedBy>
  <cp:revision>25</cp:revision>
  <dcterms:created xsi:type="dcterms:W3CDTF">2007-12-05T01:44:00Z</dcterms:created>
  <dcterms:modified xsi:type="dcterms:W3CDTF">2007-12-05T03:39:00Z</dcterms:modified>
</cp:coreProperties>
</file>