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v1.5</w:t>
            </w:r>
          </w:p>
        </w:tc>
      </w:tr>
      <w:tr>
        <w:tc>
          <w:tcPr>
            <w:tcW w:type="dxa" w:w="2268"/>
            <w:vAlign w:val="center"/>
          </w:tcPr>
          <w:p>
            <w:r>
              <w:t>Data</w:t>
            </w:r>
          </w:p>
        </w:tc>
        <w:tc>
          <w:tcPr>
            <w:tcW w:type="dxa" w:w="6803"/>
            <w:vAlign w:val="center"/>
          </w:tcPr>
          <w:p>
            <w:r>
              <w:t>2026-07-11</w:t>
            </w:r>
          </w:p>
        </w:tc>
      </w:tr>
      <w:tr>
        <w:tc>
          <w:tcPr>
            <w:tcW w:type="dxa" w:w="2268"/>
            <w:vAlign w:val="center"/>
          </w:tcPr>
          <w:p>
            <w:r>
              <w:t>Estado</w:t>
            </w:r>
          </w:p>
        </w:tc>
        <w:tc>
          <w:tcPr>
            <w:tcW w:type="dxa" w:w="6803"/>
            <w:vAlign w:val="center"/>
          </w:tcPr>
          <w:p>
            <w:r>
              <w:t>Documento de arquitetura revisto após consolidação preliminar das arquiteturas mecânica, de cablagem e de GND comum — sujeito a revisão técnica e experimental</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entre 1,8 kg e 2,2 kg.</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1,8 kg a 2,2 kg (margem confirmada até ≈3 kg com motores 2440 KV4500)</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Com os 2 motores combinados (600 W), o rácio potência/peso resultante oferece margem acima do necessário para a massa base estimada (1,8–2,2 kg), permitindo folga para peso adicional — por exemplo bateria de maior capacidade, telemetria futura, recetor RC para kill‑switch físico ou caixa estanque mais robusta. Estima‑se que o sistema mantenha navegação estável até por volta de 3 kg, sem alteração de motores.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1,8–2,2 kg deve ser tratada como objetivo inicial e não como valor validado.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2026-07-12T03:33:11.2909170Z</dcterms:created>
  <dcterms:modified xsi:type="dcterms:W3CDTF">2026-07-12T03:33:11.2909170Z</dcterms:modified>
  <category/>
</coreProperties>
</file>