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pPr>
              <w:spacing w:after="0"/>
            </w:pPr>
            <w:r>
              <w:t>v1.11</w:t>
            </w:r>
          </w:p>
        </w:tc>
      </w:tr>
      <w:tr>
        <w:tc>
          <w:tcPr>
            <w:tcW w:type="dxa" w:w="2268"/>
            <w:vAlign w:val="center"/>
          </w:tcPr>
          <w:p>
            <w:r>
              <w:t>Data</w:t>
            </w:r>
          </w:p>
        </w:tc>
        <w:tc>
          <w:tcPr>
            <w:tcW w:type="dxa" w:w="6803"/>
            <w:vAlign w:val="center"/>
          </w:tcPr>
          <w:p>
            <w:pPr>
              <w:spacing w:after="0"/>
            </w:pPr>
            <w:r>
              <w:t>2026-07-23</w:t>
            </w:r>
          </w:p>
        </w:tc>
      </w:tr>
      <w:tr>
        <w:tc>
          <w:tcPr>
            <w:tcW w:type="dxa" w:w="2268"/>
            <w:vAlign w:val="center"/>
          </w:tcPr>
          <w:p>
            <w:r>
              <w:t>Estado</w:t>
            </w:r>
          </w:p>
        </w:tc>
        <w:tc>
          <w:tcPr>
            <w:tcW w:type="dxa" w:w="6803"/>
            <w:vAlign w:val="center"/>
          </w:tcPr>
          <w:p>
            <w:r>
              <w:t>Arquitetura v6.1: baterias alojadas nos cascos, caixa IP66 ao nível do convés; software de navegação (heading hold + waypoints) validado em simulação com comunicação real ao ESP32 — sujeito a pesagem e testes</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r>
        <w:tc>
          <w:tcPr>
            <w:tcW w:type="dxa" w:w="2436"/>
          </w:tcPr>
          <w:p>
            <w:r>
              <w:t>v1.7</w:t>
            </w:r>
          </w:p>
        </w:tc>
        <w:tc>
          <w:tcPr>
            <w:tcW w:type="dxa" w:w="2436"/>
          </w:tcPr>
          <w:p>
            <w:r>
              <w:t>2026-07-14</w:t>
            </w:r>
          </w:p>
        </w:tc>
        <w:tc>
          <w:tcPr>
            <w:tcW w:type="dxa" w:w="2436"/>
          </w:tcPr>
          <w:p>
            <w:r>
              <w:t>Gonçalo Martins da Silva</w:t>
            </w:r>
          </w:p>
        </w:tc>
        <w:tc>
          <w:tcPr>
            <w:tcW w:type="dxa" w:w="2436"/>
          </w:tcPr>
          <w:p>
            <w:r>
              <w:t>Construção de casco revista: pele de contraplacado 3 mm colada sobre XPS com fita de fibra nas arestas/fundo e selagem epóxi, em substituição da laminação integral; caixa de eletrónica passa a IP66 comercial 204×155×100 com bucins; longarinas de convés 20×10; cablagem caixa→ESC em conduíte corrugado; orçamento de massa v1.7 (modelo v4) e secção 18.</w:t>
            </w:r>
          </w:p>
        </w:tc>
      </w:tr>
      <w:tr>
        <w:tc>
          <w:tcPr>
            <w:tcW w:type="dxa" w:w="2436"/>
          </w:tcPr>
          <w:p>
            <w:r>
              <w:t>v1.8</w:t>
            </w:r>
          </w:p>
        </w:tc>
        <w:tc>
          <w:tcPr>
            <w:tcW w:type="dxa" w:w="2436"/>
          </w:tcPr>
          <w:p>
            <w:r>
              <w:t>2026-07-14</w:t>
            </w:r>
          </w:p>
        </w:tc>
        <w:tc>
          <w:tcPr>
            <w:tcW w:type="dxa" w:w="2436"/>
          </w:tcPr>
          <w:p>
            <w:r>
              <w:t>Gonçalo Martins da Silva</w:t>
            </w:r>
          </w:p>
        </w:tc>
        <w:tc>
          <w:tcPr>
            <w:tcW w:type="dxa" w:w="2436"/>
          </w:tcPr>
          <w:p>
            <w:r>
              <w:t>Pele de casco revista para híbrida após medição do modelo (proa em cunha 3D: contraplacado 3 mm só nas zonas planas, proa laminada em fibra); caixa de baterias em contraplacado de 3 mm com ripas e cotas corrigidas (extremo = 180 − 2×espessura); nova subsecção 18.4 com regras de segurança LiPo; orçamento de massa v1.8 (≈6,2 kg).</w:t>
            </w:r>
          </w:p>
        </w:tc>
      </w:tr>
      <w:tr>
        <w:tc>
          <w:tcPr>
            <w:tcW w:type="dxa" w:w="2436"/>
          </w:tcPr>
          <w:p>
            <w:r>
              <w:t>v1.9</w:t>
            </w:r>
          </w:p>
        </w:tc>
        <w:tc>
          <w:tcPr>
            <w:tcW w:type="dxa" w:w="2436"/>
          </w:tcPr>
          <w:p>
            <w:r>
              <w:t>2026-07-15</w:t>
            </w:r>
          </w:p>
        </w:tc>
        <w:tc>
          <w:tcPr>
            <w:tcW w:type="dxa" w:w="2436"/>
          </w:tcPr>
          <w:p>
            <w:r>
              <w:t>Gonçalo Martins da Silva</w:t>
            </w:r>
          </w:p>
        </w:tc>
        <w:tc>
          <w:tcPr>
            <w:tcW w:type="dxa" w:w="2436"/>
          </w:tcPr>
          <w:p>
            <w:r>
              <w:t>Integração da alimentação do Raspberry Pi 4: condensador eletrolítico e cabos soldados aos pinos GPIO; procedimento de validação USB-C para bateria/DC-DC; registo da corrupção lógica do microSD após corte de alimentação e recuperação por regravação do Raspberry Pi OS. Correção da referência residual da caixa de baterias de 9 mm para 3 mm reforçado.</w:t>
            </w:r>
          </w:p>
        </w:tc>
      </w:tr>
      <w:tr>
        <w:tc>
          <w:tcPr>
            <w:tcW w:type="dxa" w:w="2436"/>
          </w:tcPr>
          <w:p>
            <w:pPr>
              <w:spacing w:after="0"/>
            </w:pPr>
            <w:r>
              <w:t>v1.10</w:t>
            </w:r>
          </w:p>
        </w:tc>
        <w:tc>
          <w:tcPr>
            <w:tcW w:type="dxa" w:w="2436"/>
          </w:tcPr>
          <w:p>
            <w:pPr>
              <w:spacing w:after="0"/>
            </w:pPr>
            <w:r>
              <w:t>2026-07-17</w:t>
            </w:r>
          </w:p>
        </w:tc>
        <w:tc>
          <w:tcPr>
            <w:tcW w:type="dxa" w:w="2436"/>
          </w:tcPr>
          <w:p>
            <w:pPr>
              <w:spacing w:after="0"/>
            </w:pPr>
            <w:r>
              <w:t>Gonçalo Martins da Silva</w:t>
            </w:r>
          </w:p>
        </w:tc>
        <w:tc>
          <w:tcPr>
            <w:tcW w:type="dxa" w:w="2436"/>
          </w:tcPr>
          <w:p>
            <w:pPr>
              <w:spacing w:after="0"/>
            </w:pPr>
            <w:r>
              <w:t>Integração da arquitetura de segurança temporária da Fase 1 com loop key XT90, atualização de segurança, plano de testes, riscos, dimensionamento do fusível principal e estado do kill-switch remoto.</w:t>
            </w:r>
          </w:p>
        </w:tc>
      </w:tr>
      <w:tr>
        <w:tc>
          <w:tcPr>
            <w:tcW w:type="dxa" w:w="2436"/>
          </w:tcPr>
          <w:p>
            <w:pPr>
              <w:spacing w:after="0"/>
            </w:pPr>
            <w:r>
              <w:t>v1.11</w:t>
            </w:r>
          </w:p>
        </w:tc>
        <w:tc>
          <w:tcPr>
            <w:tcW w:type="dxa" w:w="2436"/>
          </w:tcPr>
          <w:p>
            <w:pPr>
              <w:spacing w:after="0"/>
            </w:pPr>
            <w:r>
              <w:t>2026-07-23</w:t>
            </w:r>
          </w:p>
        </w:tc>
        <w:tc>
          <w:tcPr>
            <w:tcW w:type="dxa" w:w="2436"/>
          </w:tcPr>
          <w:p>
            <w:pPr>
              <w:spacing w:after="0"/>
            </w:pPr>
            <w:r>
              <w:t>Gonçalo Martins da Silva</w:t>
            </w:r>
          </w:p>
        </w:tc>
        <w:tc>
          <w:tcPr>
            <w:tcW w:type="dxa" w:w="2436"/>
          </w:tcPr>
          <w:p>
            <w:pPr>
              <w:spacing w:after="0"/>
            </w:pPr>
            <w:r>
              <w:t>Consolidação v6/v6.1: baterias de propulsão alojadas nos cascos (z_G de ≈142 para ≈107 mm), segunda LiPo 5000, loop keys por ramo, blueprint madeira v6.1 (correção do túnel/caixa IP66, escotilhas com insertos M4 e junta de neopreno, sequências de serviço); estado do software: máquina de estados DISARMED/ARMED/NAV, heading hold, navegação por waypoints e logging CSV, validados em simulação com comunicação real ao ESP32; kill-switch remoto definido como RC 2,4 GHz ou LoRa com heartbeat; estratégia de dados: buffer circular + ficheiro sequencial a bordo, SQLite em terra.</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(v1.8), entre 6,0 kg e 6,5 kg tal como configurado (cascos XPS com pele híbrida — contraplacado 3 mm nas zonas planas e proa laminada em fibra —, caixa de baterias em contraplacado de 3 mm com ripas e caixa de eletrónica IP66), com meta otimizada de ≈5,0 kg após aligeiramento das travessas.</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6,0–6,5 kg (orçamento de massa v1.8: pele híbrida 3 mm/fibra, caixa de baterias 3 mm com ripas, caixa IP66); meta otimizada ≈5,0 kg. Compatível com os motores 2440 KV4500 em regime de deslocamento (ver 5.3); estimativas anteriores de 1,8–2,2 kg e 4,5–5,5 kg substituídas.</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br/>
        <w:t xml:space="preserve">    Loop Key (manual kill)</w:t>
        <w:br/>
        <w:t xml:space="preserve">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pPr>
              <w:spacing w:after="0"/>
            </w:pPr>
            <w:r>
              <w:t>100 A</w:t>
            </w:r>
          </w:p>
        </w:tc>
        <w:tc>
          <w:tcPr>
            <w:tcW w:type="dxa" w:w="3402"/>
            <w:vAlign w:val="center"/>
          </w:tcPr>
          <w:p>
            <w:pPr>
              <w:spacing w:after="0"/>
            </w:pPr>
            <w:r>
              <w:t>Estimativa baseada em dimensionamento teórico (2× ESC 40A); valor a validar após medições reais de corrente (TEST-XXX)</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(v1.7) com base nos volumes reais do modelo 3D v4 e na configuração atual: estrutura em madeira ≈1,9 kg (travessas maciças 0,95 kg; caixa de baterias em 3 mm com ripas ≈0,30 kg; placa base 0,27 kg; inserts, coberturas e longarinas 0,35 kg), pele dos cascos em contraplacado de 3 mm nas zonas planas ≈0,95 kg, laminação da proa + fita de fibra nas arestas/fundo + selagem epóxi ≈0,40 kg, cascos XPS ≈0,74 kg, caixa de eletrónica IP66 (204×155×100) ≈0,40 kg, baterias ≈0,57 kg, propulsão (motores, waterjets, ESCs) ≈0,47 kg, eletrónica ≈0,14 kg, cablagem/conduíte/bucins/fusíveis/busbars ≈0,45 kg e fixações/vedantes ≈0,20 kg — total ≈6,2 kg tal como configurado (intervalo 6,0–6,5 kg), com meta de ≈5,0 kg aligeirando as travessas (tubo de alumínio 20×20 ou furos) e otimizando a pele (aberturas no convés sob as caixas). Com os 2 motores combinados (600 W), o rácio potência/peso é ≈97 W/kg a 6,2 kg e ≈110–120 W/kg na meta otimizada. Conclusão de compatibilidade: a 6,2 kg o sistema mantém navegação em regime de deslocamento com autoridade de controlo diferencial adequada (impulso estático estimado de 2–3 kgf combinados, rácio impulso/peso ≈0,30–0,45), suficiente para o OBJ-001; navegação em planeio fica excluída, tanto pela massa como pela forma dos cascos. A velocidade de casco para 0,8 m de linha de água é ≈1,1 m/s, superável pelos cascos esbeltos do catamarã até ≈2 m/s estimados. O calado a 6,2 kg é ≈35 mm (área de flutuação 0,176 m²; ≈6 mm por kg), o que favorece a submersão das admissões dos waterjets e mantém ≈111 mm de bordo livre (altura de casco com pele: 146 mm).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r>
        <w:tc>
          <w:tcPr>
            <w:tcW w:type="dxa" w:w="1417"/>
            <w:vAlign w:val="center"/>
          </w:tcPr>
          <w:p>
            <w:pPr>
              <w:spacing w:after="0"/>
            </w:pPr>
            <w:r>
              <w:t>SAFE-007</w:t>
            </w:r>
          </w:p>
        </w:tc>
        <w:tc>
          <w:tcPr>
            <w:tcW w:type="dxa" w:w="3402"/>
            <w:vAlign w:val="center"/>
          </w:tcPr>
          <w:p>
            <w:pPr>
              <w:spacing w:after="0"/>
            </w:pPr>
            <w:r>
              <w:t>Falha total do sistema (software ou comunicação)</w:t>
            </w:r>
          </w:p>
        </w:tc>
        <w:tc>
          <w:tcPr>
            <w:tcW w:type="dxa" w:w="4535"/>
            <w:vAlign w:val="center"/>
          </w:tcPr>
          <w:p>
            <w:pPr>
              <w:spacing w:after="0"/>
            </w:pPr>
            <w:r>
              <w:t>Corte manual imediato de energia através de loop key</w:t>
            </w:r>
          </w:p>
        </w:tc>
      </w:tr>
    </w:tbl>
    <w:p/>
    <w:p>
      <w:pPr>
        <w:pStyle w:val="Heading3"/>
      </w:pPr>
      <w:r>
        <w:t>10.1 Arquitetura de Segurança Temporária — Fase 1</w:t>
      </w:r>
    </w:p>
    <w:p>
      <w:r>
        <w:t>Durante a Fase 1, na ausência de kill-switch físico/remoto independente, o sistema utiliza uma solução de corte manual baseada em conector XT90 (loop key).</w:t>
      </w:r>
    </w:p>
    <w:p>
      <w:r>
        <w:t>Arquitetura:</w:t>
      </w:r>
    </w:p>
    <w:p>
      <w:r>
        <w:t>Bateria → Loop Key → Fusível principal → Distribuição → ESCs</w:t>
      </w:r>
    </w:p>
    <w:p>
      <w:r>
        <w:t>Função:</w:t>
      </w:r>
    </w:p>
    <w:p>
      <w:r>
        <w:t>- A loop key atua como interruptor manual de emergência</w:t>
      </w:r>
    </w:p>
    <w:p>
      <w:r>
        <w:t>- Sem loop key inserida → sistema sem alimentação</w:t>
      </w:r>
    </w:p>
    <w:p>
      <w:r>
        <w:t>- Inserção da loop key → sistema energizado</w:t>
      </w:r>
    </w:p>
    <w:p>
      <w:r>
        <w:t>Limitações:</w:t>
      </w:r>
    </w:p>
    <w:p>
      <w:r>
        <w:t>- Não permite corte remoto</w:t>
      </w:r>
    </w:p>
    <w:p>
      <w:r>
        <w:t>- Requer presença do operador</w:t>
      </w:r>
    </w:p>
    <w:p>
      <w:r>
        <w:t>- Não substitui kill-switch dedicado</w:t>
      </w:r>
    </w:p>
    <w:p>
      <w:r>
        <w:t>Regras operacionais:</w:t>
      </w:r>
    </w:p>
    <w:p>
      <w:r>
        <w:t>- Testes apenas em bancada ou com sistema fisicamente contido</w:t>
      </w:r>
    </w:p>
    <w:p>
      <w:r>
        <w:t>- Potência limitada durante testes iniciais</w:t>
      </w:r>
    </w:p>
    <w:p>
      <w:r>
        <w:t>- Operador sempre junto ao sistema</w:t>
      </w:r>
    </w:p>
    <w:p>
      <w:r>
        <w:t>- Proibido testar em água sem sistema de recuperação (corda)</w:t>
      </w:r>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r>
        <w:tc>
          <w:tcPr>
            <w:tcW w:type="dxa" w:w="1417"/>
            <w:vAlign w:val="center"/>
          </w:tcPr>
          <w:p>
            <w:pPr>
              <w:spacing w:after="0"/>
            </w:pPr>
            <w:r>
              <w:t>TEST-011</w:t>
            </w:r>
          </w:p>
        </w:tc>
        <w:tc>
          <w:tcPr>
            <w:tcW w:type="dxa" w:w="2268"/>
            <w:vAlign w:val="center"/>
          </w:tcPr>
          <w:p>
            <w:pPr>
              <w:spacing w:after="0"/>
            </w:pPr>
            <w:r>
              <w:t>Corte manual de energia</w:t>
            </w:r>
          </w:p>
        </w:tc>
        <w:tc>
          <w:tcPr>
            <w:tcW w:type="dxa" w:w="3402"/>
            <w:vAlign w:val="center"/>
          </w:tcPr>
          <w:p>
            <w:pPr>
              <w:spacing w:after="0"/>
            </w:pPr>
            <w:r>
              <w:t>Verificar comportamento do sistema ao remover loop key</w:t>
            </w:r>
          </w:p>
        </w:tc>
        <w:tc>
          <w:tcPr>
            <w:tcW w:type="dxa" w:w="3969"/>
            <w:vAlign w:val="center"/>
          </w:tcPr>
          <w:p>
            <w:pPr>
              <w:spacing w:after="0"/>
            </w:pPr>
            <w:r>
              <w:t>Motores devem parar imediatamente sem comportamento errático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r>
        <w:tc>
          <w:tcPr>
            <w:tcW w:type="dxa" w:w="1247"/>
            <w:vAlign w:val="center"/>
          </w:tcPr>
          <w:p>
            <w:pPr>
              <w:spacing w:after="0"/>
            </w:pPr>
            <w:r>
              <w:t>RISK-009</w:t>
            </w:r>
          </w:p>
        </w:tc>
        <w:tc>
          <w:tcPr>
            <w:tcW w:type="dxa" w:w="2948"/>
            <w:vAlign w:val="center"/>
          </w:tcPr>
          <w:p>
            <w:pPr>
              <w:spacing w:after="0"/>
            </w:pPr>
            <w:r>
              <w:t>Corte de energia sob carga</w:t>
            </w:r>
          </w:p>
        </w:tc>
        <w:tc>
          <w:tcPr>
            <w:tcW w:type="dxa" w:w="1247"/>
            <w:vAlign w:val="center"/>
          </w:tcPr>
          <w:p>
            <w:pPr>
              <w:spacing w:after="0"/>
            </w:pPr>
            <w:r>
              <w:t>Média</w:t>
            </w:r>
          </w:p>
        </w:tc>
        <w:tc>
          <w:tcPr>
            <w:tcW w:type="dxa" w:w="1417"/>
            <w:vAlign w:val="center"/>
          </w:tcPr>
          <w:p>
            <w:pPr>
              <w:spacing w:after="0"/>
            </w:pPr>
            <w:r>
              <w:t>Alto</w:t>
            </w:r>
          </w:p>
        </w:tc>
        <w:tc>
          <w:tcPr>
            <w:tcW w:type="dxa" w:w="4535"/>
            <w:vAlign w:val="center"/>
          </w:tcPr>
          <w:p>
            <w:pPr>
              <w:spacing w:after="0"/>
            </w:pPr>
            <w:r>
              <w:t>Possível comportamento imprevisível dos ESCs ao remover alimentação; mitigar com testes progressivos e potência limitada</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pPr>
              <w:spacing w:after="0"/>
            </w:pPr>
            <w:r>
              <w:t>Adiado por orçamento; substituído temporariamente por solução de corte manual (loop key XT90). Obrigatório implementar kill-switch remoto antes de testes sem corda ou operação autónoma.</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6,0–6,5 kg (v1.8) resulta dos volumes do modelo v4 corrigidos e de densidades típicas, não de pesagem; a meta otimizada de 5,0–5,5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p>
      <w:pPr>
        <w:pStyle w:val="Heading1"/>
      </w:pPr>
      <w:r>
        <w:t>18. Atualização de Arquitetura Mecânica e de Encapsulamento — v1.7</w:t>
      </w:r>
    </w:p>
    <w:p>
      <w:pPr>
        <w:pStyle w:val="Heading2"/>
      </w:pPr>
      <w:r>
        <w:t>18.1 Construção dos cascos</w:t>
      </w:r>
    </w:p>
    <w:p>
      <w:r>
        <w:t>Os cascos mantêm o núcleo em XPS de célula fechada, mas a pele estrutural passa de laminação integral em fibra de vidro para uma pele híbrida: contraplacado de 3 mm colado nas zonas planas (faces laterais, fundo, convés e popa, na zona prismática X 200–800 mm) e laminação em fibra de vidro + epóxi na proa (X 0–200 mm), onde a medição do modelo confirmou uma cunha tridimensional — a largura afunila de 109 mm para ≈3 mm em planta, além dos chanfros de perfil — sobre a qual contraplacado plano não assenta sem facetagem (cola PU à prova de água ou epóxi; resinas de poliéster e colas com solvente são proibidas por dissolverem o XPS). As arestas e o fundo recebem fita de fibra de vidro com epóxi, e toda a madeira exterior é selada com epóxi. Esta alteração troca ≈0,85 kg de massa adicional por uma redução substancial de tempo e risco de execução, aproveitando as três placas de contraplacado de 3 mm já adquiridas.</w:t>
      </w:r>
    </w:p>
    <w:p>
      <w:r>
        <w:t>É adicionada uma longarina de 20×10 mm embutida ao longo do convés de cada casco, colada em rasgo no XPS, servindo de ponto de aparafusamento das travessas em madeira em vez de espuma. Não é adicionada qualquer outra estrutura interna: o sanduíche pele + núcleo cumpre a função estrutural.</w:t>
      </w:r>
    </w:p>
    <w:p>
      <w:pPr>
        <w:pStyle w:val="Heading2"/>
      </w:pPr>
      <w:r>
        <w:t>18.2 Encapsulamento da eletrónica</w:t>
      </w:r>
    </w:p>
    <w:p>
      <w:r>
        <w:t>A caixa de eletrónica em contraplacado é substituída por uma caixa comercial IP66 de 204×155×100 mm com tampa articulada, instalada sobre a tampa da caixa de baterias. A caixa de baterias utiliza contraplacado de 3 mm com ripas e reforços locais, conforme definido na secção 18.4.</w:t>
      </w:r>
    </w:p>
    <w:p>
      <w:pPr>
        <w:pStyle w:val="ListBullet"/>
      </w:pPr>
      <w:r>
        <w:t>Todas as entradas de cabos na caixa IP66 são feitas por bucins (prensa-estopas PG7/PG9); furos sem bucim anulam a classificação IP.</w:t>
      </w:r>
    </w:p>
    <w:p>
      <w:pPr>
        <w:pStyle w:val="ListBullet"/>
      </w:pPr>
      <w:r>
        <w:t>Cada cabo forma um laço de gotejamento imediatamente antes da entrada na caixa.</w:t>
      </w:r>
    </w:p>
    <w:p>
      <w:pPr>
        <w:pStyle w:val="ListBullet"/>
      </w:pPr>
      <w:r>
        <w:t>A antena ativa do GPS é instalada no exterior, no topo da caixa, com o respetivo furo vedado.</w:t>
      </w:r>
    </w:p>
    <w:p>
      <w:pPr>
        <w:pStyle w:val="Heading2"/>
      </w:pPr>
      <w:r>
        <w:t>18.3 Encaminhamento de cabos até aos ESCs</w:t>
      </w:r>
    </w:p>
    <w:p>
      <w:r>
        <w:t>Os cabos entre a caixa central e cada ESC seguem em conduíte corrugado de 16 mm, fixado com abraçadeiras ao longo da travessa traseira (T3), terminando junto de cada cobertura de ESC. Cabos de potência de 6 mm² e fios de sinal PWM podem partilhar o conduíte, mantendo separação nas pontas e folga de serviço. Cabos soltos no convés são proibidos pelos modos de falha já identificados a 2026-07-11: abrasão, condução de água e ingestão pela admissão dos waterjets.</w:t>
      </w:r>
    </w:p>
    <w:p>
      <w:pPr>
        <w:pStyle w:val="Heading2"/>
      </w:pPr>
      <w:r>
        <w:t>18.4 Caixa de baterias em contraplacado de 3 mm e segurança LiPo</w:t>
      </w:r>
    </w:p>
    <w:p>
      <w:r>
        <w:t>A caixa de baterias passa de contraplacado de 9 mm para contraplacado de 3 mm com ripas de reforço (cantos verticais em ripa de 8×8 a 10×10 mm; duas ripas no fundo; duas ripas na face inferior da tampa alinhadas com os pontos de fixação da caixa IP66), reduzindo a massa de ≈0,63 kg para ≈0,30 kg. As cotas dos painéis dependem da espessura das paredes (extremo = 180 − 2×espessura): laterais 230×81, extremos 174×81, fundo 224×174, tampa 230×180. Parafusos apenas em zonas com reforço local (dupla camada de 3 mm, anilhas largas ou insertos); o fundo apoia na placa base do barco.</w:t>
      </w:r>
    </w:p>
    <w:p>
      <w:pPr>
        <w:pStyle w:val="ListBullet"/>
      </w:pPr>
      <w:r>
        <w:t>A caixa de baterias não deve ser hermética: em caso de falha de uma célula LiPo há libertação de gases, e a saída de cabos (furo com passa-fios de borracha e laço de gotejamento, sem vedação a silicone) funciona como respiro.</w:t>
      </w:r>
    </w:p>
    <w:p>
      <w:pPr>
        <w:pStyle w:val="ListBullet"/>
      </w:pPr>
      <w:r>
        <w:t>O carregamento das baterias é sempre efetuado fora do barco e da caixa, em saco ou superfície ignífuga.</w:t>
      </w:r>
    </w:p>
    <w:p>
      <w:pPr>
        <w:pStyle w:val="ListBullet"/>
      </w:pPr>
      <w:r>
        <w:t>O porta-fusível principal permanece acessível sem desmontar a retenção das baterias (espuma no fundo, batentes e uma cinta de velcro por bateria, sobre zonas reforçadas).</w:t>
      </w:r>
    </w:p>
    <w:p>
      <w:pPr>
        <w:pStyle w:val="ListBullet"/>
      </w:pPr>
      <w:r>
        <w:t>Critério de aceitação: caixa esquadrejada, sem flexão preocupante do fundo ou da tampa com a caixa IP66 montada, baterias imobilizadas, madeira e topos selados com epóxi, caixa removível para manutenção.</w:t>
      </w:r>
    </w:p>
    <w:p>
      <w:pPr>
        <w:pStyle w:val="Heading1"/>
      </w:pPr>
      <w:r>
        <w:t>19. Atualização da Alimentação do Raspberry Pi — v1.9</w:t>
      </w:r>
    </w:p>
    <w:p>
      <w:pPr>
        <w:pStyle w:val="Heading2"/>
      </w:pPr>
      <w:r>
        <w:t>19.1 Integração física da alimentação</w:t>
      </w:r>
    </w:p>
    <w:p>
      <w:r>
        <w:t>O Raspberry Pi 4 é alimentado pelo conversor DC-DC através do conector GPIO. O positivo de 5 V é distribuído pelos pinos físicos 2 e 4 e o GND pelos pinos físicos 6 e 14. Os dois contactos por polaridade repartem a corrente e melhoram a robustez da ligação.</w:t>
      </w:r>
    </w:p>
    <w:p>
      <w:r>
        <w:t>Os cabos foram soldados aos pinos do Raspberry Pi e receberam isolamento e alívio de tensão. Foi instalado um condensador eletrolítico de 470–1000 µF, com tensão nominal mínima de 10 V, junto ao ponto de entrega dos 5 V, para apoiar a estabilidade perante picos de corrente.</w:t>
      </w:r>
    </w:p>
    <w:p>
      <w:r>
        <w:t>A entrada USB-C fica reservada para configuração e diagnóstico. É proibida a alimentação simultânea pela entrada USB-C e pelos pinos GPIO, evitando colocar duas fontes diretamente sobre a mesma linha de 5 V.</w:t>
      </w:r>
    </w:p>
    <w:p>
      <w:pPr>
        <w:pStyle w:val="Heading2"/>
      </w:pPr>
      <w:r>
        <w:t>19.2 Procedimento de validação</w:t>
      </w:r>
    </w:p>
    <w:p>
      <w:pPr>
        <w:pStyle w:val="ListNumber"/>
      </w:pPr>
      <w:r>
        <w:t>Arrancar inicialmente o Raspberry Pi apenas por USB-C, sem ESP32, sensores ou ESCs ligados, e confirmar o acesso por SSH.</w:t>
      </w:r>
    </w:p>
    <w:p>
      <w:pPr>
        <w:pStyle w:val="ListNumber"/>
      </w:pPr>
      <w:r>
        <w:t>Encerrar o sistema com sudo poweroff e aguardar o fim da atividade do cartão microSD antes de remover o USB-C.</w:t>
      </w:r>
    </w:p>
    <w:p>
      <w:pPr>
        <w:pStyle w:val="ListNumber"/>
      </w:pPr>
      <w:r>
        <w:t>Confirmar que o USB-C está completamente desligado e arrancar exclusivamente através da bateria de eletrónica e do conversor DC-DC.</w:t>
      </w:r>
    </w:p>
    <w:p>
      <w:pPr>
        <w:pStyle w:val="ListNumber"/>
      </w:pPr>
      <w:r>
        <w:t>Executar vcgencmd get_throttled. O critério inicial de aceitação é throttled=0x0.</w:t>
      </w:r>
    </w:p>
    <w:p>
      <w:pPr>
        <w:pStyle w:val="ListNumber"/>
      </w:pPr>
      <w:r>
        <w:t>Executar uptime e consultar dmesg para detetar avisos de under-voltage, voltage ou throttling.</w:t>
      </w:r>
    </w:p>
    <w:p>
      <w:pPr>
        <w:pStyle w:val="ListNumber"/>
      </w:pPr>
      <w:r>
        <w:t>Manter o Raspberry Pi em funcionamento durante 10–15 minutos, repetir as verificações e só depois ligar o ESP32 por USB.</w:t>
      </w:r>
    </w:p>
    <w:p>
      <w:pPr>
        <w:pStyle w:val="Heading2"/>
      </w:pPr>
      <w:r>
        <w:t>19.3 Incidente do cartão microSD</w:t>
      </w:r>
    </w:p>
    <w:p>
      <w:r>
        <w:t>Durante o primeiro ensaio da alimentação pelos pinos GPIO, a alimentação foi interrompida antes de o sistema concluir o arranque e sem um encerramento controlado. Após o corte, o Raspberry Pi deixou de ficar acessível por SSH e não apareceu de forma fiável na rede local.</w:t>
      </w:r>
    </w:p>
    <w:p>
      <w:r>
        <w:t>O cartão microSD continuou fisicamente detetável no computador e a partição bootfs de arranque permaneceu acessível. O diagnóstico aponta para corrupção lógica de ficheiros ou perda da configuração do Raspberry Pi OS, e não para destruição física do cartão ou dano elétrico confirmado no Raspberry Pi.</w:t>
      </w:r>
    </w:p>
    <w:p>
      <w:r>
        <w:t>O Raspberry Pi OS foi regravado através do Raspberry Pi Imager, com reposição do hostname sailsafe-pi, utilizador, Wi-Fi e SSH. O acesso remoto voltou a ficar disponível quando o Raspberry Pi foi alimentado por USB-C.</w:t>
      </w:r>
    </w:p>
    <w:p>
      <w:pPr>
        <w:pStyle w:val="Heading2"/>
      </w:pPr>
      <w:r>
        <w:t>19.4 Regras operacionais de proteção do sistema</w:t>
      </w:r>
    </w:p>
    <w:p>
      <w:pPr>
        <w:pStyle w:val="ListBullet"/>
      </w:pPr>
      <w:r>
        <w:t>Não interromper deliberadamente a alimentação durante o arranque ou durante atividade intensa do LED ACT.</w:t>
      </w:r>
    </w:p>
    <w:p>
      <w:pPr>
        <w:pStyle w:val="ListBullet"/>
      </w:pPr>
      <w:r>
        <w:t>Utilizar sudo poweroff antes de cortar a alimentação sempre que existir acesso ao sistema.</w:t>
      </w:r>
    </w:p>
    <w:p>
      <w:pPr>
        <w:pStyle w:val="ListBullet"/>
      </w:pPr>
      <w:r>
        <w:t>Não interpretar apenas os LEDs como validação elétrica: o LED vermelho confirma presença de alimentação e o LED verde indica atividade do armazenamento, mas a aceitação depende também de vcgencmd get_throttled e dos registos do sistema.</w:t>
      </w:r>
    </w:p>
    <w:p>
      <w:pPr>
        <w:pStyle w:val="ListBullet"/>
      </w:pPr>
      <w:r>
        <w:t>Manter cópias de segurança da configuração e do software do projeto no repositório GitHub, permitindo regravar o sistema sem perder trabalho.</w:t>
      </w:r>
    </w:p>
    <w:p>
      <w:pPr>
        <w:pStyle w:val="ListBullet"/>
      </w:pPr>
      <w:r>
        <w:t>Considerar numa evolução futura um circuito de shutdown controlado ou reserva de energia suficiente para concluir o encerramento após deteção de perda da alimentação principal.</w:t>
      </w:r>
    </w:p>
    <w:p>
      <w:pPr>
        <w:pStyle w:val="Heading1"/>
      </w:pPr>
      <w:r>
        <w:t>20. Atualização de Arquitetura Mecânica, Software e Segurança — v1.11</w:t>
      </w:r>
    </w:p>
    <w:p>
      <w:pPr>
        <w:pStyle w:val="Heading2"/>
      </w:pPr>
      <w:r>
        <w:t>20.1 Arquitetura mecânica v6.1 — baterias nos cascos</w:t>
      </w:r>
    </w:p>
    <w:p>
      <w:r>
        <w:t>A revisão v6/v6.1 (blueprint madeira v6.1, 5 folhas) transfere as baterias de propulsão para alojamentos dentro dos cascos e elimina a placa base e a caixa central de baterias, reduzindo o centro de gravidade de ≈142 mm para ≈107 mm sem lastro. Elementos principais:</w:t>
      </w:r>
    </w:p>
    <w:p>
      <w:pPr>
        <w:pStyle w:val="ListBullet"/>
      </w:pPr>
      <w:r>
        <w:t>Alojamentos das baterias nos cascos: centro X=341, Y=±123, fundo a z=45 (≈6 mm acima da linha de água WL=39); forro interior em contraplacado de 3 mm selado com epóxi (o LiPo nunca contacta o XPS).</w:t>
      </w:r>
    </w:p>
    <w:p>
      <w:pPr>
        <w:pStyle w:val="ListBullet"/>
      </w:pPr>
      <w:r>
        <w:t>Escotilhas de serviço 185×85 no convés, com reforço perimetral (2.ª camada, abertura útil 155×55), 6 insertos roscados M4 de latão por escotilha, parafusos de orelhas M4 em nylon, junta de neopreno de 3 mm colada à tampa e respiro por 2 entalhes de 2 mm no rebordo (compartimento não hermético, regra 18.4).</w:t>
      </w:r>
    </w:p>
    <w:p>
      <w:pPr>
        <w:pStyle w:val="ListBullet"/>
      </w:pPr>
      <w:r>
        <w:t>Caixa IP66 204×155 pousada ao nível do convés (fundo z=152, topo z=252, centro X=354), sobre 4 calços colados e retida por 2 ripas aparafusadas às faces de T1/T2. Correção v6 validada em 3D: o túnel entre cascos (118 mm) é mais estreito do que a caixa (155 mm), pelo que a caixa não pode descer abaixo do convés.</w:t>
      </w:r>
    </w:p>
    <w:p>
      <w:pPr>
        <w:pStyle w:val="ListBullet"/>
      </w:pPr>
      <w:r>
        <w:t>Travessas T1/T2/T3 (350×45×40) com centros em X = 222,5 / 485 / 663 — T2 recolocada em X=485 para receber os alojamentos e a caixa IP66 no vão T1–T2 (217,5 mm).</w:t>
      </w:r>
    </w:p>
    <w:p>
      <w:pPr>
        <w:pStyle w:val="ListBullet"/>
      </w:pPr>
      <w:r>
        <w:t>Pele em contraplacado marítimo de 3 mm nas zonas planas; proa (X 0–200, cunha 3D) laminada em fibra de vidro 200 g/m² + epóxi (2 camadas); transom inserts em contraplacado de 9–10 mm; lista de materiais consolidada na folha 5 do blueprint.</w:t>
      </w:r>
    </w:p>
    <w:p>
      <w:r>
        <w:t>Sequência de serviço das baterias: retirar as 2 chaves → abrir escotilhas → retirar as baterias pela patilha de webbing → carregar fora do barco. Montagem: bateria + cabos → fechar tampas (aperto manual em cruz) → ligar eletrónica → aguardar neutro do ESP32 → inserir chaves.</w:t>
      </w:r>
    </w:p>
    <w:p>
      <w:pPr>
        <w:pStyle w:val="Heading2"/>
      </w:pPr>
      <w:r>
        <w:t>20.2 Estado do software (validado em bancada/simulação)</w:t>
      </w:r>
    </w:p>
    <w:p>
      <w:r>
        <w:t>O software do Raspberry Pi está organizado em packages (communication, control, telemetry, tests) com o main.py como orquestrador. Estado em 2026-07-23:</w:t>
      </w:r>
    </w:p>
    <w:p>
      <w:pPr>
        <w:pStyle w:val="ListBullet"/>
      </w:pPr>
      <w:r>
        <w:t>SerialLink (communication): ligação série robusta ao ESP32 — tolera ESP32 ausente, buffer de linhas completas, descarte do lixo de arranque, STOP garantido no fecho.</w:t>
      </w:r>
    </w:p>
    <w:p>
      <w:pPr>
        <w:pStyle w:val="ListBullet"/>
      </w:pPr>
      <w:r>
        <w:t>Máquina de estados DISARMED ↔ ARMED / NAV: arranque sempre em DISARMED; ARMED com heartbeat 0/0 a 5 Hz; STOP com prioridade absoluta; perda/regresso da ligação série nunca rearma sozinho. Timeout do failsafe do ESP32 medido em ≈1,1 s (heartbeat de 200 ms dá margem confortável).</w:t>
      </w:r>
    </w:p>
    <w:p>
      <w:pPr>
        <w:pStyle w:val="ListBullet"/>
      </w:pPr>
      <w:r>
        <w:t>Heading hold (control/heading.py): normalização do erro angular para (−180°, 180°] e controlador proporcional com saturação; mixer throttle+steer → L/R com teto de 30% alinhado com o PERCENT_MAX_SAFE do firmware.</w:t>
      </w:r>
    </w:p>
    <w:p>
      <w:pPr>
        <w:pStyle w:val="ListBullet"/>
      </w:pPr>
      <w:r>
        <w:t>Navegação por waypoints (control/navigation.py): haversine, bearing e WaypointNav com raio de chegada; validada em ciclo fechado sintético (SimulatedBoat) no PC e no Pi.</w:t>
      </w:r>
    </w:p>
    <w:p>
      <w:pPr>
        <w:pStyle w:val="ListBullet"/>
      </w:pPr>
      <w:r>
        <w:t>Logging (telemetry/logger.py): um CSV por sessão com timestamp ao milissegundo e flush imediato; eventos BOOT/SERIAL/STATE/TX/RX/STOP/HEADING/SHUTDOWN.</w:t>
      </w:r>
    </w:p>
    <w:p>
      <w:pPr>
        <w:pStyle w:val="ListBullet"/>
      </w:pPr>
      <w:r>
        <w:t>Testes automáticos sem hardware (tests/): heading, mixer e navegação; modo NAV validado com o ESP32 real a aceitar os comandos (malha fechada pelo simulador, sem motores).</w:t>
      </w:r>
    </w:p>
    <w:p>
      <w:r>
        <w:t>Fluxo de desenvolvimento: edição no PC → commit/push → git pull no Raspberry Pi; GitHub como fonte de verdade; branch main como principal. Repositório público com licença MIT e aviso de segurança.</w:t>
      </w:r>
    </w:p>
    <w:p>
      <w:pPr>
        <w:pStyle w:val="Heading2"/>
      </w:pPr>
      <w:r>
        <w:t>20.3 Kill-switch remoto — definição do caminho</w:t>
      </w:r>
    </w:p>
    <w:p>
      <w:r>
        <w:t>Avaliada e descartada a utilização de uma antena DVB (ex.: TW25): trata-se de uma antena de receção de televisão (banda UHF de broadcast), sem capacidade de transmissão nem função de corte. O kill-switch remoto exige um link de rádio com comando ou heartbeat cuja perda dispara o failsafe, mais a eletrónica de corte de potência. Opções em avaliação:</w:t>
      </w:r>
    </w:p>
    <w:p>
      <w:pPr>
        <w:pStyle w:val="ListBullet"/>
      </w:pPr>
      <w:r>
        <w:t>Sistema RC de hobby a 2,4 GHz (ex.: ELRS): emissor no operador, recetor no barco, canal dedicado a acionar o corte de alta corrente; failsafe do recetor corta a potência na perda de sinal. Solução mais simples e desenhada para o efeito.</w:t>
      </w:r>
    </w:p>
    <w:p>
      <w:pPr>
        <w:pStyle w:val="ListBullet"/>
      </w:pPr>
      <w:r>
        <w:t>Link LoRa (433/868 MHz) com heartbeat: maior alcance, mas exige desenvolver a lógica de failsafe; a antena tem de corresponder à banda do rádio.</w:t>
      </w:r>
    </w:p>
    <w:p>
      <w:r>
        <w:t>Até existir o corte remoto, mantêm-se as loop keys XT90 por ramo de propulsão como corte manual (secção 10.1) e a proibição de testes sem corda, potência limitada e supervisão direta.</w:t>
      </w:r>
    </w:p>
    <w:p>
      <w:pPr>
        <w:pStyle w:val="Heading2"/>
      </w:pPr>
      <w:r>
        <w:t>20.4 Estratégia de dados</w:t>
      </w:r>
    </w:p>
    <w:p>
      <w:pPr>
        <w:pStyle w:val="ListBullet"/>
      </w:pPr>
      <w:r>
        <w:t>A bordo: escrita sequencial (CSV ou registos binários de tamanho fixo) alimentada por um buffer circular em array estático; sem base de dados e sem alocação dinâmica no ciclo de tempo real; flush regular para sobreviver a cortes de energia.</w:t>
      </w:r>
    </w:p>
    <w:p>
      <w:pPr>
        <w:pStyle w:val="ListBullet"/>
      </w:pPr>
      <w:r>
        <w:t>Em terra: análise das sessões com SQLite (ficheiro único, sem servidor) para consultas sobre logs e, futuramente, metadados de vídeo sincronizados por timestamp.</w:t>
      </w:r>
    </w:p>
    <w:p>
      <w:pPr>
        <w:pStyle w:val="ListBullet"/>
      </w:pPr>
      <w:r>
        <w:t>Previsão de eficiência/autonomia: modelo físico de energia + regressão sobre os logs, dependente da medição real de corrente e tensão (ADS1015 + sensor de corrente); descartado o uso de LLM para esta função.</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2026-07-17T02:27:54.3735613Z</dcterms:created>
  <dcterms:modified xsi:type="dcterms:W3CDTF">2026-07-17T02:27:54.3735613Z</dcterms:modified>
  <category/>
</coreProperties>
</file>