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v1.6</w:t>
            </w:r>
          </w:p>
        </w:tc>
      </w:tr>
      <w:tr>
        <w:tc>
          <w:tcPr>
            <w:tcW w:type="dxa" w:w="2268"/>
            <w:vAlign w:val="center"/>
          </w:tcPr>
          <w:p>
            <w:r>
              <w:t>Data</w:t>
            </w:r>
          </w:p>
        </w:tc>
        <w:tc>
          <w:tcPr>
            <w:tcW w:type="dxa" w:w="6803"/>
            <w:vAlign w:val="center"/>
          </w:tcPr>
          <w:p>
            <w:r>
              <w:t>2026-07-12</w:t>
            </w:r>
          </w:p>
        </w:tc>
      </w:tr>
      <w:tr>
        <w:tc>
          <w:tcPr>
            <w:tcW w:type="dxa" w:w="2268"/>
            <w:vAlign w:val="center"/>
          </w:tcPr>
          <w:p>
            <w:r>
              <w:t>Estado</w:t>
            </w:r>
          </w:p>
        </w:tc>
        <w:tc>
          <w:tcPr>
            <w:tcW w:type="dxa" w:w="6803"/>
            <w:vAlign w:val="center"/>
          </w:tcPr>
          <w:p>
            <w:r>
              <w:t>Documento de arquitetura com orçamento de massa revisto (v1.6) e análise de compatibilidade massa/potência — sujeito a validação por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(v1.6), entre 4,5 kg e 5,5 kg tal como modelado, com meta otimizada de 3,5–4,0 kg após aligeiramento estrutural.</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4,5–5,5 kg (orçamento de massa v1.6, modelo v3); meta otimizada 3,5–4,0 kg. Compatível com os motores 2440 KV4500 em regime de deslocamento (ver 5.3); a estimativa anterior de 1,8–2,2 kg foi invalidada.</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(v1.6) com base nos volumes reais do modelo 3D v3: estrutura em madeira ≈2,6 kg (travessas maciças 0,95 kg; caixas 1,2 kg; placa base 0,27 kg), cascos XPS ≈0,74 kg, fibra de vidro + epóxi ≈0,45 kg, baterias ≈0,57 kg, propulsão (motores, waterjets, ESCs) ≈0,47 kg, eletrónica ≈0,14 kg, cablagem/fusíveis/busbars ≈0,35 kg e fixações/vedantes ≈0,20 kg — total ≈5,5 kg tal como modelado, com meta de 3,5–4,0 kg reduzindo o contraplacado para 5–6 mm, aligeirando as travessas (furos ou tubo de alumínio 20×20) e unificando as duas caixas. Com os 2 motores combinados (600 W), o rácio potência/peso é ≈110 W/kg a 5,5 kg e ≈150–200 W/kg a 3,5–4,0 kg. Conclusão de compatibilidade: a 5,5 kg o sistema mantém navegação em regime de deslocamento com ampla autoridade de controlo diferencial (impulso estático estimado de 2–3 kgf combinados, rácio impulso/peso ≈0,4–0,55), adequado ao OBJ-001; navegação em planeio fica excluída, tanto pela massa como pela forma dos cascos. A velocidade de casco para 0,8 m de linha de água é ≈1,1 m/s, superável pelos cascos esbeltos do catamarã até ≈2–3 m/s estimados. O calado a 5,5 kg é ≈31 mm (área de flutuação 0,176 m²; ≈6 mm por kg), o que favorece a submersão das admissões dos waterjets e mantém ≈110 mm de bordo livre.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4,5–5,5 kg (v1.6) resulta dos volumes do modelo v3 e de densidades típicas, não de pesagem; a meta otimizada de 3,5–4,0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2026-07-12T03:33:11.2909170Z</dcterms:created>
  <dcterms:modified xsi:type="dcterms:W3CDTF">2026-07-12T03:33:11.2909170Z</dcterms:modified>
  <category/>
</coreProperties>
</file>