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POLÍTICA DE PRIVACIDADE </w:t>
      </w:r>
    </w:p>
    <w:p>
      <w:pPr>
        <w:pStyle w:val="Normal"/>
        <w:jc w:val="center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(</w:t>
      </w:r>
      <w:r>
        <w:rPr>
          <w:rFonts w:ascii="Arial Narrow" w:hAnsi="Arial Narrow"/>
          <w:bCs/>
          <w:sz w:val="20"/>
          <w:szCs w:val="20"/>
          <w:u w:val="single"/>
        </w:rPr>
        <w:t>Ao abrigo do Regulamento Geral sobre a Proteção de Dados Pessoais</w:t>
      </w:r>
      <w:r>
        <w:rPr>
          <w:rFonts w:ascii="Arial Narrow" w:hAnsi="Arial Narrow"/>
          <w:bCs/>
          <w:sz w:val="20"/>
          <w:szCs w:val="20"/>
        </w:rPr>
        <w:t>)</w:t>
      </w:r>
    </w:p>
    <w:p>
      <w:pPr>
        <w:pStyle w:val="Normal"/>
        <w:jc w:val="center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center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No seguimento do contacto de v/ Ex.ª para a prestação de um serviço de intermediação de crédito com a </w:t>
      </w:r>
      <w:bookmarkStart w:id="0" w:name="_Hlk120092122"/>
      <w:r>
        <w:rPr>
          <w:rFonts w:ascii="Arial Narrow" w:hAnsi="Arial Narrow"/>
          <w:b/>
          <w:bCs/>
          <w:smallCaps/>
          <w:sz w:val="20"/>
          <w:szCs w:val="20"/>
        </w:rPr>
        <w:t>Luis miguel filipe, lda</w:t>
      </w:r>
      <w:bookmarkEnd w:id="0"/>
      <w:r>
        <w:rPr>
          <w:rFonts w:ascii="Arial Narrow" w:hAnsi="Arial Narrow"/>
          <w:sz w:val="20"/>
          <w:szCs w:val="20"/>
        </w:rPr>
        <w:t xml:space="preserve">, pessoa coletiva com o NIPC </w:t>
      </w:r>
      <w:bookmarkStart w:id="1" w:name="_Hlk120092152"/>
      <w:r>
        <w:rPr>
          <w:rFonts w:ascii="Arial Narrow" w:hAnsi="Arial Narrow"/>
          <w:sz w:val="20"/>
          <w:szCs w:val="20"/>
        </w:rPr>
        <w:t>515604178</w:t>
      </w:r>
      <w:bookmarkEnd w:id="1"/>
      <w:r>
        <w:rPr>
          <w:rFonts w:ascii="Arial Narrow" w:hAnsi="Arial Narrow"/>
          <w:sz w:val="20"/>
          <w:szCs w:val="20"/>
        </w:rPr>
        <w:t>, com sede na Rua Francisco Pereira de Oliveira, Ed. Glória 13D, 5 Esq, 2495-421 Fátima</w:t>
      </w:r>
      <w:r>
        <w:rPr>
          <w:rFonts w:ascii="Arial Narrow" w:hAnsi="Arial Narrow"/>
          <w:bCs/>
          <w:sz w:val="20"/>
          <w:szCs w:val="20"/>
        </w:rPr>
        <w:t xml:space="preserve">, </w:t>
      </w:r>
      <w:r>
        <w:rPr>
          <w:rFonts w:ascii="Arial Narrow" w:hAnsi="Arial Narrow"/>
          <w:sz w:val="20"/>
          <w:szCs w:val="20"/>
        </w:rPr>
        <w:t xml:space="preserve">no âmbito da qual terão que ser recolhidos e tratados dados pessoais dos quais é titular, importa informar v/ Ex.ª do seguinte: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Identificação Do Responsável Pelo Tratamento:</w:t>
      </w:r>
    </w:p>
    <w:tbl>
      <w:tblPr>
        <w:tblStyle w:val="TabelacomGrelh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7795"/>
      </w:tblGrid>
      <w:tr>
        <w:trPr/>
        <w:tc>
          <w:tcPr>
            <w:tcW w:w="1985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Nome:</w:t>
            </w:r>
          </w:p>
        </w:tc>
        <w:tc>
          <w:tcPr>
            <w:tcW w:w="7795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kern w:val="0"/>
                <w:sz w:val="20"/>
                <w:szCs w:val="20"/>
                <w:lang w:eastAsia="en-US" w:bidi="ar-SA"/>
              </w:rPr>
              <w:t>LUIS MIGUEL FILIPE, LDA</w:t>
            </w:r>
          </w:p>
        </w:tc>
      </w:tr>
      <w:tr>
        <w:trPr/>
        <w:tc>
          <w:tcPr>
            <w:tcW w:w="1985" w:type="dxa"/>
            <w:tcBorders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Morada:</w:t>
            </w:r>
          </w:p>
        </w:tc>
        <w:tc>
          <w:tcPr>
            <w:tcW w:w="7795" w:type="dxa"/>
            <w:tcBorders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5208" w:leader="none"/>
              </w:tabs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kern w:val="0"/>
                <w:sz w:val="20"/>
                <w:szCs w:val="20"/>
                <w:lang w:eastAsia="en-US" w:bidi="ar-SA"/>
              </w:rPr>
              <w:t>Rua Francisco Pereira de Oliveira, Ed. Glória 13D, 5 Esq, 2495-421 Fátima</w:t>
              <w:tab/>
            </w:r>
          </w:p>
        </w:tc>
      </w:tr>
      <w:tr>
        <w:trPr/>
        <w:tc>
          <w:tcPr>
            <w:tcW w:w="1985" w:type="dxa"/>
            <w:tcBorders>
              <w:lef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>Email:</w:t>
            </w:r>
          </w:p>
        </w:tc>
        <w:tc>
          <w:tcPr>
            <w:tcW w:w="7795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eastAsia="Calibri" w:ascii="Arial Narrow" w:hAnsi="Arial Narrow"/>
                <w:kern w:val="0"/>
                <w:sz w:val="20"/>
                <w:szCs w:val="20"/>
                <w:lang w:eastAsia="en-US" w:bidi="ar-SA"/>
              </w:rPr>
              <w:t xml:space="preserve">LUIS.FILIPE@LVF.PT </w:t>
            </w:r>
          </w:p>
        </w:tc>
      </w:tr>
      <w:tr>
        <w:trPr/>
        <w:tc>
          <w:tcPr>
            <w:tcW w:w="1985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/>
                <w:b/>
                <w:b/>
                <w:sz w:val="20"/>
                <w:szCs w:val="20"/>
              </w:rPr>
            </w:pPr>
            <w:r>
              <w:rPr>
                <w:rFonts w:eastAsia="Calibri" w:cs="" w:ascii="Arial Narrow" w:hAnsi="Arial Narrow"/>
                <w:b/>
                <w:kern w:val="0"/>
                <w:sz w:val="20"/>
                <w:szCs w:val="20"/>
                <w:lang w:eastAsia="en-US" w:bidi="ar-SA"/>
              </w:rPr>
              <w:t xml:space="preserve">Contacto telefónico: </w:t>
            </w:r>
          </w:p>
        </w:tc>
        <w:tc>
          <w:tcPr>
            <w:tcW w:w="7795" w:type="dxa"/>
            <w:tcBorders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eastAsia="Calibri" w:cs="" w:ascii="Arial Narrow" w:hAnsi="Arial Narrow"/>
                <w:kern w:val="0"/>
                <w:sz w:val="20"/>
                <w:szCs w:val="20"/>
                <w:lang w:eastAsia="en-US" w:bidi="ar-SA"/>
              </w:rPr>
              <w:t>00 351 96 356 92 59</w:t>
            </w:r>
          </w:p>
        </w:tc>
      </w:tr>
    </w:tbl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 xml:space="preserve">Dados pessoais recolhidos </w:t>
      </w:r>
    </w:p>
    <w:p>
      <w:pPr>
        <w:pStyle w:val="ListParagraph"/>
        <w:ind w:left="360" w:hanging="0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Os dados pessoais recolhidos pelo Responsável pelo Tratamento</w:t>
      </w:r>
      <w:r>
        <w:rPr>
          <w:rFonts w:ascii="Arial Narrow" w:hAnsi="Arial Narrow"/>
          <w:sz w:val="20"/>
          <w:szCs w:val="20"/>
        </w:rPr>
        <w:t xml:space="preserve"> ao titular dos dados são os seguintes: 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de identificação (nome completo, data de nascimento, número do documento de identificação, n.º de contribuinte);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de contacto (números de telefone, email, fax e morada);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Dados bancários (IBAN, BIC, extratos de conta, declarações de dívida); 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fiscais (declarações de IRS, notas de liquidação de IRS, etc.);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Dados salariais (recibos de vencimento, vinculo laboral, ou outro comprovativo do salário);</w:t>
      </w:r>
    </w:p>
    <w:p>
      <w:pPr>
        <w:pStyle w:val="Normal"/>
        <w:numPr>
          <w:ilvl w:val="1"/>
          <w:numId w:val="4"/>
        </w:numPr>
        <w:ind w:left="567" w:hanging="283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Documentação relacionada com o imóvel a adquirir, tais como certificados energéticos, caderneta predial, certidão do registo predial, a qual contém, entre outras informações, a morada do imóvel, o valor patrimonial, as áreas, e dados pessoais dos proprietários.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Em caso de alterações aos dados recolhidos, a presente Política de Privacidade será devidamente atualizada. 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Em caso de recolha de dados pessoais de crianças, o Responsável pelo Tratamento adotará todas as medidas necessárias para que a criança tenha acesso à informação legalmente exigível de forma clara e simples, e apenas tratará esses dados com base no seu consentimento se a mesma tiver já completado 13 anos de idade.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Caso a criança ainda não tenha completado 13 anos de idade, os seus dados apenas poderão ser tratados se o consentimento for dado pelos representantes legais desta, de preferência com recurso a meios de autenticação segura.</w:t>
      </w:r>
    </w:p>
    <w:p>
      <w:pPr>
        <w:pStyle w:val="Normal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Finalidade de tratamento dos dados recolhidos</w:t>
      </w:r>
    </w:p>
    <w:p>
      <w:pPr>
        <w:pStyle w:val="ListParagraph"/>
        <w:ind w:left="360" w:hanging="0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Os dados pessoais do Cliente são recolhidos, em primeira linha, para a </w:t>
      </w:r>
      <w:r>
        <w:rPr>
          <w:rFonts w:ascii="Arial Narrow" w:hAnsi="Arial Narrow"/>
          <w:bCs/>
          <w:sz w:val="20"/>
          <w:szCs w:val="20"/>
          <w:u w:val="single"/>
        </w:rPr>
        <w:t>prestação do serviço de intermediação de crédito solicitado pelo Cliente ao  Responsável pelo Tratamento</w:t>
      </w:r>
      <w:r>
        <w:rPr>
          <w:rFonts w:ascii="Arial Narrow" w:hAnsi="Arial Narrow"/>
          <w:bCs/>
          <w:sz w:val="20"/>
          <w:szCs w:val="20"/>
        </w:rPr>
        <w:t xml:space="preserve"> (fundamento de licitude previsto no artigo 6.º, n.º1, al. a) do RGPD) a qual inclui, necessariamente, a transferência destes dados para Instituições de Crédito, por forma a que estas possam analisar a situação jurídica e financeira do Cliente e, assim, decidir os termos da concessão de crédito bancário.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Atendendo ao exposto, ao fornecer os seus dados pessoais ao Responsável pelo Tratamento, para efeitos do estabelecimento de uma relação de intermediação de crédito, o Cliente aceita que os seus dados sejam objeto deste tratamento, e que a não concordância com o mesmo implica a impossibilidade de prestar o serviço pretendido pelo Cliente.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Os dados Pessoais do Cliente são recolhidos, em segunda linha, para a </w:t>
      </w:r>
      <w:r>
        <w:rPr>
          <w:rFonts w:ascii="Arial Narrow" w:hAnsi="Arial Narrow"/>
          <w:bCs/>
          <w:sz w:val="20"/>
          <w:szCs w:val="20"/>
          <w:u w:val="single"/>
        </w:rPr>
        <w:t>prestação do serviço de acompanhamento em matéria de seguros</w:t>
      </w:r>
      <w:r>
        <w:rPr>
          <w:rFonts w:ascii="Arial Narrow" w:hAnsi="Arial Narrow"/>
          <w:bCs/>
          <w:sz w:val="20"/>
          <w:szCs w:val="20"/>
        </w:rPr>
        <w:t>, (fundamento de licitude previsto no artigo 6.º, n.º1, al. a) do RGPD)</w:t>
      </w:r>
      <w:r>
        <w:rPr/>
        <w:t xml:space="preserve"> </w:t>
      </w:r>
      <w:r>
        <w:rPr>
          <w:rFonts w:ascii="Arial Narrow" w:hAnsi="Arial Narrow"/>
          <w:bCs/>
          <w:sz w:val="20"/>
          <w:szCs w:val="20"/>
        </w:rPr>
        <w:t xml:space="preserve">a qual inclui, necessariamente, a transferência destes dados para um, ou mais, corretor de seguros, mediador e/ou seguradoras, por forma a que estas possam analisar a situação do Cliente e, assim, propor e decidir os termos de aceitação do risco. 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Atendendo ao exposto, ao fornecer os seus dados pessoais ao Responsável pelo Tratamento, para efeitos do estabelecimento de uma relação de acompanhamento em matéria de seguros, o Cliente aceita que os seus dados sejam objeto deste tratamento, e que a não concordância com o mesmo implica a impossibilidade de prestar o serviço pretendido pelo Cliente.</w:t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O Responsável pelo Tratamento utiliza um conjunto de ferramentas informáticas de Gestão de Relacionamento com o Cliente (CRM), podendo estas, em cada momento, ser geridas por si ou por terceiros. Nesta(s) são registados em cada momento os seguintes dados do cliente: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Nome completo;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Nº de contribuinte;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Dados da operação de crédito (valor do financiamento contratado, banco, data de contratação, número do contrato de crédito, etc.)</w:t>
      </w:r>
    </w:p>
    <w:p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>Dados do imóvel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Em ocasião alguma, os dados recolhidos serão utilizados para finalidade distinta da legalmente estabelecida ou para a qual foi dado o consentimento por parte do titular dos dados. Assim, caso pretenda tratar os dados pessoais fornecidos pelo Cliente para outra finalidade, o Responsável pelo Tratamento solicitará sempre, e previamente, o consentimento daquele.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Destinatários Dos Dados Pessoais</w:t>
      </w:r>
    </w:p>
    <w:p>
      <w:pPr>
        <w:pStyle w:val="ListParagraph"/>
        <w:spacing w:before="0" w:after="0"/>
        <w:ind w:left="360" w:hanging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Para efeitos de execução do contrato de intermediação de crédito celebrado entre as partes, o Responsável pelo Tratamento irá transferir os dados pessoais do Cliente para as Instituições Financeiras e de Crédito, cuja lista poderá ser consultada no website</w:t>
      </w:r>
      <w:r>
        <w:rPr/>
        <w:t xml:space="preserve"> </w:t>
      </w:r>
      <w:hyperlink r:id="rId2">
        <w:r>
          <w:rPr>
            <w:rStyle w:val="InternetLink"/>
            <w:rFonts w:ascii="Arial Narrow" w:hAnsi="Arial Narrow"/>
            <w:sz w:val="20"/>
            <w:szCs w:val="20"/>
          </w:rPr>
          <w:t>https://www.bportugal.pt/</w:t>
        </w:r>
      </w:hyperlink>
      <w:r>
        <w:rPr>
          <w:rFonts w:ascii="Arial Narrow" w:hAnsi="Arial Narrow"/>
          <w:sz w:val="20"/>
          <w:szCs w:val="20"/>
        </w:rPr>
        <w:t xml:space="preserve"> </w:t>
      </w:r>
    </w:p>
    <w:p>
      <w:pPr>
        <w:pStyle w:val="Normal"/>
        <w:spacing w:before="0" w:after="200"/>
        <w:jc w:val="both"/>
        <w:rPr>
          <w:rFonts w:ascii="Arial Narrow" w:hAnsi="Arial Narrow"/>
          <w:color w:val="000000" w:themeColor="text1"/>
          <w:sz w:val="20"/>
          <w:szCs w:val="20"/>
        </w:rPr>
      </w:pPr>
      <w:r>
        <w:rPr>
          <w:rFonts w:ascii="Arial Narrow" w:hAnsi="Arial Narrow"/>
          <w:color w:val="000000" w:themeColor="text1"/>
          <w:sz w:val="20"/>
          <w:szCs w:val="20"/>
        </w:rPr>
        <w:t xml:space="preserve">O cliente poderá ainda obter informação sobre as entidades a quem o Responsável pelo Tratamento transmite os seus dados (todas sediadas na EU), mediante um envio e-mail para o endereço eletrónico fornecido no ponto 1. </w:t>
      </w:r>
    </w:p>
    <w:p>
      <w:pPr>
        <w:pStyle w:val="Normal"/>
        <w:spacing w:before="0" w:after="200"/>
        <w:jc w:val="both"/>
        <w:rPr>
          <w:rFonts w:ascii="Arial Narrow" w:hAnsi="Arial Narrow"/>
          <w:bCs/>
          <w:sz w:val="20"/>
          <w:szCs w:val="20"/>
        </w:rPr>
      </w:pPr>
      <w:r>
        <w:rPr>
          <w:rFonts w:ascii="Arial Narrow" w:hAnsi="Arial Narrow"/>
          <w:bCs/>
          <w:sz w:val="20"/>
          <w:szCs w:val="20"/>
        </w:rPr>
        <w:t xml:space="preserve">Caso o Cliente preste o seu consentimento, as instituições financeiras e de crédito </w:t>
      </w:r>
      <w:r>
        <w:rPr>
          <w:rFonts w:ascii="Arial Narrow" w:hAnsi="Arial Narrow"/>
          <w:sz w:val="20"/>
          <w:szCs w:val="20"/>
        </w:rPr>
        <w:t>com quem o(a) intermediário de crédito tenha estabelecido parcerias comerciais</w:t>
      </w:r>
      <w:r>
        <w:rPr>
          <w:rFonts w:ascii="Arial Narrow" w:hAnsi="Arial Narrow"/>
          <w:bCs/>
          <w:sz w:val="20"/>
          <w:szCs w:val="20"/>
        </w:rPr>
        <w:t xml:space="preserve"> poderão consultar informação que a seu respeito constar da Central de Responsabilidades de Crédito bem como da Listagem de Utilizadores de Cheque que oferecem Risco, ambas existentes junto do Banco de Portugal, em conformidade com a legislação e regulamentação aplicáveis. </w:t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Prazo de Conservação dos Dados Pessoais</w:t>
      </w:r>
    </w:p>
    <w:p>
      <w:pPr>
        <w:pStyle w:val="ListParagraph"/>
        <w:spacing w:before="0" w:after="0"/>
        <w:ind w:left="360" w:hanging="0"/>
        <w:contextualSpacing w:val="false"/>
        <w:jc w:val="both"/>
        <w:rPr>
          <w:rFonts w:ascii="Arial Narrow" w:hAnsi="Arial Narrow"/>
          <w:b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 período durante o qual os dados são armazenados e conservados varia de acordo com a finalidade para a qual a informação é tratada e de acordo com as obrigações e requisitos legais eventualmente aplicáveis, e que obriguem a conservar os dados por um período de tempo mínimo.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Assim, e sempre que não exista uma obrigação legal especifica, os dados serão armazenados e conservados apenas pelo período mínimo necessário para as finalidades que motivaram a sua recolha ou o seu posterior tratamento, findo o qual os mesmos serão eliminados.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Mais concretamente:</w:t>
      </w:r>
    </w:p>
    <w:p>
      <w:pPr>
        <w:pStyle w:val="ListParagraph"/>
        <w:numPr>
          <w:ilvl w:val="0"/>
          <w:numId w:val="2"/>
        </w:numPr>
        <w:spacing w:before="0" w:after="200"/>
        <w:ind w:left="567" w:hanging="283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Os dados pessoais que forem recolhidos para efeitos do contrato de intermediação de crédito serão conservados durante o prazo de 12 (doze) meses após o termo da relação contratual estabelecida com o Cliente, sem prejuízo da sua conservação, para além daquele prazo, em caso de pendência de ação judicial, caso em que os dados deverão se apagados decorridos 3 (três) meses desde a data do trânsito em julgado da decisão final proferida no âmbito desse processo. </w:t>
      </w:r>
    </w:p>
    <w:p>
      <w:pPr>
        <w:pStyle w:val="ListParagraph"/>
        <w:spacing w:before="0" w:after="200"/>
        <w:ind w:left="567" w:hanging="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before="0" w:after="200"/>
        <w:ind w:left="567" w:hanging="283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Os dados pessoais que forem recolhidos para efeitos de inserção no(s) sistema(s) de Gestão de Relacionamento com o Cliente (CRM) serão conservados durante o período de 10 anos, ou até que seja retirado o consentimento com base no qual os mesmos são tratados.  </w:t>
        <w:br/>
      </w:r>
    </w:p>
    <w:p>
      <w:pPr>
        <w:pStyle w:val="ListParagraph"/>
        <w:spacing w:before="0" w:after="200"/>
        <w:ind w:left="567" w:hanging="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 w:val="false"/>
        <w:jc w:val="both"/>
        <w:rPr>
          <w:rFonts w:ascii="Arial Narrow" w:hAnsi="Arial Narrow"/>
          <w:b/>
          <w:b/>
          <w:smallCaps/>
          <w:sz w:val="20"/>
          <w:szCs w:val="20"/>
        </w:rPr>
      </w:pPr>
      <w:r>
        <w:rPr>
          <w:rFonts w:ascii="Arial Narrow" w:hAnsi="Arial Narrow"/>
          <w:b/>
          <w:smallCaps/>
          <w:sz w:val="20"/>
          <w:szCs w:val="20"/>
        </w:rPr>
        <w:t>Direitos Do Titular Dos Dados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É garantido aos titulares dos dados pessoais recolhidos o direito de solicitar ao responsável pelo tratamento o acesso, a retificação, a eliminação ou a limitação do tratamento dos dados pessoais que lhes digam respeito, bem como o direito de se opor ao tratamento e o direito à portabilidade dos dados.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Nos casos em que tenha sido prestado o consentimento expresso para a recolha e tratamento, os titulares dos dados têm o direito de retirar esse mesmo consentimento, em qualquer altura, bastando para isso enviar um e-mail com essa indicação para o endereço de correio eletrónico acima indicado. Nesse caso, o titular dos dados fica desde já informado de que a revogação do consentimento apenas produz efeitos para o futuro.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Na eventualidade de querer exercer estes direitos ou para qualquer outra questão adicional respeitante à proteção de dados e seu tratamento, deverá contactar por escrito o Responsável pelo Tratamento através do contacto acima indicado. 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Caso o Responsável pelo Tratamento tenha dúvidas razoáveis quanto à identidade da pessoa singular que apresenta o pedido, o mesmo poderá solicitar que lhe sejam fornecidas as informações adicionais que forem necessárias para confirmar a identidade do titular dos dados.  </w:t>
      </w:r>
    </w:p>
    <w:p>
      <w:pPr>
        <w:pStyle w:val="Normal"/>
        <w:spacing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Adicionalmente, e se em algum momento considerar que os seus direitos não foram devidamente acautelados, poderá apresentar uma reclamação junto da Comissão Nacional de Proteção de Dados, cujos dados de contacto constam do website </w:t>
      </w:r>
      <w:hyperlink r:id="rId3">
        <w:r>
          <w:rPr>
            <w:rStyle w:val="InternetLink"/>
            <w:rFonts w:ascii="Arial Narrow" w:hAnsi="Arial Narrow"/>
            <w:sz w:val="20"/>
            <w:szCs w:val="20"/>
          </w:rPr>
          <w:t>https://www.cnpd.pt/</w:t>
        </w:r>
      </w:hyperlink>
      <w:r>
        <w:rPr>
          <w:rFonts w:ascii="Arial Narrow" w:hAnsi="Arial Narrow"/>
          <w:sz w:val="20"/>
          <w:szCs w:val="20"/>
        </w:rPr>
        <w:t xml:space="preserve">.  </w:t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Normal"/>
        <w:spacing w:lineRule="exact" w:line="300" w:before="0" w:after="20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Declaro que tomei conhecimento da presente Política de Privacidade, na versão apresentada através da plataforma digital, e que as autorizações abaixo assinaladas correspondem à minha vontade expressa.</w:t>
      </w:r>
    </w:p>
    <w:p>
      <w:pPr>
        <w:pStyle w:val="Normal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Quanto à possibilidade de as instituições financeiras e de crédito com quem o intermediário de crédito tenha estabelecido parcerias comerciais </w:t>
      </w:r>
      <w:bookmarkStart w:id="2" w:name="_Hlk54511785"/>
      <w:r>
        <w:rPr>
          <w:rFonts w:ascii="Arial Narrow" w:hAnsi="Arial Narrow"/>
          <w:sz w:val="20"/>
          <w:szCs w:val="20"/>
        </w:rPr>
        <w:t>consultarem informação que a meu respeito constar da Central de Responsabilidades de Crédito bem como da Listagem de Utilizadores de Cheque que oferecem Risco, ambas existentes junto do Banco de Portugal, em conformidade com a legislação e regulamentação aplicáveis</w:t>
      </w:r>
      <w:bookmarkEnd w:id="2"/>
    </w:p>
    <w:p>
      <w:pPr>
        <w:pStyle w:val="Normal"/>
        <w:spacing w:before="0" w:after="20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  <w:tab/>
        <w:tab/>
        <w:tab/>
        <w:tab/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Autorizo a transmissão, e o tratamento, dos meus dados pessoais a instituições financeiras e de crédito com quem o intermediário de crédito tenha estabelecido parcerias comerciais com o objetivo dessas instituições de crédito analisarem o pedido de concessão de crédito e me apresentarem uma proposta de financiamento; a decisão que vier a ser tomada pelas instituições de crédito sobre a proposta de crédito poder-me-á ser apresentada pelo intermediário de crédito neste consentimento referido. </w:t>
      </w:r>
    </w:p>
    <w:p>
      <w:pPr>
        <w:pStyle w:val="ListParagraph"/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</w:rPr>
      </w:r>
    </w:p>
    <w:p>
      <w:pPr>
        <w:pStyle w:val="ListParagraph"/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16" w:leader="none"/>
        </w:tabs>
        <w:jc w:val="both"/>
        <w:rPr>
          <w:sz w:val="22"/>
          <w:szCs w:val="22"/>
        </w:rPr>
      </w:pPr>
      <w:r>
        <w:rPr>
          <w:rFonts w:ascii="Arial Narrow" w:hAnsi="Arial Narrow"/>
          <w:sz w:val="20"/>
          <w:szCs w:val="20"/>
        </w:rPr>
        <w:t>Autorizo igualmente as mesmas instituições financeiras a transmitir ao intermediário de crédito, no caso de o crédito concedido prever a libertação por tranches, durante um período de utilização previamente acordado, informação sobre a libertação das diversas tranches, à medida que o montante concedido for sendo utilizado.</w:t>
        <w:tab/>
      </w:r>
    </w:p>
    <w:p>
      <w:pPr>
        <w:pStyle w:val="Normal"/>
        <w:spacing w:before="0" w:after="200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Autorizo a transmissão e o tratamento dos meus dados pessoais a um, ou mais, corretores de seguros, mediadores e/ou seguradoras, com o objetivo dessas entidades apresentarem propostas de seguros, as quais poder-me-ão ser apresentadas pelo intermediário de crédito neste consentimento referido. </w:t>
      </w:r>
    </w:p>
    <w:p>
      <w:pPr>
        <w:pStyle w:val="ListParagraph"/>
        <w:spacing w:before="0" w:after="200"/>
        <w:contextualSpacing/>
        <w:jc w:val="both"/>
        <w:rPr>
          <w:rFonts w:ascii="Arial Narrow" w:hAnsi="Arial Narrow"/>
          <w:sz w:val="20"/>
          <w:szCs w:val="20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991" w:gutter="0" w:header="76" w:top="786" w:footer="709" w:bottom="76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2808087"/>
    </w:sdtPr>
    <w:sdtContent>
      <w:p>
        <w:pPr>
          <w:pStyle w:val="Normal"/>
          <w:rPr>
            <w:rFonts w:ascii="Arial Narrow" w:hAnsi="Arial Narrow"/>
            <w:sz w:val="16"/>
            <w:szCs w:val="16"/>
          </w:rPr>
        </w:pPr>
        <w:r>
          <w:rPr>
            <w:rFonts w:ascii="Arial Narrow" w:hAnsi="Arial Narrow"/>
            <w:i/>
            <w:iCs/>
            <w:sz w:val="16"/>
            <w:szCs w:val="16"/>
          </w:rPr>
          <w:t>Política de Privacidade – versão 1.0 – Outubro 2025</w:t>
        </w:r>
        <w:r>
          <w:rPr>
            <w:rFonts w:ascii="Arial Narrow" w:hAnsi="Arial Narrow"/>
            <w:sz w:val="16"/>
            <w:szCs w:val="16"/>
          </w:rPr>
          <w:tab/>
          <w:tab/>
          <w:tab/>
          <w:tab/>
          <w:tab/>
          <w:tab/>
          <w:tab/>
          <w:tab/>
          <w:t xml:space="preserve">Pág. </w:t>
        </w:r>
        <w:r>
          <w:rPr>
            <w:rFonts w:ascii="Arial Narrow" w:hAnsi="Arial Narrow"/>
            <w:sz w:val="16"/>
            <w:szCs w:val="16"/>
          </w:rPr>
          <w:fldChar w:fldCharType="begin"/>
        </w:r>
        <w:r>
          <w:rPr>
            <w:sz w:val="16"/>
            <w:szCs w:val="16"/>
            <w:rFonts w:ascii="Arial Narrow" w:hAnsi="Arial Narrow"/>
          </w:rPr>
          <w:instrText xml:space="preserve"> PAGE </w:instrText>
        </w:r>
        <w:r>
          <w:rPr>
            <w:sz w:val="16"/>
            <w:szCs w:val="16"/>
            <w:rFonts w:ascii="Arial Narrow" w:hAnsi="Arial Narrow"/>
          </w:rPr>
          <w:fldChar w:fldCharType="separate"/>
        </w:r>
        <w:r>
          <w:rPr>
            <w:sz w:val="16"/>
            <w:szCs w:val="16"/>
            <w:rFonts w:ascii="Arial Narrow" w:hAnsi="Arial Narrow"/>
          </w:rPr>
          <w:t>2</w:t>
        </w:r>
        <w:r>
          <w:rPr>
            <w:sz w:val="16"/>
            <w:szCs w:val="16"/>
            <w:rFonts w:ascii="Arial Narrow" w:hAnsi="Arial Narrow"/>
          </w:rPr>
          <w:fldChar w:fldCharType="end"/>
        </w:r>
        <w:r>
          <w:rPr>
            <w:rFonts w:ascii="Arial Narrow" w:hAnsi="Arial Narrow"/>
            <w:sz w:val="16"/>
            <w:szCs w:val="16"/>
          </w:rPr>
          <w:t xml:space="preserve"> / </w:t>
        </w:r>
        <w:r>
          <w:rPr>
            <w:rFonts w:ascii="Arial Narrow" w:hAnsi="Arial Narrow"/>
            <w:sz w:val="16"/>
            <w:szCs w:val="16"/>
          </w:rPr>
          <w:fldChar w:fldCharType="begin"/>
        </w:r>
        <w:r>
          <w:rPr>
            <w:sz w:val="16"/>
            <w:szCs w:val="16"/>
            <w:rFonts w:ascii="Arial Narrow" w:hAnsi="Arial Narrow"/>
          </w:rPr>
          <w:instrText xml:space="preserve"> NUMPAGES </w:instrText>
        </w:r>
        <w:r>
          <w:rPr>
            <w:sz w:val="16"/>
            <w:szCs w:val="16"/>
            <w:rFonts w:ascii="Arial Narrow" w:hAnsi="Arial Narrow"/>
          </w:rPr>
          <w:fldChar w:fldCharType="separate"/>
        </w:r>
        <w:r>
          <w:rPr>
            <w:sz w:val="16"/>
            <w:szCs w:val="16"/>
            <w:rFonts w:ascii="Arial Narrow" w:hAnsi="Arial Narrow"/>
          </w:rPr>
          <w:t>3</w:t>
        </w:r>
        <w:r>
          <w:rPr>
            <w:sz w:val="16"/>
            <w:szCs w:val="16"/>
            <w:rFonts w:ascii="Arial Narrow" w:hAnsi="Arial Narrow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69467209"/>
    </w:sdtPr>
    <w:sdtContent>
      <w:p>
        <w:pPr>
          <w:pStyle w:val="Normal"/>
          <w:rPr>
            <w:rFonts w:ascii="Garamond" w:hAnsi="Garamond"/>
            <w:sz w:val="16"/>
            <w:szCs w:val="16"/>
          </w:rPr>
        </w:pPr>
        <w:r>
          <w:rPr>
            <w:rFonts w:ascii="Garamond" w:hAnsi="Garamond"/>
            <w:sz w:val="16"/>
            <w:szCs w:val="16"/>
          </w:rPr>
          <w:t xml:space="preserve">    </w:t>
        </w:r>
        <w:r>
          <w:rPr>
            <w:rFonts w:ascii="Arial Narrow" w:hAnsi="Arial Narrow"/>
            <w:i/>
            <w:iCs/>
            <w:sz w:val="16"/>
            <w:szCs w:val="16"/>
          </w:rPr>
          <w:t xml:space="preserve">Política de Privacidade – versão 1.0 – Outubro 2025  </w:t>
        </w:r>
        <w:r>
          <w:rPr>
            <w:rFonts w:ascii="Arial Narrow" w:hAnsi="Arial Narrow"/>
            <w:sz w:val="16"/>
            <w:szCs w:val="16"/>
          </w:rPr>
          <w:t xml:space="preserve">    </w:t>
        </w:r>
        <w:r>
          <w:rPr>
            <w:rFonts w:ascii="Garamond" w:hAnsi="Garamond"/>
            <w:sz w:val="16"/>
            <w:szCs w:val="16"/>
          </w:rPr>
          <w:tab/>
          <w:tab/>
          <w:tab/>
          <w:tab/>
          <w:tab/>
          <w:t xml:space="preserve">                             </w:t>
          <w:tab/>
          <w:t xml:space="preserve">Pág. </w:t>
        </w:r>
        <w:r>
          <w:rPr>
            <w:rFonts w:ascii="Garamond" w:hAnsi="Garamond"/>
            <w:sz w:val="16"/>
            <w:szCs w:val="16"/>
          </w:rPr>
          <w:fldChar w:fldCharType="begin"/>
        </w:r>
        <w:r>
          <w:rPr>
            <w:sz w:val="16"/>
            <w:szCs w:val="16"/>
            <w:rFonts w:ascii="Garamond" w:hAnsi="Garamond"/>
          </w:rPr>
          <w:instrText xml:space="preserve"> PAGE </w:instrText>
        </w:r>
        <w:r>
          <w:rPr>
            <w:sz w:val="16"/>
            <w:szCs w:val="16"/>
            <w:rFonts w:ascii="Garamond" w:hAnsi="Garamond"/>
          </w:rPr>
          <w:fldChar w:fldCharType="separate"/>
        </w:r>
        <w:r>
          <w:rPr>
            <w:sz w:val="16"/>
            <w:szCs w:val="16"/>
            <w:rFonts w:ascii="Garamond" w:hAnsi="Garamond"/>
          </w:rPr>
          <w:t>1</w:t>
        </w:r>
        <w:r>
          <w:rPr>
            <w:sz w:val="16"/>
            <w:szCs w:val="16"/>
            <w:rFonts w:ascii="Garamond" w:hAnsi="Garamond"/>
          </w:rPr>
          <w:fldChar w:fldCharType="end"/>
        </w:r>
        <w:r>
          <w:rPr>
            <w:rFonts w:ascii="Garamond" w:hAnsi="Garamond"/>
            <w:sz w:val="16"/>
            <w:szCs w:val="16"/>
          </w:rPr>
          <w:t xml:space="preserve"> / </w:t>
        </w:r>
        <w:r>
          <w:rPr>
            <w:rFonts w:ascii="Garamond" w:hAnsi="Garamond"/>
            <w:sz w:val="16"/>
            <w:szCs w:val="16"/>
          </w:rPr>
          <w:fldChar w:fldCharType="begin"/>
        </w:r>
        <w:r>
          <w:rPr>
            <w:sz w:val="16"/>
            <w:szCs w:val="16"/>
            <w:rFonts w:ascii="Garamond" w:hAnsi="Garamond"/>
          </w:rPr>
          <w:instrText xml:space="preserve"> NUMPAGES </w:instrText>
        </w:r>
        <w:r>
          <w:rPr>
            <w:sz w:val="16"/>
            <w:szCs w:val="16"/>
            <w:rFonts w:ascii="Garamond" w:hAnsi="Garamond"/>
          </w:rPr>
          <w:fldChar w:fldCharType="separate"/>
        </w:r>
        <w:r>
          <w:rPr>
            <w:sz w:val="16"/>
            <w:szCs w:val="16"/>
            <w:rFonts w:ascii="Garamond" w:hAnsi="Garamond"/>
          </w:rPr>
          <w:t>3</w:t>
        </w:r>
        <w:r>
          <w:rPr>
            <w:sz w:val="16"/>
            <w:szCs w:val="16"/>
            <w:rFonts w:ascii="Garamond" w:hAnsi="Garamond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napToGrid w:val="false"/>
      <w:spacing w:lineRule="auto" w:line="360"/>
      <w:jc w:val="center"/>
      <w:rPr>
        <w:rFonts w:ascii="Tahoma" w:hAnsi="Tahoma" w:cs="Tahoma"/>
        <w:color w:val="3B3838" w:themeColor="background2" w:themeShade="40"/>
      </w:rPr>
    </w:pPr>
    <w:r>
      <w:rPr>
        <w:rFonts w:cs="Tahoma" w:ascii="Tahoma" w:hAnsi="Tahoma"/>
        <w:color w:val="3B3838" w:themeColor="background2" w:themeShade="4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3B3838" w:themeColor="background2" w:themeShade="40"/>
      </w:rPr>
    </w:pPr>
    <w:r>
      <w:rPr>
        <w:color w:val="3B3838" w:themeColor="background2" w:themeShade="40"/>
      </w:rPr>
    </w:r>
  </w:p>
  <w:p>
    <w:pPr>
      <w:pStyle w:val="Header"/>
      <w:ind w:firstLine="180"/>
      <w:rPr>
        <w:rFonts w:ascii="Tahoma" w:hAnsi="Tahoma" w:cs="Tahoma"/>
      </w:rPr>
    </w:pPr>
    <w:r>
      <w:rPr>
        <w:rFonts w:cs="Tahoma" w:ascii="Tahoma" w:hAnsi="Tahom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sz w:val="20"/>
        <w:i/>
        <w:b/>
        <w:szCs w:val="20"/>
        <w:iCs/>
        <w:bCs/>
        <w:rFonts w:ascii="Arial Narrow" w:hAnsi="Arial Narro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i w:val="false"/>
        <w:b w:val="fals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75c5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qFormat/>
    <w:rsid w:val="00975c54"/>
    <w:pPr>
      <w:keepNext w:val="true"/>
      <w:outlineLvl w:val="0"/>
    </w:pPr>
    <w:rPr>
      <w:rFonts w:ascii="Tahoma" w:hAnsi="Tahoma" w:cs="Tahoma"/>
      <w:b/>
      <w:bCs/>
      <w:sz w:val="32"/>
    </w:rPr>
  </w:style>
  <w:style w:type="paragraph" w:styleId="Heading2">
    <w:name w:val="Heading 2"/>
    <w:basedOn w:val="Normal"/>
    <w:next w:val="Normal"/>
    <w:qFormat/>
    <w:rsid w:val="00975c54"/>
    <w:pPr>
      <w:keepNext w:val="true"/>
      <w:outlineLvl w:val="1"/>
    </w:pPr>
    <w:rPr>
      <w:rFonts w:ascii="Tahoma" w:hAnsi="Tahoma" w:cs="Tahoma"/>
      <w:b/>
      <w:bCs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975c54"/>
    <w:rPr>
      <w:color w:val="0000FF"/>
      <w:u w:val="single"/>
    </w:rPr>
  </w:style>
  <w:style w:type="character" w:styleId="VisitedInternetLink">
    <w:name w:val="FollowedHyperlink"/>
    <w:rsid w:val="00975c54"/>
    <w:rPr>
      <w:color w:val="800080"/>
      <w:u w:val="single"/>
    </w:rPr>
  </w:style>
  <w:style w:type="character" w:styleId="TextodebaloCarter" w:customStyle="1">
    <w:name w:val="Texto de balão Caráter"/>
    <w:link w:val="BalloonText"/>
    <w:qFormat/>
    <w:rsid w:val="00c54b96"/>
    <w:rPr>
      <w:rFonts w:ascii="Segoe UI" w:hAnsi="Segoe UI" w:cs="Segoe UI"/>
      <w:sz w:val="18"/>
      <w:szCs w:val="18"/>
      <w:lang w:eastAsia="en-US"/>
    </w:rPr>
  </w:style>
  <w:style w:type="character" w:styleId="CabealhoCarter" w:customStyle="1">
    <w:name w:val="Cabeçalho Caráter"/>
    <w:basedOn w:val="DefaultParagraphFont"/>
    <w:link w:val="Header"/>
    <w:uiPriority w:val="99"/>
    <w:qFormat/>
    <w:rsid w:val="00b33648"/>
    <w:rPr>
      <w:sz w:val="24"/>
      <w:szCs w:val="24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3932"/>
    <w:rPr>
      <w:color w:val="605E5C"/>
      <w:shd w:fill="E1DFDD" w:val="clear"/>
    </w:rPr>
  </w:style>
  <w:style w:type="character" w:styleId="TextodenotaderodapCarter" w:customStyle="1">
    <w:name w:val="Texto de nota de rodapé Caráter"/>
    <w:basedOn w:val="DefaultParagraphFont"/>
    <w:link w:val="Footnote"/>
    <w:semiHidden/>
    <w:qFormat/>
    <w:rsid w:val="00631e75"/>
    <w:rPr>
      <w:lang w:val="pt-PT"/>
    </w:rPr>
  </w:style>
  <w:style w:type="character" w:styleId="FootnoteCharacters">
    <w:name w:val="Footnote Characters"/>
    <w:basedOn w:val="DefaultParagraphFont"/>
    <w:semiHidden/>
    <w:unhideWhenUsed/>
    <w:qFormat/>
    <w:rsid w:val="00631e75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975c54"/>
    <w:pPr>
      <w:spacing w:lineRule="auto" w:line="360"/>
      <w:jc w:val="both"/>
    </w:pPr>
    <w:rPr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rsid w:val="00975c5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5c5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arter"/>
    <w:qFormat/>
    <w:rsid w:val="00c54b96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2de"/>
    <w:pPr>
      <w:spacing w:before="0" w:after="0"/>
      <w:ind w:left="720" w:hanging="0"/>
      <w:contextualSpacing/>
    </w:pPr>
    <w:rPr/>
  </w:style>
  <w:style w:type="paragraph" w:styleId="Textbox" w:customStyle="1">
    <w:name w:val="textbox"/>
    <w:basedOn w:val="Normal"/>
    <w:qFormat/>
    <w:rsid w:val="00e577bf"/>
    <w:pPr>
      <w:spacing w:beforeAutospacing="1" w:afterAutospacing="1"/>
    </w:pPr>
    <w:rPr>
      <w:lang w:eastAsia="pt-PT"/>
    </w:rPr>
  </w:style>
  <w:style w:type="paragraph" w:styleId="Footnote">
    <w:name w:val="Footnote Text"/>
    <w:basedOn w:val="Normal"/>
    <w:link w:val="TextodenotaderodapCarter"/>
    <w:semiHidden/>
    <w:unhideWhenUsed/>
    <w:rsid w:val="00631e75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59"/>
    <w:rsid w:val="0089444c"/>
    <w:rPr>
      <w:rFonts w:asciiTheme="minorHAnsi" w:hAnsiTheme="minorHAnsi" w:eastAsiaTheme="minorHAnsi" w:cstheme="minorBidi"/>
      <w:lang w:val="pt-PT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portugal.pt/" TargetMode="External"/><Relationship Id="rId3" Type="http://schemas.openxmlformats.org/officeDocument/2006/relationships/hyperlink" Target="https://www.cnpd.pt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C5745-F5AF-49B3-9A1B-90EA82F5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3</Pages>
  <Words>1593</Words>
  <Characters>8748</Characters>
  <CharactersWithSpaces>10351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2025-09-27T12:09:00Z</dcterms:created>
  <dc:creator>EDP</dc:creator>
  <dc:description/>
  <dc:language>en-CA</dc:language>
  <cp:lastModifiedBy/>
  <cp:lastPrinted>2025-08-20T13:16:00Z</cp:lastPrinted>
  <dcterms:modified xsi:type="dcterms:W3CDTF">2025-10-03T22:25:19Z</dcterms:modified>
  <cp:revision>5</cp:revision>
  <dc:subject/>
  <dc:title>FAX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