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9C086" w14:textId="24196CB6" w:rsidR="007D40F4" w:rsidRPr="008E0D97" w:rsidRDefault="007D40F4" w:rsidP="00AC6201">
      <w:pPr>
        <w:pStyle w:val="Articletitle"/>
        <w:spacing w:line="480" w:lineRule="auto"/>
      </w:pPr>
      <w:r w:rsidRPr="008E0D97">
        <w:t xml:space="preserve">Teachers’ </w:t>
      </w:r>
      <w:r w:rsidR="008E0D97" w:rsidRPr="008E0D97">
        <w:t>digital competence for the formulation of an online learning design</w:t>
      </w:r>
    </w:p>
    <w:p w14:paraId="344DEE41" w14:textId="7EDB63F8" w:rsidR="007D40F4" w:rsidRPr="008E0D97" w:rsidRDefault="007D40F4" w:rsidP="00AC6201">
      <w:pPr>
        <w:pStyle w:val="Abstract"/>
        <w:spacing w:line="480" w:lineRule="auto"/>
        <w:rPr>
          <w:lang w:val="en-US"/>
        </w:rPr>
      </w:pPr>
      <w:r w:rsidRPr="008E0D97">
        <w:rPr>
          <w:lang w:val="en-US"/>
        </w:rPr>
        <w:t xml:space="preserve">The aim of this study is to determine the digital competency level of 299 surveyed English teachers from different educational levels belonging to private and public institutions in Colombia. The findings inform the design of a Web-Based Learning methodology to train English teachers to incorporate technology into English Language Teaching. Data were collected using the Spanish version of the </w:t>
      </w:r>
      <w:proofErr w:type="spellStart"/>
      <w:r w:rsidRPr="008E0D97">
        <w:rPr>
          <w:lang w:val="en-US"/>
        </w:rPr>
        <w:t>DigCompEdu</w:t>
      </w:r>
      <w:proofErr w:type="spellEnd"/>
      <w:r w:rsidRPr="008E0D97">
        <w:rPr>
          <w:lang w:val="en-US"/>
        </w:rPr>
        <w:t xml:space="preserve"> questionnaire and analyzed using </w:t>
      </w:r>
      <w:r w:rsidRPr="008E0D97">
        <w:rPr>
          <w:color w:val="000000" w:themeColor="text1"/>
        </w:rPr>
        <w:t xml:space="preserve">R version 4.2.2, the Likert package version 1.3.5, and ggplot2 version 3.4.0. </w:t>
      </w:r>
      <w:r w:rsidRPr="008E0D97">
        <w:rPr>
          <w:lang w:val="en-US"/>
        </w:rPr>
        <w:t xml:space="preserve">The results show that many teachers belong to the intermediate level B1 and B2, and that using online collaborative learning environments needs improvement. Of the 13 assessed competencies </w:t>
      </w:r>
      <w:r w:rsidR="00396563">
        <w:rPr>
          <w:lang w:val="en-US"/>
        </w:rPr>
        <w:t xml:space="preserve">from the questionnaire adapted and translated by </w:t>
      </w:r>
      <w:r w:rsidRPr="008E0D97">
        <w:rPr>
          <w:color w:val="000000" w:themeColor="text1"/>
          <w:shd w:val="clear" w:color="auto" w:fill="FFFFFF"/>
          <w:lang w:val="en-US"/>
        </w:rPr>
        <w:t>Cabero-Almenara and Palacios-Rodríguez</w:t>
      </w:r>
      <w:r w:rsidRPr="008E0D97">
        <w:rPr>
          <w:lang w:val="en-US"/>
        </w:rPr>
        <w:t>, self-regulated Learning, Information and Media Literacy, and Digital Communication and Collaboration had the lowest scores of answers</w:t>
      </w:r>
      <w:r w:rsidRPr="008E0D97">
        <w:rPr>
          <w:color w:val="000000" w:themeColor="text1"/>
          <w:lang w:val="en-US"/>
        </w:rPr>
        <w:t>, while Teaching and Guidance got the highest</w:t>
      </w:r>
      <w:r w:rsidRPr="008E0D97">
        <w:rPr>
          <w:lang w:val="en-US"/>
        </w:rPr>
        <w:t xml:space="preserve">. No statistical evidence exists to determine whether genre or years of teaching experience influence teachers' Digital competence. With these results, the formulation of a Web-Based Learning Didactic Design should consider administering instruction through the Learning Management System platform, Moodle, using digital resources that enable collaborative learning, the conscious use of metacognitive strategies to foster Self-Regulated Learning Strategies, and concrete </w:t>
      </w:r>
      <w:r w:rsidR="006C2A5C">
        <w:rPr>
          <w:lang w:val="en-US"/>
        </w:rPr>
        <w:t>relations</w:t>
      </w:r>
      <w:r w:rsidRPr="008E0D97">
        <w:rPr>
          <w:lang w:val="en-US"/>
        </w:rPr>
        <w:t xml:space="preserve"> of learning with the classroom and the local communities of students.</w:t>
      </w:r>
    </w:p>
    <w:p w14:paraId="12343CA0" w14:textId="1BDE3A13" w:rsidR="008E0D97" w:rsidRPr="008E0D97" w:rsidRDefault="007D40F4" w:rsidP="00AC6201">
      <w:pPr>
        <w:pStyle w:val="Keywords"/>
        <w:spacing w:line="480" w:lineRule="auto"/>
      </w:pPr>
      <w:r w:rsidRPr="008E0D97">
        <w:t>Keywords</w:t>
      </w:r>
      <w:r w:rsidRPr="008E0D97">
        <w:rPr>
          <w:b/>
        </w:rPr>
        <w:t xml:space="preserve">: </w:t>
      </w:r>
      <w:r w:rsidRPr="008E0D97">
        <w:t>teaching skills; e-learning; educational innovations</w:t>
      </w:r>
      <w:bookmarkStart w:id="0" w:name="_Hlk144713428"/>
    </w:p>
    <w:p w14:paraId="478CDB1C" w14:textId="640440BB" w:rsidR="007D40F4" w:rsidRPr="003930A8" w:rsidRDefault="007D40F4" w:rsidP="00AC6201">
      <w:pPr>
        <w:pStyle w:val="Ttulo1"/>
        <w:spacing w:line="480" w:lineRule="auto"/>
      </w:pPr>
      <w:r w:rsidRPr="003930A8">
        <w:t>Introduction</w:t>
      </w:r>
    </w:p>
    <w:bookmarkEnd w:id="0"/>
    <w:p w14:paraId="4B34DCCB" w14:textId="3BF1A970" w:rsidR="007D40F4" w:rsidRPr="003930A8" w:rsidRDefault="007D40F4" w:rsidP="00AC6201">
      <w:pPr>
        <w:pStyle w:val="Newparagraph"/>
      </w:pPr>
      <w:r w:rsidRPr="00F26AB7">
        <w:t xml:space="preserve">After the Pandemic Times, using technology for teaching changed from an option to a need. The Remote Teaching for Emergency demonstrated how helpful technology is in </w:t>
      </w:r>
      <w:r w:rsidRPr="00F26AB7">
        <w:lastRenderedPageBreak/>
        <w:t>supporting the learning processes and the lack of teachers' digital competence to face the new century's challenges (Sustainable et al., Skills for the XXI Century). In English language teaching (ELT), integrating Information and Communication Technologies (ICT) into the classroom brings students near target language cultures, enabling the development of language, cultural and intercultural competencies. Through digital resources, students may</w:t>
      </w:r>
      <w:r w:rsidRPr="003930A8">
        <w:t xml:space="preserve"> polish their pronunciation, learn idiomatic expressions and understand cultural aspects, among other benefits.</w:t>
      </w:r>
    </w:p>
    <w:p w14:paraId="46074105" w14:textId="424FAA49" w:rsidR="007D40F4" w:rsidRPr="008E0D97" w:rsidRDefault="007D40F4" w:rsidP="00AC6201">
      <w:pPr>
        <w:pStyle w:val="Paragraph"/>
      </w:pPr>
      <w:r w:rsidRPr="008E0D97">
        <w:t xml:space="preserve">However, what is the Teachers' Digital Competence (TDC), and how does it fit into the framework of media and information Literacy (MIL)? There are different interpretations. </w:t>
      </w:r>
      <w:proofErr w:type="spellStart"/>
      <w:r w:rsidRPr="008E0D97">
        <w:rPr>
          <w:shd w:val="clear" w:color="auto" w:fill="FFFFFF"/>
        </w:rPr>
        <w:t>Aguaded</w:t>
      </w:r>
      <w:proofErr w:type="spellEnd"/>
      <w:r w:rsidRPr="008E0D97">
        <w:rPr>
          <w:shd w:val="clear" w:color="auto" w:fill="FFFFFF"/>
        </w:rPr>
        <w:t xml:space="preserve"> </w:t>
      </w:r>
      <w:r w:rsidRPr="008E0D97">
        <w:t>et al. (2021) consider Digital Competence (DC) as part of Media, audiovisual, and information competence. It is the knowledge to capture, process, and broadcast information through digital devices. UNESCO</w:t>
      </w:r>
      <w:r w:rsidR="00EB0294">
        <w:rPr>
          <w:shd w:val="clear" w:color="auto" w:fill="FFFFFF"/>
        </w:rPr>
        <w:t xml:space="preserve"> (2018)</w:t>
      </w:r>
      <w:r w:rsidRPr="008E0D97">
        <w:rPr>
          <w:shd w:val="clear" w:color="auto" w:fill="FFFFFF"/>
        </w:rPr>
        <w:t xml:space="preserve"> </w:t>
      </w:r>
      <w:r w:rsidRPr="008E0D97">
        <w:t>includes Digital Literacy inside the concept of MIL, where 22 other literacies are grouped (Social Media Literacy, Computer Literacy, and Internet Literacy, among others).</w:t>
      </w:r>
    </w:p>
    <w:p w14:paraId="1F563E86" w14:textId="5CC98F62" w:rsidR="007D40F4" w:rsidRPr="00F26AB7" w:rsidRDefault="007D40F4" w:rsidP="00AC6201">
      <w:pPr>
        <w:pStyle w:val="Paragraph"/>
      </w:pPr>
      <w:r w:rsidRPr="00F26AB7">
        <w:t>Further than knowledge, the concept of Digital Competence provided by the UNESCO (2018) conceives the DC as "a range of abilities to use digital devices, communication applications, and networks to access and manage information"(</w:t>
      </w:r>
      <w:r w:rsidR="00EB0294" w:rsidRPr="00F26AB7">
        <w:t xml:space="preserve">p. </w:t>
      </w:r>
      <w:r w:rsidRPr="00F26AB7">
        <w:t>3). Cabero-Almenara and Palacios-Rodríguez (2020) precise the TDC as all those skills, attitudes, and knowledge required by teachers in a digital world. It is strictly related to the use of ICT, from a didactical and pedagogical perspective, in an educational context. The TDC needs to be defined, to be developed, and to be assessed.</w:t>
      </w:r>
    </w:p>
    <w:p w14:paraId="53D665E2" w14:textId="77777777" w:rsidR="007D40F4" w:rsidRPr="008E0D97" w:rsidRDefault="007D40F4" w:rsidP="00AC6201">
      <w:pPr>
        <w:pStyle w:val="Ttulo2"/>
        <w:spacing w:line="480" w:lineRule="auto"/>
      </w:pPr>
      <w:r w:rsidRPr="008E0D97">
        <w:t>Teachers’ digital competence frameworks</w:t>
      </w:r>
    </w:p>
    <w:p w14:paraId="630F70CE" w14:textId="2B9B54A0" w:rsidR="007D40F4" w:rsidRPr="008E0D97" w:rsidRDefault="007D40F4" w:rsidP="00AC6201">
      <w:pPr>
        <w:pStyle w:val="Newparagraph"/>
      </w:pPr>
      <w:r w:rsidRPr="008E0D97">
        <w:t xml:space="preserve">Several frameworks proposed by different Ministries of Education and organizations have intended to establish a path to train teachers in developing digital competence according </w:t>
      </w:r>
      <w:r w:rsidRPr="008E0D97">
        <w:lastRenderedPageBreak/>
        <w:t xml:space="preserve">to the context of each region. Yang et al. (2021) constructed an outline of the leading global frameworks published from 2010 to 2022 to </w:t>
      </w:r>
      <w:proofErr w:type="spellStart"/>
      <w:r w:rsidRPr="008E0D97">
        <w:t>analyze</w:t>
      </w:r>
      <w:proofErr w:type="spellEnd"/>
      <w:r w:rsidRPr="008E0D97">
        <w:t xml:space="preserve"> their contributions to the development of TDC. Among these frameworks, it is worth mentioning the ICT Competency Framework for Teachers from UNESCO (first version 2008, last version 2014), the ISTE Standards from the USA (2008-2017), the </w:t>
      </w:r>
      <w:proofErr w:type="spellStart"/>
      <w:r w:rsidRPr="008E0D97">
        <w:t>DigComp</w:t>
      </w:r>
      <w:proofErr w:type="spellEnd"/>
      <w:r w:rsidRPr="008E0D97">
        <w:t xml:space="preserve"> from the EU (2013-2017), a Global Framework of Reference from </w:t>
      </w:r>
      <w:r w:rsidRPr="008E0D97">
        <w:rPr>
          <w:shd w:val="clear" w:color="auto" w:fill="FFFFFF"/>
        </w:rPr>
        <w:t xml:space="preserve">UNESCO </w:t>
      </w:r>
      <w:r w:rsidRPr="008E0D97">
        <w:t xml:space="preserve">(Law et al., 2018) and the Competency Standards for Teachers </w:t>
      </w:r>
      <w:r w:rsidRPr="0049073D">
        <w:t>(</w:t>
      </w:r>
      <w:r w:rsidRPr="0049073D">
        <w:rPr>
          <w:rFonts w:eastAsia="STIXGeneral-Regular"/>
        </w:rPr>
        <w:t>Ministry of Education of People’s Republic of China, 201</w:t>
      </w:r>
      <w:r w:rsidR="0049073D" w:rsidRPr="0049073D">
        <w:rPr>
          <w:rFonts w:eastAsia="STIXGeneral-Regular"/>
        </w:rPr>
        <w:t>2</w:t>
      </w:r>
      <w:r w:rsidRPr="0049073D">
        <w:rPr>
          <w:rFonts w:eastAsia="STIXGeneral-Regular"/>
        </w:rPr>
        <w:t xml:space="preserve">). </w:t>
      </w:r>
      <w:r w:rsidRPr="0049073D">
        <w:t>In Latin America, Chile and</w:t>
      </w:r>
      <w:r w:rsidRPr="008E0D97">
        <w:t xml:space="preserve"> Colombia have proposed their guides. Chilean Ministry of Education (</w:t>
      </w:r>
      <w:proofErr w:type="spellStart"/>
      <w:r w:rsidRPr="008E0D97">
        <w:t>Ministerio</w:t>
      </w:r>
      <w:proofErr w:type="spellEnd"/>
      <w:r w:rsidRPr="008E0D97">
        <w:t xml:space="preserve"> de </w:t>
      </w:r>
      <w:proofErr w:type="spellStart"/>
      <w:r w:rsidRPr="008E0D97">
        <w:t>Educación</w:t>
      </w:r>
      <w:proofErr w:type="spellEnd"/>
      <w:r w:rsidRPr="008E0D97">
        <w:t xml:space="preserve">. </w:t>
      </w:r>
      <w:proofErr w:type="spellStart"/>
      <w:r w:rsidRPr="008E0D97">
        <w:t>Gobierno</w:t>
      </w:r>
      <w:proofErr w:type="spellEnd"/>
      <w:r w:rsidRPr="008E0D97">
        <w:t xml:space="preserve"> de Chile, 2011) determines five dimensions for the development of digital competence in teachers and four progress levels. </w:t>
      </w:r>
      <w:r w:rsidRPr="008E0D97">
        <w:rPr>
          <w:lang w:val="en-US"/>
        </w:rPr>
        <w:t>Colombia’s framework (</w:t>
      </w:r>
      <w:proofErr w:type="spellStart"/>
      <w:r w:rsidRPr="008E0D97">
        <w:rPr>
          <w:lang w:val="en-US"/>
        </w:rPr>
        <w:t>Ministerio</w:t>
      </w:r>
      <w:proofErr w:type="spellEnd"/>
      <w:r w:rsidRPr="008E0D97">
        <w:rPr>
          <w:lang w:val="en-US"/>
        </w:rPr>
        <w:t xml:space="preserve"> de </w:t>
      </w:r>
      <w:proofErr w:type="spellStart"/>
      <w:r w:rsidRPr="008E0D97">
        <w:rPr>
          <w:lang w:val="en-US"/>
        </w:rPr>
        <w:t>Educación</w:t>
      </w:r>
      <w:proofErr w:type="spellEnd"/>
      <w:r w:rsidRPr="008E0D97">
        <w:rPr>
          <w:lang w:val="en-US"/>
        </w:rPr>
        <w:t xml:space="preserve"> de Colombia, 2013) </w:t>
      </w:r>
      <w:r w:rsidRPr="008E0D97">
        <w:t>comprises five competencies and three levels of expertise presented as a pentagon.</w:t>
      </w:r>
    </w:p>
    <w:p w14:paraId="626789A4" w14:textId="2DDE0C5D" w:rsidR="007D40F4" w:rsidRPr="000A5F91" w:rsidRDefault="007D40F4" w:rsidP="00AC6201">
      <w:pPr>
        <w:pStyle w:val="Paragraph"/>
      </w:pPr>
      <w:r w:rsidRPr="000A5F91">
        <w:t xml:space="preserve">The current study uses the </w:t>
      </w:r>
      <w:proofErr w:type="spellStart"/>
      <w:r w:rsidRPr="000A5F91">
        <w:t>DigCompEdu</w:t>
      </w:r>
      <w:proofErr w:type="spellEnd"/>
      <w:r w:rsidRPr="000A5F91">
        <w:t xml:space="preserve"> framework Redecker and Punie (2017) not only because it is the most </w:t>
      </w:r>
      <w:r w:rsidR="006C2A5C" w:rsidRPr="000A5F91">
        <w:t>robust</w:t>
      </w:r>
      <w:r w:rsidRPr="000A5F91">
        <w:t xml:space="preserve"> but also because it contains and expands the five competencies and three levels of expertise considered by the Colombian Ministry of Education; besides, the </w:t>
      </w:r>
      <w:proofErr w:type="spellStart"/>
      <w:r w:rsidRPr="000A5F91">
        <w:t>DigCompEdu</w:t>
      </w:r>
      <w:proofErr w:type="spellEnd"/>
      <w:r w:rsidRPr="000A5F91">
        <w:t xml:space="preserve"> provides a questionnaire that can be adapted to local needs of the community under study and to specific requirements of intended research studies. This questionnaire allows placing the participants of the investigation into the six proficiency levels, which ranks answers from A1 to C1: A1 Awareness, A2 Exploration, B1 Integration, B2 Expertise, C1 Leadership, and C2 Innovation. The framework comprises 22 competencies organized into six areas (see Figure 1).</w:t>
      </w:r>
    </w:p>
    <w:p w14:paraId="75869243" w14:textId="6E8825F5" w:rsidR="003930A8" w:rsidRPr="008E0D97" w:rsidRDefault="003930A8" w:rsidP="00AC6201">
      <w:pPr>
        <w:rPr>
          <w:color w:val="000000" w:themeColor="text1"/>
        </w:rPr>
      </w:pPr>
    </w:p>
    <w:p w14:paraId="6E22E593" w14:textId="77777777" w:rsidR="007D40F4" w:rsidRPr="008E0D97" w:rsidRDefault="007D40F4" w:rsidP="00AC6201">
      <w:pPr>
        <w:jc w:val="center"/>
        <w:rPr>
          <w:color w:val="000000" w:themeColor="text1"/>
        </w:rPr>
      </w:pPr>
      <w:r w:rsidRPr="008E0D97">
        <w:rPr>
          <w:noProof/>
          <w:color w:val="000000" w:themeColor="text1"/>
          <w:lang w:val="es-CO" w:eastAsia="es-CO"/>
        </w:rPr>
        <w:lastRenderedPageBreak/>
        <w:drawing>
          <wp:inline distT="0" distB="0" distL="0" distR="0" wp14:anchorId="3CC3D914" wp14:editId="0E43B78C">
            <wp:extent cx="5291565" cy="2374710"/>
            <wp:effectExtent l="0" t="0" r="4445"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rotWithShape="1">
                    <a:blip r:embed="rId8">
                      <a:grayscl/>
                      <a:extLst>
                        <a:ext uri="{28A0092B-C50C-407E-A947-70E740481C1C}">
                          <a14:useLocalDpi xmlns:a14="http://schemas.microsoft.com/office/drawing/2010/main" val="0"/>
                        </a:ext>
                      </a:extLst>
                    </a:blip>
                    <a:srcRect t="6200"/>
                    <a:stretch/>
                  </pic:blipFill>
                  <pic:spPr bwMode="auto">
                    <a:xfrm>
                      <a:off x="0" y="0"/>
                      <a:ext cx="5306146" cy="2381254"/>
                    </a:xfrm>
                    <a:prstGeom prst="rect">
                      <a:avLst/>
                    </a:prstGeom>
                    <a:noFill/>
                    <a:ln>
                      <a:noFill/>
                    </a:ln>
                    <a:extLst>
                      <a:ext uri="{53640926-AAD7-44D8-BBD7-CCE9431645EC}">
                        <a14:shadowObscured xmlns:a14="http://schemas.microsoft.com/office/drawing/2010/main"/>
                      </a:ext>
                    </a:extLst>
                  </pic:spPr>
                </pic:pic>
              </a:graphicData>
            </a:graphic>
          </wp:inline>
        </w:drawing>
      </w:r>
    </w:p>
    <w:p w14:paraId="4BCE19E2" w14:textId="2FA2E115" w:rsidR="007D40F4" w:rsidRPr="008E0D97" w:rsidRDefault="00955FB5" w:rsidP="00AC6201">
      <w:pPr>
        <w:pStyle w:val="Figurecaption"/>
        <w:spacing w:line="480" w:lineRule="auto"/>
      </w:pPr>
      <w:r w:rsidRPr="008E0D97">
        <w:t xml:space="preserve">Figure 1. The </w:t>
      </w:r>
      <w:proofErr w:type="spellStart"/>
      <w:r w:rsidRPr="008E0D97">
        <w:t>Digcompedu</w:t>
      </w:r>
      <w:proofErr w:type="spellEnd"/>
      <w:r w:rsidRPr="008E0D97">
        <w:t xml:space="preserve"> framework</w:t>
      </w:r>
      <w:r>
        <w:t xml:space="preserve">. </w:t>
      </w:r>
      <w:r w:rsidR="007D40F4" w:rsidRPr="008E0D97">
        <w:t>Source:</w:t>
      </w:r>
      <w:r w:rsidR="007D40F4" w:rsidRPr="008E0D97">
        <w:rPr>
          <w:shd w:val="clear" w:color="auto" w:fill="FFFFFF"/>
        </w:rPr>
        <w:t xml:space="preserve"> Redecker and Punie (2017).</w:t>
      </w:r>
    </w:p>
    <w:p w14:paraId="2F6C5ADC" w14:textId="55569A9C" w:rsidR="007D40F4" w:rsidRPr="008E0D97" w:rsidRDefault="007D40F4" w:rsidP="00AC6201">
      <w:pPr>
        <w:pStyle w:val="Ttulo2"/>
        <w:spacing w:line="480" w:lineRule="auto"/>
      </w:pPr>
      <w:r w:rsidRPr="008E0D97">
        <w:t>Teachers’ digital competence in Colombia</w:t>
      </w:r>
    </w:p>
    <w:p w14:paraId="6AE66E54" w14:textId="77777777" w:rsidR="007D40F4" w:rsidRPr="00CF3C25" w:rsidRDefault="007D40F4" w:rsidP="00AC6201">
      <w:pPr>
        <w:pStyle w:val="Newparagraph"/>
      </w:pPr>
      <w:r w:rsidRPr="00CF3C25">
        <w:t>Among the studies that intend to determine TDC in Colombia, we can mention the following ones:</w:t>
      </w:r>
    </w:p>
    <w:p w14:paraId="25238680" w14:textId="2CFA670E" w:rsidR="007D40F4" w:rsidRPr="008E0D97" w:rsidRDefault="007D40F4" w:rsidP="00AC6201">
      <w:pPr>
        <w:pStyle w:val="Paragraph"/>
      </w:pPr>
      <w:r w:rsidRPr="008E0D97">
        <w:t xml:space="preserve">Using two online questionnaires, Paz et al. (2022) sought to ascertain the TDC, viewpoints about the use of technologies, and specific activities that a group of 162 university lecturers does. For the first purpose, they administered the COMDID-A questionnaire (Lázaro &amp; </w:t>
      </w:r>
      <w:r w:rsidRPr="008E0D97">
        <w:rPr>
          <w:shd w:val="clear" w:color="auto" w:fill="FFFFFF"/>
        </w:rPr>
        <w:t>Gisbert</w:t>
      </w:r>
      <w:r w:rsidRPr="008E0D97">
        <w:t xml:space="preserve">, 2015), which consists of four dimensions that are assessed using 22 statements in a Likert scale to place contestants into four levels (True beginners, false beginners, intermediate, experts, and transformers). The second purpose is reached via a self-assessment rubric based on the SABER-TIC items (Taquez et al., 2017). The question that arises is why design a rubric and a questionnaire when other frameworks have already done it? The study results show that 50% of the teachers belong to the intermediate level (50%). For the first dimension, teachers are placed in the expert (35%) and intermediate (34%) levels, while for the other dimensions, they are in the intermediate level (47%, 46%, and 46, % respectively). The analysis was done using IBM SPSS Statistics Software for Windows from two </w:t>
      </w:r>
      <w:r w:rsidRPr="008E0D97">
        <w:lastRenderedPageBreak/>
        <w:t>perspectives: descriptive results of central tendency to establish the level of CDD and frequency of educational actions; and correlational analysis using Spearmen’s Rho coefficient.</w:t>
      </w:r>
    </w:p>
    <w:p w14:paraId="5EEBAB40" w14:textId="3A8D27DF" w:rsidR="007D40F4" w:rsidRPr="008E0D97" w:rsidRDefault="007D40F4" w:rsidP="00AC6201">
      <w:pPr>
        <w:pStyle w:val="Paragraph"/>
      </w:pPr>
      <w:r w:rsidRPr="008E0D97">
        <w:t xml:space="preserve">Pinto-Santos et al. (2022) used the same instrument to assess TDC in a population of 252 teachers. As well as in the previous study, dimension 1 scored the highest average (2.3%); most teachers are classified as beginners (40,5%). This study should have mentioned the methodology used to </w:t>
      </w:r>
      <w:proofErr w:type="spellStart"/>
      <w:r w:rsidRPr="008E0D97">
        <w:t>analyze</w:t>
      </w:r>
      <w:proofErr w:type="spellEnd"/>
      <w:r w:rsidRPr="008E0D97">
        <w:t xml:space="preserve"> quantitative data. </w:t>
      </w:r>
      <w:proofErr w:type="spellStart"/>
      <w:r w:rsidRPr="008E0D97">
        <w:t>Roa</w:t>
      </w:r>
      <w:proofErr w:type="spellEnd"/>
      <w:r w:rsidRPr="008E0D97">
        <w:t xml:space="preserve"> et al. (2021) use</w:t>
      </w:r>
      <w:r w:rsidR="006C2A5C">
        <w:t>d</w:t>
      </w:r>
      <w:r w:rsidRPr="008E0D97">
        <w:t xml:space="preserve"> in their study the University Teachers’ Digital Competence Model proposed by Prendes et al. (2018). This model is similar to the model presented by the Ministry of Education of Colombia. It comprises five dimensions (Social ethical, Analytical, Educative, Interactional/communicative, and Technical) and three levels of progress (explorers, integrators, and innovators). The data analysis concludes that 77% of the teachers belong to the integrator level in all competencies. The authors used a factorial analysis on the principles of Kaiser (1974).</w:t>
      </w:r>
    </w:p>
    <w:p w14:paraId="12158C6C" w14:textId="4BCC0F76" w:rsidR="007D40F4" w:rsidRPr="008E0D97" w:rsidRDefault="007D40F4" w:rsidP="00AC6201">
      <w:pPr>
        <w:pStyle w:val="Paragraph"/>
      </w:pPr>
      <w:r w:rsidRPr="008E0D97">
        <w:t>Torres-</w:t>
      </w:r>
      <w:proofErr w:type="spellStart"/>
      <w:r w:rsidRPr="008E0D97">
        <w:t>Flórez</w:t>
      </w:r>
      <w:proofErr w:type="spellEnd"/>
      <w:r w:rsidRPr="008E0D97">
        <w:t xml:space="preserve"> and Diaz-Betancourt (2021) also conducted research at the university level to </w:t>
      </w:r>
      <w:proofErr w:type="spellStart"/>
      <w:r w:rsidRPr="008E0D97">
        <w:t>analyze</w:t>
      </w:r>
      <w:proofErr w:type="spellEnd"/>
      <w:r w:rsidRPr="008E0D97">
        <w:t xml:space="preserve"> digital competence in faculties of economic and administrative sciences in Colombia, using</w:t>
      </w:r>
      <w:r w:rsidR="006C2A5C">
        <w:t xml:space="preserve"> Gazca et al.’s questionnaire (2020)</w:t>
      </w:r>
      <w:r w:rsidRPr="008E0D97">
        <w:t xml:space="preserve"> to diagnose tertiary education staff members. The instrument consists of five dimensions (D1: Information, D2: communication and collaboration, D3: Digital Citizenship, D4: Use of Digital Tools and Devices, D5: Content Creations), and four levels of performance (Nule, Low, Intermediate, and High). The authors conclude that most teachers have a high level of digital competence but do not show global results to establish clear scores for each dimension. The SPSS was used to determine the descriptive association elements.</w:t>
      </w:r>
    </w:p>
    <w:p w14:paraId="5FB8BA5D" w14:textId="0D2E8E09" w:rsidR="007D40F4" w:rsidRPr="008E0D97" w:rsidRDefault="007D40F4" w:rsidP="00AC6201">
      <w:pPr>
        <w:pStyle w:val="Paragraph"/>
      </w:pPr>
      <w:r w:rsidRPr="008E0D97">
        <w:t xml:space="preserve">Finally, it is pertinent to note Gomez' study (2017) which intends to determine the TDC index </w:t>
      </w:r>
      <w:r w:rsidRPr="008E0D97">
        <w:lastRenderedPageBreak/>
        <w:t>for a University in Colombia by implementing the Pentagon of TIC competencies for the Development of teaching. The scores of each dimension were classified into five levels (from A to E), demonstrating that most of the teachers reached level B in most dimensions. The author remarks that the obtained results underwent a cross-check or triangulation to compare different data analysis types; however, the manuscript does not mention a specific statistical analysis tool.</w:t>
      </w:r>
    </w:p>
    <w:p w14:paraId="4CD2654A" w14:textId="77777777" w:rsidR="007D40F4" w:rsidRPr="008E0D97" w:rsidRDefault="007D40F4" w:rsidP="00AC6201">
      <w:pPr>
        <w:pStyle w:val="Paragraph"/>
      </w:pPr>
      <w:r w:rsidRPr="008E0D97">
        <w:t xml:space="preserve">The goal of the current study is to determine the digital competency level of 299 surveyed English teachers from different educational levels and belonging to private and public institutions in Colombia as input to formulate the design of a Web-Based Learning methodology. The </w:t>
      </w:r>
      <w:proofErr w:type="spellStart"/>
      <w:r w:rsidRPr="008E0D97">
        <w:t>DigCompEdu</w:t>
      </w:r>
      <w:proofErr w:type="spellEnd"/>
      <w:r w:rsidRPr="008E0D97">
        <w:t xml:space="preserve"> instrument was administered to assess 5 of the six competence areas and 13 of the 22 competencies.</w:t>
      </w:r>
    </w:p>
    <w:p w14:paraId="3E84AA1D" w14:textId="77777777" w:rsidR="007D40F4" w:rsidRPr="008E0D97" w:rsidRDefault="007D40F4" w:rsidP="00AC6201">
      <w:pPr>
        <w:pStyle w:val="Paragraph"/>
      </w:pPr>
      <w:r w:rsidRPr="008E0D97">
        <w:t>To this end, this study poses the following questions:</w:t>
      </w:r>
    </w:p>
    <w:p w14:paraId="027EF966" w14:textId="77777777" w:rsidR="007D40F4" w:rsidRPr="008E0D97" w:rsidRDefault="007D40F4" w:rsidP="00AC6201">
      <w:pPr>
        <w:pStyle w:val="Paragraph"/>
      </w:pPr>
      <w:r w:rsidRPr="008E0D97">
        <w:t xml:space="preserve">RQ1: Where are the surveyed teachers placed in the </w:t>
      </w:r>
      <w:proofErr w:type="spellStart"/>
      <w:r w:rsidRPr="008E0D97">
        <w:t>Digcompedu</w:t>
      </w:r>
      <w:proofErr w:type="spellEnd"/>
      <w:r w:rsidRPr="008E0D97">
        <w:t xml:space="preserve"> competence scale?</w:t>
      </w:r>
    </w:p>
    <w:p w14:paraId="5C326FE1" w14:textId="77777777" w:rsidR="007D40F4" w:rsidRPr="008E0D97" w:rsidRDefault="007D40F4" w:rsidP="00AC6201">
      <w:pPr>
        <w:pStyle w:val="Paragraph"/>
      </w:pPr>
      <w:r w:rsidRPr="008E0D97">
        <w:t>Sub questions:</w:t>
      </w:r>
    </w:p>
    <w:p w14:paraId="15FB02EE" w14:textId="77777777" w:rsidR="007D40F4" w:rsidRPr="008E0D97" w:rsidRDefault="007D40F4" w:rsidP="00AC6201">
      <w:pPr>
        <w:pStyle w:val="Paragraph"/>
      </w:pPr>
      <w:r w:rsidRPr="008E0D97">
        <w:t>Which level has the most significant proportion of answers?</w:t>
      </w:r>
    </w:p>
    <w:p w14:paraId="59AC1610" w14:textId="77777777" w:rsidR="007D40F4" w:rsidRPr="008E0D97" w:rsidRDefault="007D40F4" w:rsidP="00AC6201">
      <w:pPr>
        <w:pStyle w:val="Paragraph"/>
      </w:pPr>
      <w:r w:rsidRPr="008E0D97">
        <w:t>Which level has the lowest proportion of answers?</w:t>
      </w:r>
    </w:p>
    <w:p w14:paraId="39D74718" w14:textId="77777777" w:rsidR="007D40F4" w:rsidRPr="008E0D97" w:rsidRDefault="007D40F4" w:rsidP="00AC6201">
      <w:pPr>
        <w:pStyle w:val="Paragraph"/>
      </w:pPr>
      <w:r w:rsidRPr="008E0D97">
        <w:t>RQ2: Which area do teachers feel they are strong in?</w:t>
      </w:r>
    </w:p>
    <w:p w14:paraId="12CF310C" w14:textId="77777777" w:rsidR="007D40F4" w:rsidRPr="008E0D97" w:rsidRDefault="007D40F4" w:rsidP="00AC6201">
      <w:pPr>
        <w:pStyle w:val="Paragraph"/>
      </w:pPr>
      <w:r w:rsidRPr="008E0D97">
        <w:t>Sub question: Which is the competence in each area teachers feel stronger/weaker?</w:t>
      </w:r>
    </w:p>
    <w:p w14:paraId="31995E38" w14:textId="77777777" w:rsidR="007D40F4" w:rsidRPr="008E0D97" w:rsidRDefault="007D40F4" w:rsidP="00AC6201">
      <w:pPr>
        <w:pStyle w:val="Paragraph"/>
        <w:rPr>
          <w:rFonts w:eastAsiaTheme="minorHAnsi"/>
        </w:rPr>
      </w:pPr>
      <w:r w:rsidRPr="008E0D97">
        <w:t>RQ3: Are there significant differences in the development of the areas and the competencies between male and female teachers concerning the years of teaching experience?</w:t>
      </w:r>
    </w:p>
    <w:p w14:paraId="797B789B" w14:textId="77777777" w:rsidR="00C64A87" w:rsidRPr="008E0D97" w:rsidRDefault="00C64A87" w:rsidP="00AC6201">
      <w:pPr>
        <w:pStyle w:val="Ttulo1"/>
        <w:spacing w:line="480" w:lineRule="auto"/>
      </w:pPr>
      <w:r w:rsidRPr="008E0D97">
        <w:lastRenderedPageBreak/>
        <w:t>Method</w:t>
      </w:r>
    </w:p>
    <w:p w14:paraId="10CECBB2" w14:textId="77777777" w:rsidR="00C64A87" w:rsidRPr="008E0D97" w:rsidRDefault="00C64A87" w:rsidP="00AC6201">
      <w:pPr>
        <w:pStyle w:val="Ttulo2"/>
        <w:spacing w:line="480" w:lineRule="auto"/>
      </w:pPr>
      <w:r w:rsidRPr="008E0D97">
        <w:t>Research Design</w:t>
      </w:r>
    </w:p>
    <w:p w14:paraId="68692907" w14:textId="226FB1CC" w:rsidR="00C64A87" w:rsidRPr="008E0D97" w:rsidRDefault="00C64A87" w:rsidP="00AC6201">
      <w:pPr>
        <w:pStyle w:val="Newparagraph"/>
      </w:pPr>
      <w:r w:rsidRPr="008E0D97">
        <w:t>This is a quantitative study that uses different statistical techniques to analyse the results inside the five areas, and their competencies independently and compare them globally. The percentages or response proportions were calculated for each level to establish significant differences between the performance levels of teachers within each competence, a</w:t>
      </w:r>
      <w:r w:rsidR="00E218CF">
        <w:t>nd Quesenberry and Hurts (1964)</w:t>
      </w:r>
      <w:r w:rsidRPr="008E0D97">
        <w:t xml:space="preserve"> confidence intervals for multinomial proportions were constructed. Graphical representations were made using heat maps and bar charts. To interpret the results, A1 and A2 levels were considered basic, B1 intermediate, and B2 and C1 as advanced.</w:t>
      </w:r>
    </w:p>
    <w:p w14:paraId="2557E8AE" w14:textId="77777777" w:rsidR="00C64A87" w:rsidRPr="008E0D97" w:rsidRDefault="00C64A87" w:rsidP="00AC6201">
      <w:pPr>
        <w:pStyle w:val="Paragraph"/>
      </w:pPr>
      <w:r w:rsidRPr="008E0D97">
        <w:t>To evaluate the performance of each competence within each area, averages and standard deviations were calculated for each competence. Values ranging from 1 to 5 were assigned to each level, respectively. A competence with an average of 3 is considered at the intermediate level. If the average is greater than 3, it is considered advanced level; if it is less than 3, it is considered basic level. The Kruskal-Wallis test was used when the conditions for applying an ANOVA were not satisfied. The H test follows a chi-square distribution with k-1 degrees of freedom, where k is the number of competencies being compared (Hollander et al., 2013)</w:t>
      </w:r>
    </w:p>
    <w:p w14:paraId="38862DB5" w14:textId="5AF8D783" w:rsidR="00C64A87" w:rsidRPr="008E0D97" w:rsidRDefault="00C64A87" w:rsidP="00AC6201">
      <w:pPr>
        <w:pStyle w:val="Paragraph"/>
      </w:pPr>
      <w:r w:rsidRPr="008E0D97">
        <w:t xml:space="preserve">Pearson's chi-square non-parametric statistical tests, likelihood ratio test, and Fisher's test were used to find the relationship between performance levels, gender, and years of </w:t>
      </w:r>
      <w:r w:rsidR="006C2A5C">
        <w:t>practice</w:t>
      </w:r>
      <w:r w:rsidRPr="008E0D97">
        <w:t xml:space="preserve"> of the surveyed teachers (Acuña, 2004). The associated hypotheses for gender and performance level by competence are as follows:</w:t>
      </w:r>
    </w:p>
    <w:p w14:paraId="0E945212" w14:textId="77777777" w:rsidR="00C64A87" w:rsidRPr="008E0D97" w:rsidRDefault="00C64A87" w:rsidP="00AC6201">
      <w:pPr>
        <w:pStyle w:val="Paragraph"/>
      </w:pPr>
      <w:r w:rsidRPr="008E0D97">
        <w:t>Ho: No relationship between the performance levels of each competence and the gender of the surveyed teachers.</w:t>
      </w:r>
    </w:p>
    <w:p w14:paraId="6B1D43CB" w14:textId="77777777" w:rsidR="00C64A87" w:rsidRPr="008E0D97" w:rsidRDefault="00C64A87" w:rsidP="00AC6201">
      <w:pPr>
        <w:pStyle w:val="Paragraph"/>
      </w:pPr>
      <w:r w:rsidRPr="008E0D97">
        <w:lastRenderedPageBreak/>
        <w:t>H1: There is a relationship between the performance levels of each competence and the gender of the surveyed teachers.</w:t>
      </w:r>
    </w:p>
    <w:p w14:paraId="5CBEB8FB" w14:textId="77777777" w:rsidR="00C64A87" w:rsidRPr="008E0D97" w:rsidRDefault="00C64A87" w:rsidP="00AC6201">
      <w:pPr>
        <w:pStyle w:val="Paragraph"/>
      </w:pPr>
      <w:r w:rsidRPr="008E0D97">
        <w:t>The associated hypotheses between years of experience and performance level by competence are:</w:t>
      </w:r>
    </w:p>
    <w:p w14:paraId="1BCB674D" w14:textId="77777777" w:rsidR="00C64A87" w:rsidRPr="008E0D97" w:rsidRDefault="00C64A87" w:rsidP="00AC6201">
      <w:pPr>
        <w:pStyle w:val="Paragraph"/>
      </w:pPr>
      <w:r w:rsidRPr="008E0D97">
        <w:t>Ho: No relationship between the performance levels by competence and the years of experience.</w:t>
      </w:r>
    </w:p>
    <w:p w14:paraId="6546C0F3" w14:textId="77777777" w:rsidR="00C64A87" w:rsidRPr="008E0D97" w:rsidRDefault="00C64A87" w:rsidP="00AC6201">
      <w:pPr>
        <w:pStyle w:val="Paragraph"/>
      </w:pPr>
      <w:r w:rsidRPr="008E0D97">
        <w:t>H1: There is a relationship between the performance levels by competence and the years of experience.</w:t>
      </w:r>
    </w:p>
    <w:p w14:paraId="4D69F86A" w14:textId="4250364B" w:rsidR="00C64A87" w:rsidRPr="008E0D97" w:rsidRDefault="00C64A87" w:rsidP="00AC6201">
      <w:pPr>
        <w:pStyle w:val="Paragraph"/>
      </w:pPr>
      <w:r w:rsidRPr="008E0D97">
        <w:t>Contingency coefficients and phi coefficients were also calculated. Both coefficients range from 0 to 1. A coefficient of zero indicates no association between the variables. A coefficient greater than 0.30 indicates a good association between the variables (Acuña, 2004). A coefficient greater than 0.3 and less than 0.4 indicates a good relationship between the variables, while a coefficient greater than 0.40 indicates a high relationship. A coefficient between 0.25 and 0.30 indicates a moderate relationship, and a coefficient less than 0.25 is considered a low relationship.</w:t>
      </w:r>
      <w:r w:rsidR="006C2A5C">
        <w:t xml:space="preserve"> </w:t>
      </w:r>
      <w:r w:rsidRPr="008E0D97">
        <w:t xml:space="preserve">Finally, the Stanine methodology was used to find differences between the areas, which involves dividing raw test scores into nine intervals. Stanine scores </w:t>
      </w:r>
      <w:r w:rsidR="006C2A5C">
        <w:t xml:space="preserve">between </w:t>
      </w:r>
      <w:r w:rsidR="006C2A5C" w:rsidRPr="008E0D97">
        <w:t>3 or less are</w:t>
      </w:r>
      <w:r w:rsidR="006C2A5C">
        <w:t xml:space="preserve"> considered</w:t>
      </w:r>
      <w:r w:rsidR="006C2A5C" w:rsidRPr="008E0D97">
        <w:t xml:space="preserve"> below average or basic</w:t>
      </w:r>
      <w:r w:rsidR="006C2A5C">
        <w:t xml:space="preserve">, </w:t>
      </w:r>
      <w:r w:rsidRPr="008E0D97">
        <w:t>between 4 and 6 are considered average or intermediate, and scores greater than or equal to 7 are above average or advanced.</w:t>
      </w:r>
    </w:p>
    <w:p w14:paraId="756BD026" w14:textId="77777777" w:rsidR="00C64A87" w:rsidRPr="008E0D97" w:rsidRDefault="00C64A87" w:rsidP="00AC6201">
      <w:pPr>
        <w:pStyle w:val="Paragraph"/>
      </w:pPr>
      <w:r w:rsidRPr="008E0D97">
        <w:t xml:space="preserve">Considering that each level was assigned a score from 1 to 5, the scores of the competencies in each area were summed for each teacher. For example, a teacher who responded A1 in all three competencies of Area 1 would have a minimum score of 3; if they responded C1, they would have a maximum score of 15. The final scores were divided into nine intervals, the Basic category was assigned to intervals 1, 2, and 3, the Intermediate category to intervals 4, </w:t>
      </w:r>
      <w:r w:rsidRPr="008E0D97">
        <w:lastRenderedPageBreak/>
        <w:t>5, and 6, and finally, the Advanced category to intervals 7, 8, and 9. This way, we can indicate the performance level of each teacher in each area, regardless of the number of competencies being evaluated, facilitating their comparison with a global score measure.</w:t>
      </w:r>
    </w:p>
    <w:p w14:paraId="441D333F" w14:textId="77777777" w:rsidR="00C64A87" w:rsidRPr="008E0D97" w:rsidRDefault="00C64A87" w:rsidP="00AC6201">
      <w:pPr>
        <w:pStyle w:val="Ttulo2"/>
        <w:spacing w:line="480" w:lineRule="auto"/>
      </w:pPr>
      <w:r w:rsidRPr="008E0D97">
        <w:t>Software</w:t>
      </w:r>
    </w:p>
    <w:p w14:paraId="2F43D207" w14:textId="77777777" w:rsidR="00C64A87" w:rsidRPr="008E0D97" w:rsidRDefault="00C64A87" w:rsidP="00AC6201">
      <w:pPr>
        <w:pStyle w:val="Newparagraph"/>
      </w:pPr>
      <w:r w:rsidRPr="008E0D97">
        <w:t>The data analysis was conducted using the statistical software R version 4.2.2. The Likert package version 1.3.5 and ggplot2 package version 3.4.0 were used for generating graphs and descriptive statistics. The Stats package version 4.2.2 was used to perform the Kruskal-Wallis and Wilcoxon comparison tests. All analyses were conducted with a significance level or error rate of 5%.</w:t>
      </w:r>
    </w:p>
    <w:p w14:paraId="57DD1DB9" w14:textId="77777777" w:rsidR="00C64A87" w:rsidRPr="008E0D97" w:rsidRDefault="00C64A87" w:rsidP="00AC6201">
      <w:pPr>
        <w:pStyle w:val="Ttulo2"/>
        <w:spacing w:line="480" w:lineRule="auto"/>
      </w:pPr>
      <w:r w:rsidRPr="008E0D97">
        <w:t>Working Group</w:t>
      </w:r>
    </w:p>
    <w:p w14:paraId="58CA3179" w14:textId="30317CC5" w:rsidR="00C64A87" w:rsidRDefault="00C64A87" w:rsidP="00AC6201">
      <w:pPr>
        <w:pStyle w:val="Newparagraph"/>
      </w:pPr>
      <w:r w:rsidRPr="008E0D97">
        <w:t>The population belongs to a non-probabilistic convenience sample. Three hundred-four surveys were answered, and 299 were valid for the study. 43,5% were female, 56,2 were male, and 0,3% did not mention the genre. The participants work for public and private basic, media, high schools, private and public universities, and language institutes. 20,4 % had 1 to 5 years of experience, 31,6% had 6 to 10, 19,1 % had 11 to 15, 11,0 % had 16 to 20, and 17,7% had more than 20 years of experience.</w:t>
      </w:r>
    </w:p>
    <w:p w14:paraId="758C5D2B" w14:textId="24DF1F07" w:rsidR="00E62C73" w:rsidRDefault="00E62C73" w:rsidP="00AC6201">
      <w:pPr>
        <w:ind w:firstLine="709"/>
        <w:rPr>
          <w:color w:val="000000" w:themeColor="text1"/>
        </w:rPr>
      </w:pPr>
    </w:p>
    <w:p w14:paraId="5FD8E50B" w14:textId="77777777" w:rsidR="00C64A87" w:rsidRPr="008E0D97" w:rsidRDefault="00C64A87" w:rsidP="00AC6201">
      <w:pPr>
        <w:pStyle w:val="Ttulo2"/>
        <w:spacing w:line="480" w:lineRule="auto"/>
      </w:pPr>
      <w:r w:rsidRPr="008E0D97">
        <w:t>Instruments and data collection</w:t>
      </w:r>
    </w:p>
    <w:p w14:paraId="1ED7BB07" w14:textId="77777777" w:rsidR="00C64A87" w:rsidRPr="008E0D97" w:rsidRDefault="00C64A87" w:rsidP="00AC6201">
      <w:pPr>
        <w:pStyle w:val="Newparagraph"/>
      </w:pPr>
      <w:r w:rsidRPr="008E0D97">
        <w:t xml:space="preserve">Data for this study were collected through a questionnaire that included an explanation of the study, a consent letter participants needed to agree with, a section about demographic information, and three dimensions: Teachers' Digital Competence, the use of blogs for English Teaching, and the use of Digital Technologies for English Teaching. Data were collected via a Google Forms questionnaire sent through e-mail or personal request during </w:t>
      </w:r>
      <w:r w:rsidRPr="008E0D97">
        <w:lastRenderedPageBreak/>
        <w:t xml:space="preserve">school visits and recess times in two national English Teaching events. This article presents the results of the first dimension of this questionnaire, which assessed 5 of the six areas and 13 of the 22 areas of the </w:t>
      </w:r>
      <w:proofErr w:type="spellStart"/>
      <w:r w:rsidRPr="008E0D97">
        <w:t>DigCompEdu</w:t>
      </w:r>
      <w:proofErr w:type="spellEnd"/>
      <w:r w:rsidRPr="008E0D97">
        <w:t xml:space="preserve">.  </w:t>
      </w:r>
    </w:p>
    <w:p w14:paraId="552EC1D3" w14:textId="77777777" w:rsidR="00C64A87" w:rsidRPr="008E0D97" w:rsidRDefault="00C64A87" w:rsidP="00AC6201">
      <w:pPr>
        <w:pStyle w:val="Paragraph"/>
      </w:pPr>
      <w:r w:rsidRPr="008E0D97">
        <w:t xml:space="preserve">The item for each competence presents five answer options that locate the participant in a </w:t>
      </w:r>
      <w:proofErr w:type="spellStart"/>
      <w:r w:rsidRPr="008E0D97">
        <w:t>Digcompedu</w:t>
      </w:r>
      <w:proofErr w:type="spellEnd"/>
      <w:r w:rsidRPr="008E0D97">
        <w:t xml:space="preserve"> progression level. </w:t>
      </w:r>
    </w:p>
    <w:p w14:paraId="7DCEA406" w14:textId="77777777" w:rsidR="00C64A87" w:rsidRPr="008E0D97" w:rsidRDefault="00C64A87" w:rsidP="00AC6201">
      <w:pPr>
        <w:pStyle w:val="Ttulo1"/>
        <w:spacing w:line="480" w:lineRule="auto"/>
      </w:pPr>
      <w:r w:rsidRPr="008E0D97">
        <w:t>Data Analysis and results</w:t>
      </w:r>
    </w:p>
    <w:p w14:paraId="7B777B5A" w14:textId="77777777" w:rsidR="00C64A87" w:rsidRPr="008E0D97" w:rsidRDefault="00C64A87" w:rsidP="00AC6201">
      <w:pPr>
        <w:pStyle w:val="Ttulo2"/>
        <w:spacing w:line="480" w:lineRule="auto"/>
      </w:pPr>
      <w:r w:rsidRPr="008E0D97">
        <w:t xml:space="preserve">Where are the surveyed teachers placed in the </w:t>
      </w:r>
      <w:proofErr w:type="spellStart"/>
      <w:r w:rsidRPr="008E0D97">
        <w:t>Digcompedu</w:t>
      </w:r>
      <w:proofErr w:type="spellEnd"/>
      <w:r w:rsidRPr="008E0D97">
        <w:t xml:space="preserve"> competence scale?</w:t>
      </w:r>
    </w:p>
    <w:p w14:paraId="31C43198" w14:textId="4D52AD69" w:rsidR="00C64A87" w:rsidRPr="008E0D97" w:rsidRDefault="00C64A87" w:rsidP="00AC6201">
      <w:pPr>
        <w:pStyle w:val="Newparagraph"/>
      </w:pPr>
      <w:r w:rsidRPr="008E0D97">
        <w:t xml:space="preserve">In general, Integration Level B1 got the most significant proportion or the highest percentage of answers in 8 of the 13 competencies (62%). It demonstrates the majority of teachers are at the Integration Level. The next in the rank corresponds to Expertise Level B2, which is the second most considerable proportion or the highest percentage of answers in 4 of the 13 competencies (31%). Table </w:t>
      </w:r>
      <w:r w:rsidR="00A72BF7">
        <w:t>1</w:t>
      </w:r>
      <w:r w:rsidRPr="008E0D97">
        <w:t xml:space="preserve"> shows the results of two of the 13 competencies. </w:t>
      </w:r>
    </w:p>
    <w:p w14:paraId="4EAF5E79" w14:textId="77777777" w:rsidR="00C64A87" w:rsidRPr="008E0D97" w:rsidRDefault="00C64A87" w:rsidP="00AC6201">
      <w:pPr>
        <w:pStyle w:val="Newparagraph"/>
      </w:pPr>
      <w:r w:rsidRPr="008E0D97">
        <w:t>Which level has the most significant proportion of answers? Which level has the lowest proportion of answers?</w:t>
      </w:r>
    </w:p>
    <w:p w14:paraId="38C82206" w14:textId="77777777" w:rsidR="00C64A87" w:rsidRPr="008E0D97" w:rsidRDefault="00C64A87" w:rsidP="00AC6201">
      <w:pPr>
        <w:pStyle w:val="Newparagraph"/>
        <w:rPr>
          <w:color w:val="000000" w:themeColor="text1"/>
        </w:rPr>
      </w:pPr>
      <w:r w:rsidRPr="008E0D97">
        <w:rPr>
          <w:color w:val="000000" w:themeColor="text1"/>
        </w:rPr>
        <w:t xml:space="preserve">Awareness Level A1 obtained the lowest number of answers in each assessed competency, demonstrating that a low percentage of English teachers are at a preliminary level. Similarly, the second lowest number of answers was in Leadership Level C1. In conclusion, most of the surveyed English teachers are located at the intermediate level, and few are at the advanced level. </w:t>
      </w:r>
    </w:p>
    <w:p w14:paraId="70CE0064" w14:textId="77777777" w:rsidR="00C64A87" w:rsidRPr="008E0D97" w:rsidRDefault="00C64A87" w:rsidP="00AC6201">
      <w:pPr>
        <w:pStyle w:val="Paragraph"/>
      </w:pPr>
      <w:r w:rsidRPr="008E0D97">
        <w:t xml:space="preserve">Considering these results with the aim of teachers’ training in developing digital competence applied to English Language teaching implies that most teachers are false beginners whose basic skills enable them to advance to the highest level of competence. It also reveals the need to encourage teachers to move to Leadership and Innovation Levels, where they adventure to </w:t>
      </w:r>
      <w:r w:rsidRPr="008E0D97">
        <w:lastRenderedPageBreak/>
        <w:t>create, produce and combine digital resources.</w:t>
      </w:r>
    </w:p>
    <w:p w14:paraId="29F1EFB8" w14:textId="77777777" w:rsidR="00C64A87" w:rsidRPr="008E0D97" w:rsidRDefault="00C64A87" w:rsidP="00AC6201">
      <w:pPr>
        <w:pStyle w:val="Tabletitle"/>
        <w:spacing w:line="480" w:lineRule="auto"/>
        <w:rPr>
          <w:lang w:val="en-US"/>
        </w:rPr>
      </w:pPr>
      <w:r w:rsidRPr="008E0D97">
        <w:rPr>
          <w:lang w:val="en-US"/>
        </w:rPr>
        <w:t>Table 1. Sample of results of level per competence obtained with Quessenberry-Hurst’s Confidence Intervals for proportion estimation</w:t>
      </w:r>
    </w:p>
    <w:tbl>
      <w:tblPr>
        <w:tblStyle w:val="Tabladecuadrcula21"/>
        <w:tblW w:w="9180" w:type="dxa"/>
        <w:tblBorders>
          <w:top w:val="single" w:sz="2" w:space="0" w:color="000000" w:themeColor="text1"/>
          <w:bottom w:val="single" w:sz="2" w:space="0" w:color="000000" w:themeColor="text1"/>
          <w:insideH w:val="single" w:sz="2" w:space="0" w:color="000000" w:themeColor="text1"/>
          <w:insideV w:val="none" w:sz="0" w:space="0" w:color="auto"/>
        </w:tblBorders>
        <w:tblLayout w:type="fixed"/>
        <w:tblLook w:val="0400" w:firstRow="0" w:lastRow="0" w:firstColumn="0" w:lastColumn="0" w:noHBand="0" w:noVBand="1"/>
      </w:tblPr>
      <w:tblGrid>
        <w:gridCol w:w="1768"/>
        <w:gridCol w:w="765"/>
        <w:gridCol w:w="1295"/>
        <w:gridCol w:w="704"/>
        <w:gridCol w:w="725"/>
        <w:gridCol w:w="3923"/>
      </w:tblGrid>
      <w:tr w:rsidR="00C64A87" w:rsidRPr="008E0D97" w14:paraId="603F5AB6" w14:textId="77777777" w:rsidTr="00FD0B07">
        <w:trPr>
          <w:cnfStyle w:val="000000100000" w:firstRow="0" w:lastRow="0" w:firstColumn="0" w:lastColumn="0" w:oddVBand="0" w:evenVBand="0" w:oddHBand="1" w:evenHBand="0" w:firstRowFirstColumn="0" w:firstRowLastColumn="0" w:lastRowFirstColumn="0" w:lastRowLastColumn="0"/>
          <w:trHeight w:val="377"/>
        </w:trPr>
        <w:tc>
          <w:tcPr>
            <w:tcW w:w="1768" w:type="dxa"/>
            <w:tcBorders>
              <w:bottom w:val="single" w:sz="2" w:space="0" w:color="000000" w:themeColor="text1"/>
            </w:tcBorders>
          </w:tcPr>
          <w:p w14:paraId="41863531" w14:textId="77777777" w:rsidR="00C64A87" w:rsidRPr="008E0D97" w:rsidRDefault="00C64A87" w:rsidP="00AC6201">
            <w:pPr>
              <w:rPr>
                <w:rFonts w:ascii="Times New Roman" w:hAnsi="Times New Roman" w:cs="Times New Roman"/>
                <w:b/>
                <w:color w:val="000000" w:themeColor="text1"/>
              </w:rPr>
            </w:pPr>
            <w:r w:rsidRPr="008E0D97">
              <w:rPr>
                <w:rFonts w:ascii="Times New Roman" w:hAnsi="Times New Roman" w:cs="Times New Roman"/>
                <w:b/>
                <w:color w:val="000000" w:themeColor="text1"/>
              </w:rPr>
              <w:t>Competence</w:t>
            </w:r>
          </w:p>
        </w:tc>
        <w:tc>
          <w:tcPr>
            <w:tcW w:w="765" w:type="dxa"/>
            <w:tcBorders>
              <w:bottom w:val="single" w:sz="2" w:space="0" w:color="000000" w:themeColor="text1"/>
            </w:tcBorders>
          </w:tcPr>
          <w:p w14:paraId="54B3805A" w14:textId="77777777" w:rsidR="00C64A87" w:rsidRPr="008E0D97" w:rsidRDefault="00C64A87" w:rsidP="00AC6201">
            <w:pPr>
              <w:rPr>
                <w:rFonts w:ascii="Times New Roman" w:hAnsi="Times New Roman" w:cs="Times New Roman"/>
                <w:b/>
                <w:color w:val="000000" w:themeColor="text1"/>
              </w:rPr>
            </w:pPr>
            <w:r w:rsidRPr="008E0D97">
              <w:rPr>
                <w:rFonts w:ascii="Times New Roman" w:hAnsi="Times New Roman" w:cs="Times New Roman"/>
                <w:b/>
                <w:color w:val="000000" w:themeColor="text1"/>
              </w:rPr>
              <w:t>Item</w:t>
            </w:r>
          </w:p>
        </w:tc>
        <w:tc>
          <w:tcPr>
            <w:tcW w:w="1295" w:type="dxa"/>
            <w:tcBorders>
              <w:bottom w:val="single" w:sz="2" w:space="0" w:color="000000" w:themeColor="text1"/>
            </w:tcBorders>
          </w:tcPr>
          <w:p w14:paraId="054FD796" w14:textId="77777777" w:rsidR="00C64A87" w:rsidRPr="008E0D97" w:rsidRDefault="00C64A87" w:rsidP="00AC6201">
            <w:pPr>
              <w:rPr>
                <w:rFonts w:ascii="Times New Roman" w:hAnsi="Times New Roman" w:cs="Times New Roman"/>
                <w:b/>
                <w:color w:val="000000" w:themeColor="text1"/>
              </w:rPr>
            </w:pPr>
            <w:r w:rsidRPr="008E0D97">
              <w:rPr>
                <w:rFonts w:ascii="Times New Roman" w:hAnsi="Times New Roman" w:cs="Times New Roman"/>
                <w:b/>
                <w:color w:val="000000" w:themeColor="text1"/>
              </w:rPr>
              <w:t>Estimation</w:t>
            </w:r>
          </w:p>
        </w:tc>
        <w:tc>
          <w:tcPr>
            <w:tcW w:w="704" w:type="dxa"/>
            <w:tcBorders>
              <w:bottom w:val="single" w:sz="2" w:space="0" w:color="000000" w:themeColor="text1"/>
            </w:tcBorders>
          </w:tcPr>
          <w:p w14:paraId="630E55A1" w14:textId="77777777" w:rsidR="00C64A87" w:rsidRPr="008E0D97" w:rsidRDefault="00C64A87" w:rsidP="00AC6201">
            <w:pPr>
              <w:rPr>
                <w:rFonts w:ascii="Times New Roman" w:hAnsi="Times New Roman" w:cs="Times New Roman"/>
                <w:b/>
                <w:color w:val="000000" w:themeColor="text1"/>
              </w:rPr>
            </w:pPr>
            <w:r w:rsidRPr="008E0D97">
              <w:rPr>
                <w:rFonts w:ascii="Times New Roman" w:hAnsi="Times New Roman" w:cs="Times New Roman"/>
                <w:b/>
                <w:color w:val="000000" w:themeColor="text1"/>
              </w:rPr>
              <w:t>LI</w:t>
            </w:r>
          </w:p>
        </w:tc>
        <w:tc>
          <w:tcPr>
            <w:tcW w:w="725" w:type="dxa"/>
            <w:tcBorders>
              <w:bottom w:val="single" w:sz="2" w:space="0" w:color="000000" w:themeColor="text1"/>
            </w:tcBorders>
          </w:tcPr>
          <w:p w14:paraId="37F7EDE9" w14:textId="77777777" w:rsidR="00C64A87" w:rsidRPr="008E0D97" w:rsidRDefault="00C64A87" w:rsidP="00AC6201">
            <w:pPr>
              <w:rPr>
                <w:rFonts w:ascii="Times New Roman" w:hAnsi="Times New Roman" w:cs="Times New Roman"/>
                <w:b/>
                <w:color w:val="000000" w:themeColor="text1"/>
              </w:rPr>
            </w:pPr>
            <w:r w:rsidRPr="008E0D97">
              <w:rPr>
                <w:rFonts w:ascii="Times New Roman" w:hAnsi="Times New Roman" w:cs="Times New Roman"/>
                <w:b/>
                <w:color w:val="000000" w:themeColor="text1"/>
              </w:rPr>
              <w:t>LS</w:t>
            </w:r>
          </w:p>
        </w:tc>
        <w:tc>
          <w:tcPr>
            <w:tcW w:w="3923" w:type="dxa"/>
            <w:vMerge w:val="restart"/>
            <w:tcBorders>
              <w:bottom w:val="single" w:sz="2" w:space="0" w:color="000000" w:themeColor="text1"/>
            </w:tcBorders>
            <w:shd w:val="clear" w:color="auto" w:fill="FFFFFF" w:themeFill="background1"/>
          </w:tcPr>
          <w:p w14:paraId="3D6ED71D" w14:textId="77777777" w:rsidR="00C64A87" w:rsidRPr="008E0D97" w:rsidRDefault="00C64A87" w:rsidP="00AC6201">
            <w:pPr>
              <w:rPr>
                <w:rFonts w:ascii="Times New Roman" w:hAnsi="Times New Roman" w:cs="Times New Roman"/>
                <w:b/>
                <w:color w:val="000000" w:themeColor="text1"/>
              </w:rPr>
            </w:pPr>
            <w:r w:rsidRPr="008E0D97">
              <w:rPr>
                <w:noProof/>
                <w:color w:val="000000" w:themeColor="text1"/>
                <w:lang w:val="es-CO" w:eastAsia="es-CO"/>
              </w:rPr>
              <w:drawing>
                <wp:inline distT="0" distB="0" distL="0" distR="0" wp14:anchorId="49024ED9" wp14:editId="510CA84B">
                  <wp:extent cx="2409825" cy="1076325"/>
                  <wp:effectExtent l="0" t="0" r="9525" b="9525"/>
                  <wp:docPr id="73" name="image10.png"/>
                  <wp:cNvGraphicFramePr/>
                  <a:graphic xmlns:a="http://schemas.openxmlformats.org/drawingml/2006/main">
                    <a:graphicData uri="http://schemas.openxmlformats.org/drawingml/2006/picture">
                      <pic:pic xmlns:pic="http://schemas.openxmlformats.org/drawingml/2006/picture">
                        <pic:nvPicPr>
                          <pic:cNvPr id="73" name="image10.png"/>
                          <pic:cNvPicPr/>
                        </pic:nvPicPr>
                        <pic:blipFill>
                          <a:blip r:embed="rId9"/>
                          <a:stretch>
                            <a:fillRect/>
                          </a:stretch>
                        </pic:blipFill>
                        <pic:spPr>
                          <a:xfrm>
                            <a:off x="0" y="0"/>
                            <a:ext cx="2426252" cy="1083662"/>
                          </a:xfrm>
                          <a:prstGeom prst="rect">
                            <a:avLst/>
                          </a:prstGeom>
                        </pic:spPr>
                      </pic:pic>
                    </a:graphicData>
                  </a:graphic>
                </wp:inline>
              </w:drawing>
            </w:r>
          </w:p>
        </w:tc>
      </w:tr>
      <w:tr w:rsidR="00C64A87" w:rsidRPr="008E0D97" w14:paraId="05E47763" w14:textId="77777777" w:rsidTr="00FD0B07">
        <w:trPr>
          <w:trHeight w:val="377"/>
        </w:trPr>
        <w:tc>
          <w:tcPr>
            <w:tcW w:w="1768" w:type="dxa"/>
            <w:vMerge w:val="restart"/>
            <w:shd w:val="clear" w:color="auto" w:fill="FFFFFF" w:themeFill="background1"/>
          </w:tcPr>
          <w:p w14:paraId="7987D686" w14:textId="77777777" w:rsidR="00C64A87" w:rsidRPr="008E0D97" w:rsidRDefault="00C64A87" w:rsidP="00AC6201">
            <w:pPr>
              <w:rPr>
                <w:rFonts w:ascii="Times New Roman" w:hAnsi="Times New Roman" w:cs="Times New Roman"/>
                <w:color w:val="000000" w:themeColor="text1"/>
              </w:rPr>
            </w:pPr>
          </w:p>
          <w:p w14:paraId="6B3DCDC9" w14:textId="77777777" w:rsidR="00C64A87" w:rsidRPr="008E0D97" w:rsidRDefault="00C64A87" w:rsidP="00AC6201">
            <w:pPr>
              <w:rPr>
                <w:rFonts w:ascii="Times New Roman" w:hAnsi="Times New Roman" w:cs="Times New Roman"/>
                <w:color w:val="000000" w:themeColor="text1"/>
              </w:rPr>
            </w:pPr>
          </w:p>
          <w:p w14:paraId="3D0C82A5" w14:textId="77777777" w:rsidR="00C64A87" w:rsidRPr="008E0D97" w:rsidRDefault="00C64A87" w:rsidP="00AC6201">
            <w:pPr>
              <w:rPr>
                <w:rFonts w:ascii="Times New Roman" w:hAnsi="Times New Roman" w:cs="Times New Roman"/>
                <w:color w:val="000000" w:themeColor="text1"/>
              </w:rPr>
            </w:pPr>
            <w:r w:rsidRPr="008E0D97">
              <w:rPr>
                <w:rFonts w:ascii="Times New Roman" w:hAnsi="Times New Roman" w:cs="Times New Roman"/>
                <w:color w:val="000000" w:themeColor="text1"/>
              </w:rPr>
              <w:t>1</w:t>
            </w:r>
          </w:p>
          <w:p w14:paraId="23FCB9B4" w14:textId="77777777" w:rsidR="00C64A87" w:rsidRPr="008E0D97" w:rsidRDefault="00C64A87" w:rsidP="00AC6201">
            <w:pPr>
              <w:rPr>
                <w:rFonts w:ascii="Times New Roman" w:hAnsi="Times New Roman" w:cs="Times New Roman"/>
                <w:color w:val="000000" w:themeColor="text1"/>
              </w:rPr>
            </w:pPr>
            <w:r w:rsidRPr="008E0D97">
              <w:rPr>
                <w:rFonts w:ascii="Times New Roman" w:hAnsi="Times New Roman" w:cs="Times New Roman"/>
                <w:bCs/>
                <w:color w:val="000000" w:themeColor="text1"/>
              </w:rPr>
              <w:t>Organizational Communication</w:t>
            </w:r>
          </w:p>
        </w:tc>
        <w:tc>
          <w:tcPr>
            <w:tcW w:w="765" w:type="dxa"/>
            <w:shd w:val="clear" w:color="auto" w:fill="FFFFFF" w:themeFill="background1"/>
          </w:tcPr>
          <w:p w14:paraId="316CE5FD" w14:textId="77777777" w:rsidR="00C64A87" w:rsidRPr="008E0D97" w:rsidRDefault="00C64A87" w:rsidP="00AC6201">
            <w:pPr>
              <w:rPr>
                <w:rFonts w:ascii="Times New Roman" w:hAnsi="Times New Roman" w:cs="Times New Roman"/>
                <w:color w:val="000000" w:themeColor="text1"/>
              </w:rPr>
            </w:pPr>
            <w:r w:rsidRPr="008E0D97">
              <w:rPr>
                <w:rFonts w:ascii="Times New Roman" w:hAnsi="Times New Roman" w:cs="Times New Roman"/>
                <w:color w:val="000000" w:themeColor="text1"/>
              </w:rPr>
              <w:t>C1</w:t>
            </w:r>
          </w:p>
        </w:tc>
        <w:tc>
          <w:tcPr>
            <w:tcW w:w="1295" w:type="dxa"/>
            <w:shd w:val="clear" w:color="auto" w:fill="FFFFFF" w:themeFill="background1"/>
          </w:tcPr>
          <w:p w14:paraId="39BFEC35" w14:textId="77777777" w:rsidR="00C64A87" w:rsidRPr="008E0D97" w:rsidRDefault="00C64A87" w:rsidP="00AC6201">
            <w:pPr>
              <w:rPr>
                <w:rFonts w:ascii="Times New Roman" w:hAnsi="Times New Roman" w:cs="Times New Roman"/>
                <w:color w:val="000000" w:themeColor="text1"/>
              </w:rPr>
            </w:pPr>
            <w:r w:rsidRPr="008E0D97">
              <w:rPr>
                <w:rFonts w:ascii="Times New Roman" w:hAnsi="Times New Roman" w:cs="Times New Roman"/>
                <w:color w:val="000000" w:themeColor="text1"/>
              </w:rPr>
              <w:t>5%</w:t>
            </w:r>
          </w:p>
        </w:tc>
        <w:tc>
          <w:tcPr>
            <w:tcW w:w="704" w:type="dxa"/>
            <w:shd w:val="clear" w:color="auto" w:fill="FFFFFF" w:themeFill="background1"/>
          </w:tcPr>
          <w:p w14:paraId="12D58A2B" w14:textId="77777777" w:rsidR="00C64A87" w:rsidRPr="008E0D97" w:rsidRDefault="00C64A87" w:rsidP="00AC6201">
            <w:pPr>
              <w:rPr>
                <w:rFonts w:ascii="Times New Roman" w:hAnsi="Times New Roman" w:cs="Times New Roman"/>
                <w:color w:val="000000" w:themeColor="text1"/>
              </w:rPr>
            </w:pPr>
            <w:r w:rsidRPr="008E0D97">
              <w:rPr>
                <w:rFonts w:ascii="Times New Roman" w:hAnsi="Times New Roman" w:cs="Times New Roman"/>
                <w:color w:val="000000" w:themeColor="text1"/>
              </w:rPr>
              <w:t>3%</w:t>
            </w:r>
          </w:p>
        </w:tc>
        <w:tc>
          <w:tcPr>
            <w:tcW w:w="725" w:type="dxa"/>
            <w:shd w:val="clear" w:color="auto" w:fill="FFFFFF" w:themeFill="background1"/>
          </w:tcPr>
          <w:p w14:paraId="25225017" w14:textId="77777777" w:rsidR="00C64A87" w:rsidRPr="008E0D97" w:rsidRDefault="00C64A87" w:rsidP="00AC6201">
            <w:pPr>
              <w:rPr>
                <w:rFonts w:ascii="Times New Roman" w:hAnsi="Times New Roman" w:cs="Times New Roman"/>
                <w:color w:val="000000" w:themeColor="text1"/>
              </w:rPr>
            </w:pPr>
            <w:r w:rsidRPr="008E0D97">
              <w:rPr>
                <w:rFonts w:ascii="Times New Roman" w:hAnsi="Times New Roman" w:cs="Times New Roman"/>
                <w:color w:val="000000" w:themeColor="text1"/>
              </w:rPr>
              <w:t>11%</w:t>
            </w:r>
          </w:p>
        </w:tc>
        <w:tc>
          <w:tcPr>
            <w:tcW w:w="3923" w:type="dxa"/>
            <w:vMerge/>
            <w:shd w:val="clear" w:color="auto" w:fill="FFFFFF" w:themeFill="background1"/>
          </w:tcPr>
          <w:p w14:paraId="30674C3C" w14:textId="77777777" w:rsidR="00C64A87" w:rsidRPr="008E0D97" w:rsidRDefault="00C64A87" w:rsidP="00AC6201">
            <w:pPr>
              <w:widowControl w:val="0"/>
              <w:pBdr>
                <w:top w:val="nil"/>
                <w:left w:val="nil"/>
                <w:bottom w:val="nil"/>
                <w:right w:val="nil"/>
                <w:between w:val="nil"/>
              </w:pBdr>
              <w:rPr>
                <w:rFonts w:ascii="Times New Roman" w:hAnsi="Times New Roman" w:cs="Times New Roman"/>
                <w:color w:val="000000" w:themeColor="text1"/>
              </w:rPr>
            </w:pPr>
          </w:p>
        </w:tc>
      </w:tr>
      <w:tr w:rsidR="00C64A87" w:rsidRPr="008E0D97" w14:paraId="6AECBCEE" w14:textId="77777777" w:rsidTr="00FD0B07">
        <w:trPr>
          <w:cnfStyle w:val="000000100000" w:firstRow="0" w:lastRow="0" w:firstColumn="0" w:lastColumn="0" w:oddVBand="0" w:evenVBand="0" w:oddHBand="1" w:evenHBand="0" w:firstRowFirstColumn="0" w:firstRowLastColumn="0" w:lastRowFirstColumn="0" w:lastRowLastColumn="0"/>
          <w:trHeight w:val="362"/>
        </w:trPr>
        <w:tc>
          <w:tcPr>
            <w:tcW w:w="1768" w:type="dxa"/>
            <w:vMerge/>
            <w:shd w:val="clear" w:color="auto" w:fill="FFFFFF" w:themeFill="background1"/>
          </w:tcPr>
          <w:p w14:paraId="28C4BF6C" w14:textId="77777777" w:rsidR="00C64A87" w:rsidRPr="008E0D97" w:rsidRDefault="00C64A87" w:rsidP="00AC6201">
            <w:pPr>
              <w:rPr>
                <w:rFonts w:ascii="Times New Roman" w:hAnsi="Times New Roman" w:cs="Times New Roman"/>
                <w:color w:val="000000" w:themeColor="text1"/>
              </w:rPr>
            </w:pPr>
          </w:p>
        </w:tc>
        <w:tc>
          <w:tcPr>
            <w:tcW w:w="765" w:type="dxa"/>
            <w:shd w:val="clear" w:color="auto" w:fill="FFFFFF" w:themeFill="background1"/>
          </w:tcPr>
          <w:p w14:paraId="1EF05D64" w14:textId="77777777" w:rsidR="00C64A87" w:rsidRPr="008E0D97" w:rsidRDefault="00C64A87" w:rsidP="00AC6201">
            <w:pPr>
              <w:rPr>
                <w:rFonts w:ascii="Times New Roman" w:hAnsi="Times New Roman" w:cs="Times New Roman"/>
                <w:color w:val="000000" w:themeColor="text1"/>
              </w:rPr>
            </w:pPr>
            <w:r w:rsidRPr="008E0D97">
              <w:rPr>
                <w:rFonts w:ascii="Times New Roman" w:hAnsi="Times New Roman" w:cs="Times New Roman"/>
                <w:color w:val="000000" w:themeColor="text1"/>
              </w:rPr>
              <w:t>B2</w:t>
            </w:r>
          </w:p>
        </w:tc>
        <w:tc>
          <w:tcPr>
            <w:tcW w:w="1295" w:type="dxa"/>
            <w:shd w:val="clear" w:color="auto" w:fill="FFFFFF" w:themeFill="background1"/>
          </w:tcPr>
          <w:p w14:paraId="063B7FED" w14:textId="77777777" w:rsidR="00C64A87" w:rsidRPr="008E0D97" w:rsidRDefault="00C64A87" w:rsidP="00AC6201">
            <w:pPr>
              <w:rPr>
                <w:rFonts w:ascii="Times New Roman" w:hAnsi="Times New Roman" w:cs="Times New Roman"/>
                <w:color w:val="000000" w:themeColor="text1"/>
              </w:rPr>
            </w:pPr>
            <w:r w:rsidRPr="008E0D97">
              <w:rPr>
                <w:rFonts w:ascii="Times New Roman" w:hAnsi="Times New Roman" w:cs="Times New Roman"/>
                <w:color w:val="000000" w:themeColor="text1"/>
              </w:rPr>
              <w:t>38%</w:t>
            </w:r>
          </w:p>
        </w:tc>
        <w:tc>
          <w:tcPr>
            <w:tcW w:w="704" w:type="dxa"/>
            <w:shd w:val="clear" w:color="auto" w:fill="FFFFFF" w:themeFill="background1"/>
          </w:tcPr>
          <w:p w14:paraId="33A75C39" w14:textId="77777777" w:rsidR="00C64A87" w:rsidRPr="008E0D97" w:rsidRDefault="00C64A87" w:rsidP="00AC6201">
            <w:pPr>
              <w:rPr>
                <w:rFonts w:ascii="Times New Roman" w:hAnsi="Times New Roman" w:cs="Times New Roman"/>
                <w:color w:val="000000" w:themeColor="text1"/>
              </w:rPr>
            </w:pPr>
            <w:r w:rsidRPr="008E0D97">
              <w:rPr>
                <w:rFonts w:ascii="Times New Roman" w:hAnsi="Times New Roman" w:cs="Times New Roman"/>
                <w:color w:val="000000" w:themeColor="text1"/>
              </w:rPr>
              <w:t>30%</w:t>
            </w:r>
          </w:p>
        </w:tc>
        <w:tc>
          <w:tcPr>
            <w:tcW w:w="725" w:type="dxa"/>
            <w:shd w:val="clear" w:color="auto" w:fill="FFFFFF" w:themeFill="background1"/>
          </w:tcPr>
          <w:p w14:paraId="3689C83B" w14:textId="77777777" w:rsidR="00C64A87" w:rsidRPr="008E0D97" w:rsidRDefault="00C64A87" w:rsidP="00AC6201">
            <w:pPr>
              <w:rPr>
                <w:rFonts w:ascii="Times New Roman" w:hAnsi="Times New Roman" w:cs="Times New Roman"/>
                <w:color w:val="000000" w:themeColor="text1"/>
              </w:rPr>
            </w:pPr>
            <w:r w:rsidRPr="008E0D97">
              <w:rPr>
                <w:rFonts w:ascii="Times New Roman" w:hAnsi="Times New Roman" w:cs="Times New Roman"/>
                <w:color w:val="000000" w:themeColor="text1"/>
              </w:rPr>
              <w:t>47%</w:t>
            </w:r>
          </w:p>
        </w:tc>
        <w:tc>
          <w:tcPr>
            <w:tcW w:w="3923" w:type="dxa"/>
            <w:vMerge/>
            <w:shd w:val="clear" w:color="auto" w:fill="FFFFFF" w:themeFill="background1"/>
          </w:tcPr>
          <w:p w14:paraId="5ED34AE3" w14:textId="77777777" w:rsidR="00C64A87" w:rsidRPr="008E0D97" w:rsidRDefault="00C64A87" w:rsidP="00AC6201">
            <w:pPr>
              <w:widowControl w:val="0"/>
              <w:pBdr>
                <w:top w:val="nil"/>
                <w:left w:val="nil"/>
                <w:bottom w:val="nil"/>
                <w:right w:val="nil"/>
                <w:between w:val="nil"/>
              </w:pBdr>
              <w:rPr>
                <w:rFonts w:ascii="Times New Roman" w:hAnsi="Times New Roman" w:cs="Times New Roman"/>
                <w:color w:val="000000" w:themeColor="text1"/>
              </w:rPr>
            </w:pPr>
          </w:p>
        </w:tc>
      </w:tr>
      <w:tr w:rsidR="00C64A87" w:rsidRPr="008E0D97" w14:paraId="58A22CEE" w14:textId="77777777" w:rsidTr="00FD0B07">
        <w:trPr>
          <w:trHeight w:val="362"/>
        </w:trPr>
        <w:tc>
          <w:tcPr>
            <w:tcW w:w="1768" w:type="dxa"/>
            <w:vMerge/>
            <w:shd w:val="clear" w:color="auto" w:fill="FFFFFF" w:themeFill="background1"/>
          </w:tcPr>
          <w:p w14:paraId="1718E7D5" w14:textId="77777777" w:rsidR="00C64A87" w:rsidRPr="008E0D97" w:rsidRDefault="00C64A87" w:rsidP="00AC6201">
            <w:pPr>
              <w:rPr>
                <w:rFonts w:ascii="Times New Roman" w:hAnsi="Times New Roman" w:cs="Times New Roman"/>
                <w:color w:val="000000" w:themeColor="text1"/>
              </w:rPr>
            </w:pPr>
          </w:p>
        </w:tc>
        <w:tc>
          <w:tcPr>
            <w:tcW w:w="765" w:type="dxa"/>
            <w:shd w:val="clear" w:color="auto" w:fill="FFFFFF" w:themeFill="background1"/>
          </w:tcPr>
          <w:p w14:paraId="3182831D" w14:textId="77777777" w:rsidR="00C64A87" w:rsidRPr="008E0D97" w:rsidRDefault="00C64A87" w:rsidP="00AC6201">
            <w:pPr>
              <w:rPr>
                <w:rFonts w:ascii="Times New Roman" w:hAnsi="Times New Roman" w:cs="Times New Roman"/>
                <w:color w:val="000000" w:themeColor="text1"/>
              </w:rPr>
            </w:pPr>
            <w:r w:rsidRPr="008E0D97">
              <w:rPr>
                <w:rFonts w:ascii="Times New Roman" w:hAnsi="Times New Roman" w:cs="Times New Roman"/>
                <w:color w:val="000000" w:themeColor="text1"/>
              </w:rPr>
              <w:t>B1</w:t>
            </w:r>
          </w:p>
        </w:tc>
        <w:tc>
          <w:tcPr>
            <w:tcW w:w="1295" w:type="dxa"/>
            <w:shd w:val="clear" w:color="auto" w:fill="FFFFFF" w:themeFill="background1"/>
          </w:tcPr>
          <w:p w14:paraId="76ECB3DE" w14:textId="77777777" w:rsidR="00C64A87" w:rsidRPr="008E0D97" w:rsidRDefault="00C64A87" w:rsidP="00AC6201">
            <w:pPr>
              <w:rPr>
                <w:rFonts w:ascii="Times New Roman" w:hAnsi="Times New Roman" w:cs="Times New Roman"/>
                <w:color w:val="000000" w:themeColor="text1"/>
              </w:rPr>
            </w:pPr>
            <w:r w:rsidRPr="008E0D97">
              <w:rPr>
                <w:rFonts w:ascii="Times New Roman" w:hAnsi="Times New Roman" w:cs="Times New Roman"/>
                <w:color w:val="000000" w:themeColor="text1"/>
              </w:rPr>
              <w:t>28%</w:t>
            </w:r>
          </w:p>
        </w:tc>
        <w:tc>
          <w:tcPr>
            <w:tcW w:w="704" w:type="dxa"/>
            <w:shd w:val="clear" w:color="auto" w:fill="FFFFFF" w:themeFill="background1"/>
          </w:tcPr>
          <w:p w14:paraId="71BD3EA9" w14:textId="77777777" w:rsidR="00C64A87" w:rsidRPr="008E0D97" w:rsidRDefault="00C64A87" w:rsidP="00AC6201">
            <w:pPr>
              <w:rPr>
                <w:rFonts w:ascii="Times New Roman" w:hAnsi="Times New Roman" w:cs="Times New Roman"/>
                <w:color w:val="000000" w:themeColor="text1"/>
              </w:rPr>
            </w:pPr>
            <w:r w:rsidRPr="008E0D97">
              <w:rPr>
                <w:rFonts w:ascii="Times New Roman" w:hAnsi="Times New Roman" w:cs="Times New Roman"/>
                <w:color w:val="000000" w:themeColor="text1"/>
              </w:rPr>
              <w:t>21%</w:t>
            </w:r>
          </w:p>
        </w:tc>
        <w:tc>
          <w:tcPr>
            <w:tcW w:w="725" w:type="dxa"/>
            <w:shd w:val="clear" w:color="auto" w:fill="FFFFFF" w:themeFill="background1"/>
          </w:tcPr>
          <w:p w14:paraId="0419D2B5" w14:textId="77777777" w:rsidR="00C64A87" w:rsidRPr="008E0D97" w:rsidRDefault="00C64A87" w:rsidP="00AC6201">
            <w:pPr>
              <w:rPr>
                <w:rFonts w:ascii="Times New Roman" w:hAnsi="Times New Roman" w:cs="Times New Roman"/>
                <w:color w:val="000000" w:themeColor="text1"/>
              </w:rPr>
            </w:pPr>
            <w:r w:rsidRPr="008E0D97">
              <w:rPr>
                <w:rFonts w:ascii="Times New Roman" w:hAnsi="Times New Roman" w:cs="Times New Roman"/>
                <w:color w:val="000000" w:themeColor="text1"/>
              </w:rPr>
              <w:t>36%</w:t>
            </w:r>
          </w:p>
        </w:tc>
        <w:tc>
          <w:tcPr>
            <w:tcW w:w="3923" w:type="dxa"/>
            <w:vMerge/>
            <w:shd w:val="clear" w:color="auto" w:fill="FFFFFF" w:themeFill="background1"/>
          </w:tcPr>
          <w:p w14:paraId="6DB52039" w14:textId="77777777" w:rsidR="00C64A87" w:rsidRPr="008E0D97" w:rsidRDefault="00C64A87" w:rsidP="00AC6201">
            <w:pPr>
              <w:widowControl w:val="0"/>
              <w:pBdr>
                <w:top w:val="nil"/>
                <w:left w:val="nil"/>
                <w:bottom w:val="nil"/>
                <w:right w:val="nil"/>
                <w:between w:val="nil"/>
              </w:pBdr>
              <w:rPr>
                <w:rFonts w:ascii="Times New Roman" w:hAnsi="Times New Roman" w:cs="Times New Roman"/>
                <w:color w:val="000000" w:themeColor="text1"/>
              </w:rPr>
            </w:pPr>
          </w:p>
        </w:tc>
      </w:tr>
      <w:tr w:rsidR="00C64A87" w:rsidRPr="008E0D97" w14:paraId="50CC56C0" w14:textId="77777777" w:rsidTr="00FD0B07">
        <w:trPr>
          <w:cnfStyle w:val="000000100000" w:firstRow="0" w:lastRow="0" w:firstColumn="0" w:lastColumn="0" w:oddVBand="0" w:evenVBand="0" w:oddHBand="1" w:evenHBand="0" w:firstRowFirstColumn="0" w:firstRowLastColumn="0" w:lastRowFirstColumn="0" w:lastRowLastColumn="0"/>
          <w:trHeight w:val="362"/>
        </w:trPr>
        <w:tc>
          <w:tcPr>
            <w:tcW w:w="1768" w:type="dxa"/>
            <w:vMerge/>
            <w:shd w:val="clear" w:color="auto" w:fill="FFFFFF" w:themeFill="background1"/>
          </w:tcPr>
          <w:p w14:paraId="60A29AF9" w14:textId="77777777" w:rsidR="00C64A87" w:rsidRPr="008E0D97" w:rsidRDefault="00C64A87" w:rsidP="00AC6201">
            <w:pPr>
              <w:rPr>
                <w:rFonts w:ascii="Times New Roman" w:hAnsi="Times New Roman" w:cs="Times New Roman"/>
                <w:color w:val="000000" w:themeColor="text1"/>
              </w:rPr>
            </w:pPr>
          </w:p>
        </w:tc>
        <w:tc>
          <w:tcPr>
            <w:tcW w:w="765" w:type="dxa"/>
            <w:shd w:val="clear" w:color="auto" w:fill="FFFFFF" w:themeFill="background1"/>
          </w:tcPr>
          <w:p w14:paraId="59202D9A" w14:textId="77777777" w:rsidR="00C64A87" w:rsidRPr="008E0D97" w:rsidRDefault="00C64A87" w:rsidP="00AC6201">
            <w:pPr>
              <w:rPr>
                <w:rFonts w:ascii="Times New Roman" w:hAnsi="Times New Roman" w:cs="Times New Roman"/>
                <w:color w:val="000000" w:themeColor="text1"/>
              </w:rPr>
            </w:pPr>
            <w:r w:rsidRPr="008E0D97">
              <w:rPr>
                <w:rFonts w:ascii="Times New Roman" w:hAnsi="Times New Roman" w:cs="Times New Roman"/>
                <w:color w:val="000000" w:themeColor="text1"/>
              </w:rPr>
              <w:t>A2</w:t>
            </w:r>
          </w:p>
        </w:tc>
        <w:tc>
          <w:tcPr>
            <w:tcW w:w="1295" w:type="dxa"/>
            <w:shd w:val="clear" w:color="auto" w:fill="FFFFFF" w:themeFill="background1"/>
          </w:tcPr>
          <w:p w14:paraId="42826368" w14:textId="77777777" w:rsidR="00C64A87" w:rsidRPr="008E0D97" w:rsidRDefault="00C64A87" w:rsidP="00AC6201">
            <w:pPr>
              <w:rPr>
                <w:rFonts w:ascii="Times New Roman" w:hAnsi="Times New Roman" w:cs="Times New Roman"/>
                <w:color w:val="000000" w:themeColor="text1"/>
              </w:rPr>
            </w:pPr>
            <w:r w:rsidRPr="008E0D97">
              <w:rPr>
                <w:rFonts w:ascii="Times New Roman" w:hAnsi="Times New Roman" w:cs="Times New Roman"/>
                <w:color w:val="000000" w:themeColor="text1"/>
              </w:rPr>
              <w:t>19%</w:t>
            </w:r>
          </w:p>
        </w:tc>
        <w:tc>
          <w:tcPr>
            <w:tcW w:w="704" w:type="dxa"/>
            <w:shd w:val="clear" w:color="auto" w:fill="FFFFFF" w:themeFill="background1"/>
          </w:tcPr>
          <w:p w14:paraId="1F2C6D4B" w14:textId="77777777" w:rsidR="00C64A87" w:rsidRPr="008E0D97" w:rsidRDefault="00C64A87" w:rsidP="00AC6201">
            <w:pPr>
              <w:rPr>
                <w:rFonts w:ascii="Times New Roman" w:hAnsi="Times New Roman" w:cs="Times New Roman"/>
                <w:color w:val="000000" w:themeColor="text1"/>
              </w:rPr>
            </w:pPr>
            <w:r w:rsidRPr="008E0D97">
              <w:rPr>
                <w:rFonts w:ascii="Times New Roman" w:hAnsi="Times New Roman" w:cs="Times New Roman"/>
                <w:color w:val="000000" w:themeColor="text1"/>
              </w:rPr>
              <w:t>13%</w:t>
            </w:r>
          </w:p>
        </w:tc>
        <w:tc>
          <w:tcPr>
            <w:tcW w:w="725" w:type="dxa"/>
            <w:shd w:val="clear" w:color="auto" w:fill="FFFFFF" w:themeFill="background1"/>
          </w:tcPr>
          <w:p w14:paraId="066987ED" w14:textId="77777777" w:rsidR="00C64A87" w:rsidRPr="008E0D97" w:rsidRDefault="00C64A87" w:rsidP="00AC6201">
            <w:pPr>
              <w:rPr>
                <w:rFonts w:ascii="Times New Roman" w:hAnsi="Times New Roman" w:cs="Times New Roman"/>
                <w:color w:val="000000" w:themeColor="text1"/>
              </w:rPr>
            </w:pPr>
            <w:r w:rsidRPr="008E0D97">
              <w:rPr>
                <w:rFonts w:ascii="Times New Roman" w:hAnsi="Times New Roman" w:cs="Times New Roman"/>
                <w:color w:val="000000" w:themeColor="text1"/>
              </w:rPr>
              <w:t>27%</w:t>
            </w:r>
          </w:p>
        </w:tc>
        <w:tc>
          <w:tcPr>
            <w:tcW w:w="3923" w:type="dxa"/>
            <w:vMerge/>
            <w:shd w:val="clear" w:color="auto" w:fill="FFFFFF" w:themeFill="background1"/>
          </w:tcPr>
          <w:p w14:paraId="199052FC" w14:textId="77777777" w:rsidR="00C64A87" w:rsidRPr="008E0D97" w:rsidRDefault="00C64A87" w:rsidP="00AC6201">
            <w:pPr>
              <w:widowControl w:val="0"/>
              <w:pBdr>
                <w:top w:val="nil"/>
                <w:left w:val="nil"/>
                <w:bottom w:val="nil"/>
                <w:right w:val="nil"/>
                <w:between w:val="nil"/>
              </w:pBdr>
              <w:rPr>
                <w:rFonts w:ascii="Times New Roman" w:hAnsi="Times New Roman" w:cs="Times New Roman"/>
                <w:color w:val="000000" w:themeColor="text1"/>
              </w:rPr>
            </w:pPr>
          </w:p>
        </w:tc>
      </w:tr>
      <w:tr w:rsidR="00C64A87" w:rsidRPr="008E0D97" w14:paraId="0384409A" w14:textId="77777777" w:rsidTr="00FD0B07">
        <w:trPr>
          <w:trHeight w:val="362"/>
        </w:trPr>
        <w:tc>
          <w:tcPr>
            <w:tcW w:w="1768" w:type="dxa"/>
            <w:vMerge/>
            <w:shd w:val="clear" w:color="auto" w:fill="FFFFFF" w:themeFill="background1"/>
          </w:tcPr>
          <w:p w14:paraId="4A28EF59" w14:textId="77777777" w:rsidR="00C64A87" w:rsidRPr="008E0D97" w:rsidRDefault="00C64A87" w:rsidP="00AC6201">
            <w:pPr>
              <w:rPr>
                <w:rFonts w:ascii="Times New Roman" w:hAnsi="Times New Roman" w:cs="Times New Roman"/>
                <w:color w:val="000000" w:themeColor="text1"/>
              </w:rPr>
            </w:pPr>
          </w:p>
        </w:tc>
        <w:tc>
          <w:tcPr>
            <w:tcW w:w="765" w:type="dxa"/>
            <w:shd w:val="clear" w:color="auto" w:fill="FFFFFF" w:themeFill="background1"/>
          </w:tcPr>
          <w:p w14:paraId="1F72FCE1" w14:textId="77777777" w:rsidR="00C64A87" w:rsidRPr="008E0D97" w:rsidRDefault="00C64A87" w:rsidP="00AC6201">
            <w:pPr>
              <w:rPr>
                <w:rFonts w:ascii="Times New Roman" w:hAnsi="Times New Roman" w:cs="Times New Roman"/>
                <w:color w:val="000000" w:themeColor="text1"/>
              </w:rPr>
            </w:pPr>
            <w:r w:rsidRPr="008E0D97">
              <w:rPr>
                <w:rFonts w:ascii="Times New Roman" w:hAnsi="Times New Roman" w:cs="Times New Roman"/>
                <w:color w:val="000000" w:themeColor="text1"/>
              </w:rPr>
              <w:t>A1</w:t>
            </w:r>
          </w:p>
        </w:tc>
        <w:tc>
          <w:tcPr>
            <w:tcW w:w="1295" w:type="dxa"/>
            <w:shd w:val="clear" w:color="auto" w:fill="FFFFFF" w:themeFill="background1"/>
          </w:tcPr>
          <w:p w14:paraId="195C0B86" w14:textId="77777777" w:rsidR="00C64A87" w:rsidRPr="008E0D97" w:rsidRDefault="00C64A87" w:rsidP="00AC6201">
            <w:pPr>
              <w:rPr>
                <w:rFonts w:ascii="Times New Roman" w:hAnsi="Times New Roman" w:cs="Times New Roman"/>
                <w:color w:val="000000" w:themeColor="text1"/>
              </w:rPr>
            </w:pPr>
            <w:r w:rsidRPr="008E0D97">
              <w:rPr>
                <w:rFonts w:ascii="Times New Roman" w:hAnsi="Times New Roman" w:cs="Times New Roman"/>
                <w:color w:val="000000" w:themeColor="text1"/>
              </w:rPr>
              <w:t>9%</w:t>
            </w:r>
          </w:p>
        </w:tc>
        <w:tc>
          <w:tcPr>
            <w:tcW w:w="704" w:type="dxa"/>
            <w:shd w:val="clear" w:color="auto" w:fill="FFFFFF" w:themeFill="background1"/>
          </w:tcPr>
          <w:p w14:paraId="7B32C79A" w14:textId="77777777" w:rsidR="00C64A87" w:rsidRPr="008E0D97" w:rsidRDefault="00C64A87" w:rsidP="00AC6201">
            <w:pPr>
              <w:rPr>
                <w:rFonts w:ascii="Times New Roman" w:hAnsi="Times New Roman" w:cs="Times New Roman"/>
                <w:color w:val="000000" w:themeColor="text1"/>
              </w:rPr>
            </w:pPr>
            <w:r w:rsidRPr="008E0D97">
              <w:rPr>
                <w:rFonts w:ascii="Times New Roman" w:hAnsi="Times New Roman" w:cs="Times New Roman"/>
                <w:color w:val="000000" w:themeColor="text1"/>
              </w:rPr>
              <w:t>5%</w:t>
            </w:r>
          </w:p>
        </w:tc>
        <w:tc>
          <w:tcPr>
            <w:tcW w:w="725" w:type="dxa"/>
            <w:shd w:val="clear" w:color="auto" w:fill="FFFFFF" w:themeFill="background1"/>
          </w:tcPr>
          <w:p w14:paraId="66205A6D" w14:textId="77777777" w:rsidR="00C64A87" w:rsidRPr="008E0D97" w:rsidRDefault="00C64A87" w:rsidP="00AC6201">
            <w:pPr>
              <w:rPr>
                <w:rFonts w:ascii="Times New Roman" w:hAnsi="Times New Roman" w:cs="Times New Roman"/>
                <w:color w:val="000000" w:themeColor="text1"/>
              </w:rPr>
            </w:pPr>
            <w:r w:rsidRPr="008E0D97">
              <w:rPr>
                <w:rFonts w:ascii="Times New Roman" w:hAnsi="Times New Roman" w:cs="Times New Roman"/>
                <w:color w:val="000000" w:themeColor="text1"/>
              </w:rPr>
              <w:t>16%</w:t>
            </w:r>
          </w:p>
        </w:tc>
        <w:tc>
          <w:tcPr>
            <w:tcW w:w="3923" w:type="dxa"/>
            <w:vMerge/>
            <w:shd w:val="clear" w:color="auto" w:fill="FFFFFF" w:themeFill="background1"/>
          </w:tcPr>
          <w:p w14:paraId="0239EEA1" w14:textId="77777777" w:rsidR="00C64A87" w:rsidRPr="008E0D97" w:rsidRDefault="00C64A87" w:rsidP="00AC6201">
            <w:pPr>
              <w:widowControl w:val="0"/>
              <w:pBdr>
                <w:top w:val="nil"/>
                <w:left w:val="nil"/>
                <w:bottom w:val="nil"/>
                <w:right w:val="nil"/>
                <w:between w:val="nil"/>
              </w:pBdr>
              <w:rPr>
                <w:rFonts w:ascii="Times New Roman" w:hAnsi="Times New Roman" w:cs="Times New Roman"/>
                <w:color w:val="000000" w:themeColor="text1"/>
              </w:rPr>
            </w:pPr>
          </w:p>
        </w:tc>
      </w:tr>
      <w:tr w:rsidR="00C64A87" w:rsidRPr="008E0D97" w14:paraId="1683EFC3" w14:textId="77777777" w:rsidTr="00FD0B07">
        <w:trPr>
          <w:cnfStyle w:val="000000100000" w:firstRow="0" w:lastRow="0" w:firstColumn="0" w:lastColumn="0" w:oddVBand="0" w:evenVBand="0" w:oddHBand="1" w:evenHBand="0" w:firstRowFirstColumn="0" w:firstRowLastColumn="0" w:lastRowFirstColumn="0" w:lastRowLastColumn="0"/>
          <w:trHeight w:val="362"/>
        </w:trPr>
        <w:tc>
          <w:tcPr>
            <w:tcW w:w="1768" w:type="dxa"/>
            <w:vMerge w:val="restart"/>
            <w:shd w:val="clear" w:color="auto" w:fill="FFFFFF" w:themeFill="background1"/>
          </w:tcPr>
          <w:p w14:paraId="03AF0A93" w14:textId="77777777" w:rsidR="00C64A87" w:rsidRPr="008E0D97" w:rsidRDefault="00C64A87" w:rsidP="00AC6201">
            <w:pPr>
              <w:rPr>
                <w:rFonts w:ascii="Times New Roman" w:hAnsi="Times New Roman" w:cs="Times New Roman"/>
                <w:color w:val="000000" w:themeColor="text1"/>
              </w:rPr>
            </w:pPr>
          </w:p>
          <w:p w14:paraId="6D355D77" w14:textId="77777777" w:rsidR="00C64A87" w:rsidRPr="008E0D97" w:rsidRDefault="00C64A87" w:rsidP="00AC6201">
            <w:pPr>
              <w:rPr>
                <w:rFonts w:ascii="Times New Roman" w:hAnsi="Times New Roman" w:cs="Times New Roman"/>
                <w:color w:val="000000" w:themeColor="text1"/>
              </w:rPr>
            </w:pPr>
          </w:p>
          <w:p w14:paraId="334F9865" w14:textId="77777777" w:rsidR="00C64A87" w:rsidRPr="008E0D97" w:rsidRDefault="00C64A87" w:rsidP="00AC6201">
            <w:pPr>
              <w:rPr>
                <w:rFonts w:ascii="Times New Roman" w:hAnsi="Times New Roman" w:cs="Times New Roman"/>
                <w:color w:val="000000" w:themeColor="text1"/>
              </w:rPr>
            </w:pPr>
            <w:r w:rsidRPr="008E0D97">
              <w:rPr>
                <w:rFonts w:ascii="Times New Roman" w:hAnsi="Times New Roman" w:cs="Times New Roman"/>
                <w:color w:val="000000" w:themeColor="text1"/>
              </w:rPr>
              <w:t>12</w:t>
            </w:r>
          </w:p>
          <w:p w14:paraId="0F961883" w14:textId="77777777" w:rsidR="00C64A87" w:rsidRPr="008E0D97" w:rsidRDefault="00C64A87" w:rsidP="00AC6201">
            <w:pPr>
              <w:rPr>
                <w:rFonts w:ascii="Times New Roman" w:hAnsi="Times New Roman" w:cs="Times New Roman"/>
                <w:color w:val="000000" w:themeColor="text1"/>
              </w:rPr>
            </w:pPr>
            <w:r w:rsidRPr="008E0D97">
              <w:rPr>
                <w:rFonts w:ascii="Times New Roman" w:hAnsi="Times New Roman" w:cs="Times New Roman"/>
                <w:bCs/>
                <w:color w:val="000000" w:themeColor="text1"/>
              </w:rPr>
              <w:t>Information and Media Literacy</w:t>
            </w:r>
          </w:p>
        </w:tc>
        <w:tc>
          <w:tcPr>
            <w:tcW w:w="765" w:type="dxa"/>
            <w:shd w:val="clear" w:color="auto" w:fill="FFFFFF" w:themeFill="background1"/>
          </w:tcPr>
          <w:p w14:paraId="0C370773" w14:textId="77777777" w:rsidR="00C64A87" w:rsidRPr="008E0D97" w:rsidRDefault="00C64A87" w:rsidP="00AC6201">
            <w:pPr>
              <w:rPr>
                <w:rFonts w:ascii="Times New Roman" w:hAnsi="Times New Roman" w:cs="Times New Roman"/>
                <w:color w:val="000000" w:themeColor="text1"/>
              </w:rPr>
            </w:pPr>
            <w:r w:rsidRPr="008E0D97">
              <w:rPr>
                <w:rFonts w:ascii="Times New Roman" w:hAnsi="Times New Roman" w:cs="Times New Roman"/>
                <w:color w:val="000000" w:themeColor="text1"/>
              </w:rPr>
              <w:t>C1</w:t>
            </w:r>
          </w:p>
        </w:tc>
        <w:tc>
          <w:tcPr>
            <w:tcW w:w="1295" w:type="dxa"/>
            <w:shd w:val="clear" w:color="auto" w:fill="FFFFFF" w:themeFill="background1"/>
          </w:tcPr>
          <w:p w14:paraId="3625808C" w14:textId="77777777" w:rsidR="00C64A87" w:rsidRPr="008E0D97" w:rsidRDefault="00C64A87" w:rsidP="00AC6201">
            <w:pPr>
              <w:rPr>
                <w:rFonts w:ascii="Times New Roman" w:hAnsi="Times New Roman" w:cs="Times New Roman"/>
                <w:color w:val="000000" w:themeColor="text1"/>
              </w:rPr>
            </w:pPr>
            <w:r w:rsidRPr="008E0D97">
              <w:rPr>
                <w:rFonts w:ascii="Times New Roman" w:hAnsi="Times New Roman" w:cs="Times New Roman"/>
                <w:color w:val="000000" w:themeColor="text1"/>
              </w:rPr>
              <w:t>3%</w:t>
            </w:r>
          </w:p>
        </w:tc>
        <w:tc>
          <w:tcPr>
            <w:tcW w:w="704" w:type="dxa"/>
            <w:shd w:val="clear" w:color="auto" w:fill="FFFFFF" w:themeFill="background1"/>
          </w:tcPr>
          <w:p w14:paraId="57C1566C" w14:textId="77777777" w:rsidR="00C64A87" w:rsidRPr="008E0D97" w:rsidRDefault="00C64A87" w:rsidP="00AC6201">
            <w:pPr>
              <w:rPr>
                <w:rFonts w:ascii="Times New Roman" w:hAnsi="Times New Roman" w:cs="Times New Roman"/>
                <w:color w:val="000000" w:themeColor="text1"/>
              </w:rPr>
            </w:pPr>
            <w:r w:rsidRPr="008E0D97">
              <w:rPr>
                <w:rFonts w:ascii="Times New Roman" w:hAnsi="Times New Roman" w:cs="Times New Roman"/>
                <w:color w:val="000000" w:themeColor="text1"/>
              </w:rPr>
              <w:t>1%</w:t>
            </w:r>
          </w:p>
        </w:tc>
        <w:tc>
          <w:tcPr>
            <w:tcW w:w="725" w:type="dxa"/>
            <w:shd w:val="clear" w:color="auto" w:fill="FFFFFF" w:themeFill="background1"/>
          </w:tcPr>
          <w:p w14:paraId="2F1D45BA" w14:textId="77777777" w:rsidR="00C64A87" w:rsidRPr="008E0D97" w:rsidRDefault="00C64A87" w:rsidP="00AC6201">
            <w:pPr>
              <w:rPr>
                <w:rFonts w:ascii="Times New Roman" w:hAnsi="Times New Roman" w:cs="Times New Roman"/>
                <w:color w:val="000000" w:themeColor="text1"/>
              </w:rPr>
            </w:pPr>
            <w:r w:rsidRPr="008E0D97">
              <w:rPr>
                <w:rFonts w:ascii="Times New Roman" w:hAnsi="Times New Roman" w:cs="Times New Roman"/>
                <w:color w:val="000000" w:themeColor="text1"/>
              </w:rPr>
              <w:t>7%</w:t>
            </w:r>
          </w:p>
        </w:tc>
        <w:tc>
          <w:tcPr>
            <w:tcW w:w="3923" w:type="dxa"/>
            <w:vMerge w:val="restart"/>
            <w:shd w:val="clear" w:color="auto" w:fill="FFFFFF" w:themeFill="background1"/>
          </w:tcPr>
          <w:p w14:paraId="1108B7E8" w14:textId="77777777" w:rsidR="00C64A87" w:rsidRPr="008E0D97" w:rsidRDefault="00C64A87" w:rsidP="00AC6201">
            <w:pPr>
              <w:widowControl w:val="0"/>
              <w:pBdr>
                <w:top w:val="nil"/>
                <w:left w:val="nil"/>
                <w:bottom w:val="nil"/>
                <w:right w:val="nil"/>
                <w:between w:val="nil"/>
              </w:pBdr>
              <w:rPr>
                <w:rFonts w:ascii="Times New Roman" w:hAnsi="Times New Roman" w:cs="Times New Roman"/>
                <w:color w:val="000000" w:themeColor="text1"/>
              </w:rPr>
            </w:pPr>
            <w:r w:rsidRPr="008E0D97">
              <w:rPr>
                <w:noProof/>
                <w:color w:val="000000" w:themeColor="text1"/>
                <w:lang w:val="es-CO" w:eastAsia="es-CO"/>
              </w:rPr>
              <w:drawing>
                <wp:inline distT="0" distB="0" distL="0" distR="0" wp14:anchorId="712E62CE" wp14:editId="283CB406">
                  <wp:extent cx="2409825" cy="989167"/>
                  <wp:effectExtent l="0" t="0" r="0" b="1905"/>
                  <wp:docPr id="86" name="image21.png"/>
                  <wp:cNvGraphicFramePr/>
                  <a:graphic xmlns:a="http://schemas.openxmlformats.org/drawingml/2006/main">
                    <a:graphicData uri="http://schemas.openxmlformats.org/drawingml/2006/picture">
                      <pic:pic xmlns:pic="http://schemas.openxmlformats.org/drawingml/2006/picture">
                        <pic:nvPicPr>
                          <pic:cNvPr id="86" name="image21.png"/>
                          <pic:cNvPicPr/>
                        </pic:nvPicPr>
                        <pic:blipFill>
                          <a:blip r:embed="rId10"/>
                          <a:stretch>
                            <a:fillRect/>
                          </a:stretch>
                        </pic:blipFill>
                        <pic:spPr>
                          <a:xfrm>
                            <a:off x="0" y="0"/>
                            <a:ext cx="2423052" cy="994596"/>
                          </a:xfrm>
                          <a:prstGeom prst="rect">
                            <a:avLst/>
                          </a:prstGeom>
                        </pic:spPr>
                      </pic:pic>
                    </a:graphicData>
                  </a:graphic>
                </wp:inline>
              </w:drawing>
            </w:r>
          </w:p>
        </w:tc>
      </w:tr>
      <w:tr w:rsidR="00C64A87" w:rsidRPr="008E0D97" w14:paraId="233FB024" w14:textId="77777777" w:rsidTr="00FD0B07">
        <w:trPr>
          <w:trHeight w:val="362"/>
        </w:trPr>
        <w:tc>
          <w:tcPr>
            <w:tcW w:w="1768" w:type="dxa"/>
            <w:vMerge/>
          </w:tcPr>
          <w:p w14:paraId="5E91D352" w14:textId="77777777" w:rsidR="00C64A87" w:rsidRPr="008E0D97" w:rsidRDefault="00C64A87" w:rsidP="00AC6201">
            <w:pPr>
              <w:rPr>
                <w:rFonts w:ascii="Times New Roman" w:hAnsi="Times New Roman" w:cs="Times New Roman"/>
                <w:color w:val="000000" w:themeColor="text1"/>
              </w:rPr>
            </w:pPr>
          </w:p>
        </w:tc>
        <w:tc>
          <w:tcPr>
            <w:tcW w:w="765" w:type="dxa"/>
            <w:tcBorders>
              <w:bottom w:val="single" w:sz="2" w:space="0" w:color="000000" w:themeColor="text1"/>
            </w:tcBorders>
          </w:tcPr>
          <w:p w14:paraId="1B64D592" w14:textId="77777777" w:rsidR="00C64A87" w:rsidRPr="008E0D97" w:rsidRDefault="00C64A87" w:rsidP="00AC6201">
            <w:pPr>
              <w:rPr>
                <w:rFonts w:ascii="Times New Roman" w:hAnsi="Times New Roman" w:cs="Times New Roman"/>
                <w:color w:val="000000" w:themeColor="text1"/>
              </w:rPr>
            </w:pPr>
            <w:r w:rsidRPr="008E0D97">
              <w:rPr>
                <w:rFonts w:ascii="Times New Roman" w:hAnsi="Times New Roman" w:cs="Times New Roman"/>
                <w:color w:val="000000" w:themeColor="text1"/>
              </w:rPr>
              <w:t>B2</w:t>
            </w:r>
          </w:p>
        </w:tc>
        <w:tc>
          <w:tcPr>
            <w:tcW w:w="1295" w:type="dxa"/>
            <w:tcBorders>
              <w:bottom w:val="single" w:sz="2" w:space="0" w:color="000000" w:themeColor="text1"/>
            </w:tcBorders>
          </w:tcPr>
          <w:p w14:paraId="06620148" w14:textId="77777777" w:rsidR="00C64A87" w:rsidRPr="008E0D97" w:rsidRDefault="00C64A87" w:rsidP="00AC6201">
            <w:pPr>
              <w:rPr>
                <w:rFonts w:ascii="Times New Roman" w:hAnsi="Times New Roman" w:cs="Times New Roman"/>
                <w:color w:val="000000" w:themeColor="text1"/>
              </w:rPr>
            </w:pPr>
            <w:r w:rsidRPr="008E0D97">
              <w:rPr>
                <w:rFonts w:ascii="Times New Roman" w:hAnsi="Times New Roman" w:cs="Times New Roman"/>
                <w:color w:val="000000" w:themeColor="text1"/>
              </w:rPr>
              <w:t>18%</w:t>
            </w:r>
          </w:p>
        </w:tc>
        <w:tc>
          <w:tcPr>
            <w:tcW w:w="704" w:type="dxa"/>
            <w:tcBorders>
              <w:bottom w:val="single" w:sz="2" w:space="0" w:color="000000" w:themeColor="text1"/>
            </w:tcBorders>
          </w:tcPr>
          <w:p w14:paraId="78D7E651" w14:textId="77777777" w:rsidR="00C64A87" w:rsidRPr="008E0D97" w:rsidRDefault="00C64A87" w:rsidP="00AC6201">
            <w:pPr>
              <w:rPr>
                <w:rFonts w:ascii="Times New Roman" w:hAnsi="Times New Roman" w:cs="Times New Roman"/>
                <w:color w:val="000000" w:themeColor="text1"/>
              </w:rPr>
            </w:pPr>
            <w:r w:rsidRPr="008E0D97">
              <w:rPr>
                <w:rFonts w:ascii="Times New Roman" w:hAnsi="Times New Roman" w:cs="Times New Roman"/>
                <w:color w:val="000000" w:themeColor="text1"/>
              </w:rPr>
              <w:t>12%</w:t>
            </w:r>
          </w:p>
        </w:tc>
        <w:tc>
          <w:tcPr>
            <w:tcW w:w="725" w:type="dxa"/>
            <w:tcBorders>
              <w:bottom w:val="single" w:sz="2" w:space="0" w:color="000000" w:themeColor="text1"/>
            </w:tcBorders>
          </w:tcPr>
          <w:p w14:paraId="0DABB65A" w14:textId="77777777" w:rsidR="00C64A87" w:rsidRPr="008E0D97" w:rsidRDefault="00C64A87" w:rsidP="00AC6201">
            <w:pPr>
              <w:rPr>
                <w:rFonts w:ascii="Times New Roman" w:hAnsi="Times New Roman" w:cs="Times New Roman"/>
                <w:color w:val="000000" w:themeColor="text1"/>
              </w:rPr>
            </w:pPr>
            <w:r w:rsidRPr="008E0D97">
              <w:rPr>
                <w:rFonts w:ascii="Times New Roman" w:hAnsi="Times New Roman" w:cs="Times New Roman"/>
                <w:color w:val="000000" w:themeColor="text1"/>
              </w:rPr>
              <w:t>25%</w:t>
            </w:r>
          </w:p>
        </w:tc>
        <w:tc>
          <w:tcPr>
            <w:tcW w:w="3923" w:type="dxa"/>
            <w:vMerge/>
          </w:tcPr>
          <w:p w14:paraId="0F7F572A" w14:textId="77777777" w:rsidR="00C64A87" w:rsidRPr="008E0D97" w:rsidRDefault="00C64A87" w:rsidP="00AC6201">
            <w:pPr>
              <w:widowControl w:val="0"/>
              <w:pBdr>
                <w:top w:val="nil"/>
                <w:left w:val="nil"/>
                <w:bottom w:val="nil"/>
                <w:right w:val="nil"/>
                <w:between w:val="nil"/>
              </w:pBdr>
              <w:rPr>
                <w:rFonts w:ascii="Times New Roman" w:hAnsi="Times New Roman" w:cs="Times New Roman"/>
                <w:color w:val="000000" w:themeColor="text1"/>
              </w:rPr>
            </w:pPr>
          </w:p>
        </w:tc>
      </w:tr>
      <w:tr w:rsidR="00C64A87" w:rsidRPr="008E0D97" w14:paraId="03EAA5C9" w14:textId="77777777" w:rsidTr="00FD0B07">
        <w:trPr>
          <w:cnfStyle w:val="000000100000" w:firstRow="0" w:lastRow="0" w:firstColumn="0" w:lastColumn="0" w:oddVBand="0" w:evenVBand="0" w:oddHBand="1" w:evenHBand="0" w:firstRowFirstColumn="0" w:firstRowLastColumn="0" w:lastRowFirstColumn="0" w:lastRowLastColumn="0"/>
          <w:trHeight w:val="362"/>
        </w:trPr>
        <w:tc>
          <w:tcPr>
            <w:tcW w:w="1768" w:type="dxa"/>
            <w:vMerge/>
          </w:tcPr>
          <w:p w14:paraId="5D550C4C" w14:textId="77777777" w:rsidR="00C64A87" w:rsidRPr="008E0D97" w:rsidRDefault="00C64A87" w:rsidP="00AC6201">
            <w:pPr>
              <w:rPr>
                <w:rFonts w:ascii="Times New Roman" w:hAnsi="Times New Roman" w:cs="Times New Roman"/>
                <w:color w:val="000000" w:themeColor="text1"/>
              </w:rPr>
            </w:pPr>
          </w:p>
        </w:tc>
        <w:tc>
          <w:tcPr>
            <w:tcW w:w="765" w:type="dxa"/>
            <w:shd w:val="clear" w:color="auto" w:fill="FFFFFF" w:themeFill="background1"/>
          </w:tcPr>
          <w:p w14:paraId="22C5BACB" w14:textId="77777777" w:rsidR="00C64A87" w:rsidRPr="008E0D97" w:rsidRDefault="00C64A87" w:rsidP="00AC6201">
            <w:pPr>
              <w:rPr>
                <w:rFonts w:ascii="Times New Roman" w:hAnsi="Times New Roman" w:cs="Times New Roman"/>
                <w:color w:val="000000" w:themeColor="text1"/>
              </w:rPr>
            </w:pPr>
            <w:r w:rsidRPr="008E0D97">
              <w:rPr>
                <w:rFonts w:ascii="Times New Roman" w:hAnsi="Times New Roman" w:cs="Times New Roman"/>
                <w:color w:val="000000" w:themeColor="text1"/>
              </w:rPr>
              <w:t>B1</w:t>
            </w:r>
          </w:p>
        </w:tc>
        <w:tc>
          <w:tcPr>
            <w:tcW w:w="1295" w:type="dxa"/>
            <w:shd w:val="clear" w:color="auto" w:fill="FFFFFF" w:themeFill="background1"/>
          </w:tcPr>
          <w:p w14:paraId="169BC8E7" w14:textId="77777777" w:rsidR="00C64A87" w:rsidRPr="008E0D97" w:rsidRDefault="00C64A87" w:rsidP="00AC6201">
            <w:pPr>
              <w:rPr>
                <w:rFonts w:ascii="Times New Roman" w:hAnsi="Times New Roman" w:cs="Times New Roman"/>
                <w:color w:val="000000" w:themeColor="text1"/>
              </w:rPr>
            </w:pPr>
            <w:r w:rsidRPr="008E0D97">
              <w:rPr>
                <w:rFonts w:ascii="Times New Roman" w:hAnsi="Times New Roman" w:cs="Times New Roman"/>
                <w:color w:val="000000" w:themeColor="text1"/>
              </w:rPr>
              <w:t>28%</w:t>
            </w:r>
          </w:p>
        </w:tc>
        <w:tc>
          <w:tcPr>
            <w:tcW w:w="704" w:type="dxa"/>
            <w:shd w:val="clear" w:color="auto" w:fill="FFFFFF" w:themeFill="background1"/>
          </w:tcPr>
          <w:p w14:paraId="71770082" w14:textId="77777777" w:rsidR="00C64A87" w:rsidRPr="008E0D97" w:rsidRDefault="00C64A87" w:rsidP="00AC6201">
            <w:pPr>
              <w:rPr>
                <w:rFonts w:ascii="Times New Roman" w:hAnsi="Times New Roman" w:cs="Times New Roman"/>
                <w:color w:val="000000" w:themeColor="text1"/>
              </w:rPr>
            </w:pPr>
            <w:r w:rsidRPr="008E0D97">
              <w:rPr>
                <w:rFonts w:ascii="Times New Roman" w:hAnsi="Times New Roman" w:cs="Times New Roman"/>
                <w:color w:val="000000" w:themeColor="text1"/>
              </w:rPr>
              <w:t>21%</w:t>
            </w:r>
          </w:p>
        </w:tc>
        <w:tc>
          <w:tcPr>
            <w:tcW w:w="725" w:type="dxa"/>
            <w:shd w:val="clear" w:color="auto" w:fill="FFFFFF" w:themeFill="background1"/>
          </w:tcPr>
          <w:p w14:paraId="7D5B7D13" w14:textId="77777777" w:rsidR="00C64A87" w:rsidRPr="008E0D97" w:rsidRDefault="00C64A87" w:rsidP="00AC6201">
            <w:pPr>
              <w:rPr>
                <w:rFonts w:ascii="Times New Roman" w:hAnsi="Times New Roman" w:cs="Times New Roman"/>
                <w:color w:val="000000" w:themeColor="text1"/>
              </w:rPr>
            </w:pPr>
            <w:r w:rsidRPr="008E0D97">
              <w:rPr>
                <w:rFonts w:ascii="Times New Roman" w:hAnsi="Times New Roman" w:cs="Times New Roman"/>
                <w:color w:val="000000" w:themeColor="text1"/>
              </w:rPr>
              <w:t>37%</w:t>
            </w:r>
          </w:p>
        </w:tc>
        <w:tc>
          <w:tcPr>
            <w:tcW w:w="3923" w:type="dxa"/>
            <w:vMerge/>
          </w:tcPr>
          <w:p w14:paraId="39DA39DD" w14:textId="77777777" w:rsidR="00C64A87" w:rsidRPr="008E0D97" w:rsidRDefault="00C64A87" w:rsidP="00AC6201">
            <w:pPr>
              <w:widowControl w:val="0"/>
              <w:pBdr>
                <w:top w:val="nil"/>
                <w:left w:val="nil"/>
                <w:bottom w:val="nil"/>
                <w:right w:val="nil"/>
                <w:between w:val="nil"/>
              </w:pBdr>
              <w:rPr>
                <w:rFonts w:ascii="Times New Roman" w:hAnsi="Times New Roman" w:cs="Times New Roman"/>
                <w:color w:val="000000" w:themeColor="text1"/>
              </w:rPr>
            </w:pPr>
          </w:p>
        </w:tc>
      </w:tr>
      <w:tr w:rsidR="00C64A87" w:rsidRPr="008E0D97" w14:paraId="0B9D0E92" w14:textId="77777777" w:rsidTr="00FD0B07">
        <w:trPr>
          <w:trHeight w:val="362"/>
        </w:trPr>
        <w:tc>
          <w:tcPr>
            <w:tcW w:w="1768" w:type="dxa"/>
            <w:vMerge/>
          </w:tcPr>
          <w:p w14:paraId="5BE6C2F8" w14:textId="77777777" w:rsidR="00C64A87" w:rsidRPr="008E0D97" w:rsidRDefault="00C64A87" w:rsidP="00AC6201">
            <w:pPr>
              <w:rPr>
                <w:rFonts w:ascii="Times New Roman" w:hAnsi="Times New Roman" w:cs="Times New Roman"/>
                <w:color w:val="000000" w:themeColor="text1"/>
              </w:rPr>
            </w:pPr>
          </w:p>
        </w:tc>
        <w:tc>
          <w:tcPr>
            <w:tcW w:w="765" w:type="dxa"/>
            <w:shd w:val="clear" w:color="auto" w:fill="FFFFFF" w:themeFill="background1"/>
          </w:tcPr>
          <w:p w14:paraId="3ED291B7" w14:textId="77777777" w:rsidR="00C64A87" w:rsidRPr="008E0D97" w:rsidRDefault="00C64A87" w:rsidP="00AC6201">
            <w:pPr>
              <w:rPr>
                <w:rFonts w:ascii="Times New Roman" w:hAnsi="Times New Roman" w:cs="Times New Roman"/>
                <w:color w:val="000000" w:themeColor="text1"/>
              </w:rPr>
            </w:pPr>
            <w:r w:rsidRPr="008E0D97">
              <w:rPr>
                <w:rFonts w:ascii="Times New Roman" w:hAnsi="Times New Roman" w:cs="Times New Roman"/>
                <w:color w:val="000000" w:themeColor="text1"/>
              </w:rPr>
              <w:t>A2</w:t>
            </w:r>
          </w:p>
        </w:tc>
        <w:tc>
          <w:tcPr>
            <w:tcW w:w="1295" w:type="dxa"/>
            <w:shd w:val="clear" w:color="auto" w:fill="FFFFFF" w:themeFill="background1"/>
          </w:tcPr>
          <w:p w14:paraId="2F2CE95B" w14:textId="77777777" w:rsidR="00C64A87" w:rsidRPr="008E0D97" w:rsidRDefault="00C64A87" w:rsidP="00AC6201">
            <w:pPr>
              <w:rPr>
                <w:rFonts w:ascii="Times New Roman" w:hAnsi="Times New Roman" w:cs="Times New Roman"/>
                <w:color w:val="000000" w:themeColor="text1"/>
              </w:rPr>
            </w:pPr>
            <w:r w:rsidRPr="008E0D97">
              <w:rPr>
                <w:rFonts w:ascii="Times New Roman" w:hAnsi="Times New Roman" w:cs="Times New Roman"/>
                <w:color w:val="000000" w:themeColor="text1"/>
              </w:rPr>
              <w:t>42%</w:t>
            </w:r>
          </w:p>
        </w:tc>
        <w:tc>
          <w:tcPr>
            <w:tcW w:w="704" w:type="dxa"/>
            <w:shd w:val="clear" w:color="auto" w:fill="FFFFFF" w:themeFill="background1"/>
          </w:tcPr>
          <w:p w14:paraId="690113A9" w14:textId="77777777" w:rsidR="00C64A87" w:rsidRPr="008E0D97" w:rsidRDefault="00C64A87" w:rsidP="00AC6201">
            <w:pPr>
              <w:rPr>
                <w:rFonts w:ascii="Times New Roman" w:hAnsi="Times New Roman" w:cs="Times New Roman"/>
                <w:color w:val="000000" w:themeColor="text1"/>
              </w:rPr>
            </w:pPr>
            <w:r w:rsidRPr="008E0D97">
              <w:rPr>
                <w:rFonts w:ascii="Times New Roman" w:hAnsi="Times New Roman" w:cs="Times New Roman"/>
                <w:color w:val="000000" w:themeColor="text1"/>
              </w:rPr>
              <w:t>33%</w:t>
            </w:r>
          </w:p>
        </w:tc>
        <w:tc>
          <w:tcPr>
            <w:tcW w:w="725" w:type="dxa"/>
            <w:shd w:val="clear" w:color="auto" w:fill="FFFFFF" w:themeFill="background1"/>
          </w:tcPr>
          <w:p w14:paraId="695C1ECC" w14:textId="77777777" w:rsidR="00C64A87" w:rsidRPr="008E0D97" w:rsidRDefault="00C64A87" w:rsidP="00AC6201">
            <w:pPr>
              <w:rPr>
                <w:rFonts w:ascii="Times New Roman" w:hAnsi="Times New Roman" w:cs="Times New Roman"/>
                <w:color w:val="000000" w:themeColor="text1"/>
              </w:rPr>
            </w:pPr>
            <w:r w:rsidRPr="008E0D97">
              <w:rPr>
                <w:rFonts w:ascii="Times New Roman" w:hAnsi="Times New Roman" w:cs="Times New Roman"/>
                <w:color w:val="000000" w:themeColor="text1"/>
              </w:rPr>
              <w:t>51%</w:t>
            </w:r>
          </w:p>
        </w:tc>
        <w:tc>
          <w:tcPr>
            <w:tcW w:w="3923" w:type="dxa"/>
            <w:vMerge/>
          </w:tcPr>
          <w:p w14:paraId="0E16613D" w14:textId="77777777" w:rsidR="00C64A87" w:rsidRPr="008E0D97" w:rsidRDefault="00C64A87" w:rsidP="00AC6201">
            <w:pPr>
              <w:widowControl w:val="0"/>
              <w:pBdr>
                <w:top w:val="nil"/>
                <w:left w:val="nil"/>
                <w:bottom w:val="nil"/>
                <w:right w:val="nil"/>
                <w:between w:val="nil"/>
              </w:pBdr>
              <w:rPr>
                <w:rFonts w:ascii="Times New Roman" w:hAnsi="Times New Roman" w:cs="Times New Roman"/>
                <w:color w:val="000000" w:themeColor="text1"/>
              </w:rPr>
            </w:pPr>
          </w:p>
        </w:tc>
      </w:tr>
      <w:tr w:rsidR="00C64A87" w:rsidRPr="008E0D97" w14:paraId="73BB7501" w14:textId="77777777" w:rsidTr="00FD0B07">
        <w:trPr>
          <w:cnfStyle w:val="000000100000" w:firstRow="0" w:lastRow="0" w:firstColumn="0" w:lastColumn="0" w:oddVBand="0" w:evenVBand="0" w:oddHBand="1" w:evenHBand="0" w:firstRowFirstColumn="0" w:firstRowLastColumn="0" w:lastRowFirstColumn="0" w:lastRowLastColumn="0"/>
          <w:trHeight w:val="362"/>
        </w:trPr>
        <w:tc>
          <w:tcPr>
            <w:tcW w:w="1768" w:type="dxa"/>
            <w:vMerge/>
          </w:tcPr>
          <w:p w14:paraId="2344AD5D" w14:textId="77777777" w:rsidR="00C64A87" w:rsidRPr="008E0D97" w:rsidRDefault="00C64A87" w:rsidP="00AC6201">
            <w:pPr>
              <w:rPr>
                <w:rFonts w:ascii="Times New Roman" w:hAnsi="Times New Roman" w:cs="Times New Roman"/>
                <w:color w:val="000000" w:themeColor="text1"/>
              </w:rPr>
            </w:pPr>
          </w:p>
        </w:tc>
        <w:tc>
          <w:tcPr>
            <w:tcW w:w="765" w:type="dxa"/>
            <w:shd w:val="clear" w:color="auto" w:fill="FFFFFF" w:themeFill="background1"/>
          </w:tcPr>
          <w:p w14:paraId="1CBB96B7" w14:textId="77777777" w:rsidR="00C64A87" w:rsidRPr="008E0D97" w:rsidRDefault="00C64A87" w:rsidP="00AC6201">
            <w:pPr>
              <w:rPr>
                <w:rFonts w:ascii="Times New Roman" w:hAnsi="Times New Roman" w:cs="Times New Roman"/>
                <w:color w:val="000000" w:themeColor="text1"/>
              </w:rPr>
            </w:pPr>
            <w:r w:rsidRPr="008E0D97">
              <w:rPr>
                <w:rFonts w:ascii="Times New Roman" w:hAnsi="Times New Roman" w:cs="Times New Roman"/>
                <w:color w:val="000000" w:themeColor="text1"/>
              </w:rPr>
              <w:t>A1</w:t>
            </w:r>
          </w:p>
        </w:tc>
        <w:tc>
          <w:tcPr>
            <w:tcW w:w="1295" w:type="dxa"/>
            <w:shd w:val="clear" w:color="auto" w:fill="FFFFFF" w:themeFill="background1"/>
          </w:tcPr>
          <w:p w14:paraId="63919A5C" w14:textId="77777777" w:rsidR="00C64A87" w:rsidRPr="008E0D97" w:rsidRDefault="00C64A87" w:rsidP="00AC6201">
            <w:pPr>
              <w:rPr>
                <w:rFonts w:ascii="Times New Roman" w:hAnsi="Times New Roman" w:cs="Times New Roman"/>
                <w:color w:val="000000" w:themeColor="text1"/>
              </w:rPr>
            </w:pPr>
            <w:r w:rsidRPr="008E0D97">
              <w:rPr>
                <w:rFonts w:ascii="Times New Roman" w:hAnsi="Times New Roman" w:cs="Times New Roman"/>
                <w:color w:val="000000" w:themeColor="text1"/>
              </w:rPr>
              <w:t>9%</w:t>
            </w:r>
          </w:p>
        </w:tc>
        <w:tc>
          <w:tcPr>
            <w:tcW w:w="704" w:type="dxa"/>
            <w:shd w:val="clear" w:color="auto" w:fill="FFFFFF" w:themeFill="background1"/>
          </w:tcPr>
          <w:p w14:paraId="63DB97E2" w14:textId="77777777" w:rsidR="00C64A87" w:rsidRPr="008E0D97" w:rsidRDefault="00C64A87" w:rsidP="00AC6201">
            <w:pPr>
              <w:rPr>
                <w:rFonts w:ascii="Times New Roman" w:hAnsi="Times New Roman" w:cs="Times New Roman"/>
                <w:color w:val="000000" w:themeColor="text1"/>
              </w:rPr>
            </w:pPr>
            <w:r w:rsidRPr="008E0D97">
              <w:rPr>
                <w:rFonts w:ascii="Times New Roman" w:hAnsi="Times New Roman" w:cs="Times New Roman"/>
                <w:color w:val="000000" w:themeColor="text1"/>
              </w:rPr>
              <w:t>5%</w:t>
            </w:r>
          </w:p>
        </w:tc>
        <w:tc>
          <w:tcPr>
            <w:tcW w:w="725" w:type="dxa"/>
            <w:shd w:val="clear" w:color="auto" w:fill="FFFFFF" w:themeFill="background1"/>
          </w:tcPr>
          <w:p w14:paraId="7A5E987B" w14:textId="77777777" w:rsidR="00C64A87" w:rsidRPr="008E0D97" w:rsidRDefault="00C64A87" w:rsidP="00AC6201">
            <w:pPr>
              <w:rPr>
                <w:rFonts w:ascii="Times New Roman" w:hAnsi="Times New Roman" w:cs="Times New Roman"/>
                <w:color w:val="000000" w:themeColor="text1"/>
              </w:rPr>
            </w:pPr>
            <w:r w:rsidRPr="008E0D97">
              <w:rPr>
                <w:rFonts w:ascii="Times New Roman" w:hAnsi="Times New Roman" w:cs="Times New Roman"/>
                <w:color w:val="000000" w:themeColor="text1"/>
              </w:rPr>
              <w:t>16%</w:t>
            </w:r>
          </w:p>
        </w:tc>
        <w:tc>
          <w:tcPr>
            <w:tcW w:w="3923" w:type="dxa"/>
            <w:vMerge/>
          </w:tcPr>
          <w:p w14:paraId="1A0CAFA8" w14:textId="77777777" w:rsidR="00C64A87" w:rsidRPr="008E0D97" w:rsidRDefault="00C64A87" w:rsidP="00AC6201">
            <w:pPr>
              <w:widowControl w:val="0"/>
              <w:pBdr>
                <w:top w:val="nil"/>
                <w:left w:val="nil"/>
                <w:bottom w:val="nil"/>
                <w:right w:val="nil"/>
                <w:between w:val="nil"/>
              </w:pBdr>
              <w:rPr>
                <w:rFonts w:ascii="Times New Roman" w:hAnsi="Times New Roman" w:cs="Times New Roman"/>
                <w:color w:val="000000" w:themeColor="text1"/>
              </w:rPr>
            </w:pPr>
          </w:p>
        </w:tc>
      </w:tr>
    </w:tbl>
    <w:p w14:paraId="103DF570" w14:textId="77777777" w:rsidR="001C0FCC" w:rsidRPr="008E0D97" w:rsidRDefault="001C0FCC" w:rsidP="00AC6201">
      <w:pPr>
        <w:pBdr>
          <w:top w:val="nil"/>
          <w:left w:val="nil"/>
          <w:bottom w:val="nil"/>
          <w:right w:val="nil"/>
          <w:between w:val="nil"/>
        </w:pBdr>
        <w:rPr>
          <w:color w:val="000000" w:themeColor="text1"/>
        </w:rPr>
      </w:pPr>
    </w:p>
    <w:p w14:paraId="6DC77DE8" w14:textId="06F215E0" w:rsidR="00C64A87" w:rsidRPr="008E0D97" w:rsidRDefault="00C64A87" w:rsidP="00AC6201">
      <w:pPr>
        <w:pStyle w:val="Paragraph"/>
      </w:pPr>
      <w:r w:rsidRPr="008E0D97">
        <w:t xml:space="preserve">In this analysis of the 13 surveyed competencies, it is also relevant to highlight that the items with the highest proportion of answers were related to collaborative learning competence (45%) and creation and modification competence (44%), where teachers recognize that their students use digital technologies during teamwork and that teachers create their digital resources and modify and adapt the existing ones; however, it is necessary to take teachers to use online collaborative spaces, such as LMS platforms, blogs or wikis, to exchange and build knowledge, and design and adjust advanced interactive assets. </w:t>
      </w:r>
    </w:p>
    <w:p w14:paraId="19361103" w14:textId="77777777" w:rsidR="00C64A87" w:rsidRPr="008E0D97" w:rsidRDefault="00C64A87" w:rsidP="00AC6201">
      <w:pPr>
        <w:pStyle w:val="Paragraph"/>
      </w:pPr>
      <w:r w:rsidRPr="008E0D97">
        <w:lastRenderedPageBreak/>
        <w:t>On the other side, the items with the lowest proportion of answers in this analysis of competencies (the ones where A1 option was the lowest) were Selection (0%), Assessment Strategies (1%), and Feedback and Planification (1%), which indicates that teachers are genuinely using the Internet to look for digital resources, they keep track of student's learning progress and consider that feedback is necessary for the learning process.</w:t>
      </w:r>
    </w:p>
    <w:p w14:paraId="4A3770F0" w14:textId="77777777" w:rsidR="00C64A87" w:rsidRPr="008E0D97" w:rsidRDefault="00C64A87" w:rsidP="00AC6201">
      <w:pPr>
        <w:pStyle w:val="Ttulo2"/>
        <w:spacing w:line="480" w:lineRule="auto"/>
      </w:pPr>
      <w:r w:rsidRPr="008E0D97">
        <w:t>Which area do teachers feel they are strong in?</w:t>
      </w:r>
    </w:p>
    <w:p w14:paraId="4BF480A7" w14:textId="77777777" w:rsidR="00C64A87" w:rsidRPr="008E0D97" w:rsidRDefault="00C64A87" w:rsidP="00AC6201">
      <w:pPr>
        <w:rPr>
          <w:color w:val="000000" w:themeColor="text1"/>
        </w:rPr>
      </w:pPr>
      <w:r w:rsidRPr="008E0D97">
        <w:rPr>
          <w:color w:val="000000" w:themeColor="text1"/>
        </w:rPr>
        <w:t>Sub question: Which is the competence in each area teachers feel stronger/weaker?</w:t>
      </w:r>
    </w:p>
    <w:p w14:paraId="7DF85BDC" w14:textId="77777777" w:rsidR="00C64A87" w:rsidRPr="008E0D97" w:rsidRDefault="00C64A87" w:rsidP="00AC6201">
      <w:pPr>
        <w:pStyle w:val="Newparagraph"/>
        <w:rPr>
          <w:lang w:val="en-US"/>
        </w:rPr>
      </w:pPr>
      <w:r w:rsidRPr="008E0D97">
        <w:rPr>
          <w:lang w:val="en-US"/>
        </w:rPr>
        <w:t>The comparison of areas was carried out using the Kruskal-Wallis Test. As differences among the competencies inside each area were found, the Wilcoxon rank-sum test was applied to precise these differences. Table 2 presents the results of descriptive statistics per area, table 3 makes comparisons among the areas through, and Table 4 makes the exact comparisons.</w:t>
      </w:r>
    </w:p>
    <w:p w14:paraId="3BE8F4EB" w14:textId="77777777" w:rsidR="00C64A87" w:rsidRPr="008E0D97" w:rsidRDefault="00C64A87" w:rsidP="00AC6201">
      <w:pPr>
        <w:pStyle w:val="Tabletitle"/>
        <w:spacing w:line="480" w:lineRule="auto"/>
        <w:rPr>
          <w:lang w:val="en-US"/>
        </w:rPr>
      </w:pPr>
      <w:r w:rsidRPr="008E0D97">
        <w:rPr>
          <w:lang w:val="en-US"/>
        </w:rPr>
        <w:t>Table 2. Results of Descriptive Statistics per Area</w:t>
      </w:r>
    </w:p>
    <w:tbl>
      <w:tblPr>
        <w:tblStyle w:val="Tabladecuadrcula21"/>
        <w:tblW w:w="9747" w:type="dxa"/>
        <w:tblBorders>
          <w:top w:val="single" w:sz="2" w:space="0" w:color="000000" w:themeColor="text1"/>
          <w:bottom w:val="single" w:sz="2" w:space="0" w:color="000000" w:themeColor="text1"/>
          <w:insideH w:val="single" w:sz="2" w:space="0" w:color="000000" w:themeColor="text1"/>
          <w:insideV w:val="none" w:sz="0" w:space="0" w:color="auto"/>
        </w:tblBorders>
        <w:tblLayout w:type="fixed"/>
        <w:tblLook w:val="0400" w:firstRow="0" w:lastRow="0" w:firstColumn="0" w:lastColumn="0" w:noHBand="0" w:noVBand="1"/>
      </w:tblPr>
      <w:tblGrid>
        <w:gridCol w:w="1620"/>
        <w:gridCol w:w="1795"/>
        <w:gridCol w:w="1005"/>
        <w:gridCol w:w="1548"/>
        <w:gridCol w:w="1268"/>
        <w:gridCol w:w="809"/>
        <w:gridCol w:w="624"/>
        <w:gridCol w:w="1078"/>
      </w:tblGrid>
      <w:tr w:rsidR="00FD0B07" w:rsidRPr="00FD0B07" w14:paraId="0154884B" w14:textId="77777777" w:rsidTr="00BE45AA">
        <w:trPr>
          <w:trHeight w:val="307"/>
          <w:tblHeader/>
        </w:trPr>
        <w:tc>
          <w:tcPr>
            <w:tcW w:w="1620" w:type="dxa"/>
            <w:tcBorders>
              <w:bottom w:val="nil"/>
            </w:tcBorders>
            <w:shd w:val="clear" w:color="auto" w:fill="D9D9D9" w:themeFill="background1" w:themeFillShade="D9"/>
          </w:tcPr>
          <w:p w14:paraId="7308A7B8" w14:textId="77777777" w:rsidR="00C64A87" w:rsidRPr="00FD0B07" w:rsidRDefault="00C64A87" w:rsidP="00AC6201">
            <w:pPr>
              <w:rPr>
                <w:rFonts w:ascii="Times New Roman" w:hAnsi="Times New Roman" w:cs="Times New Roman"/>
                <w:color w:val="000000" w:themeColor="text1"/>
                <w:sz w:val="22"/>
                <w:szCs w:val="22"/>
              </w:rPr>
            </w:pPr>
          </w:p>
        </w:tc>
        <w:tc>
          <w:tcPr>
            <w:tcW w:w="1795" w:type="dxa"/>
            <w:tcBorders>
              <w:bottom w:val="single" w:sz="2" w:space="0" w:color="000000" w:themeColor="text1"/>
            </w:tcBorders>
            <w:shd w:val="clear" w:color="auto" w:fill="D9D9D9" w:themeFill="background1" w:themeFillShade="D9"/>
          </w:tcPr>
          <w:p w14:paraId="2E174192" w14:textId="77777777" w:rsidR="00C64A87" w:rsidRPr="00FD0B07" w:rsidRDefault="00C64A87" w:rsidP="00AC6201">
            <w:pPr>
              <w:rPr>
                <w:rFonts w:ascii="Times New Roman" w:hAnsi="Times New Roman" w:cs="Times New Roman"/>
                <w:b/>
                <w:color w:val="000000" w:themeColor="text1"/>
                <w:sz w:val="22"/>
                <w:szCs w:val="22"/>
              </w:rPr>
            </w:pPr>
            <w:r w:rsidRPr="00FD0B07">
              <w:rPr>
                <w:rFonts w:ascii="Times New Roman" w:hAnsi="Times New Roman" w:cs="Times New Roman"/>
                <w:b/>
                <w:color w:val="000000" w:themeColor="text1"/>
                <w:sz w:val="22"/>
                <w:szCs w:val="22"/>
              </w:rPr>
              <w:t>Question Item</w:t>
            </w:r>
          </w:p>
        </w:tc>
        <w:tc>
          <w:tcPr>
            <w:tcW w:w="1005" w:type="dxa"/>
            <w:tcBorders>
              <w:bottom w:val="single" w:sz="2" w:space="0" w:color="000000" w:themeColor="text1"/>
            </w:tcBorders>
            <w:shd w:val="clear" w:color="auto" w:fill="D9D9D9" w:themeFill="background1" w:themeFillShade="D9"/>
          </w:tcPr>
          <w:p w14:paraId="4D3B3E1A" w14:textId="77777777" w:rsidR="00C64A87" w:rsidRPr="00FD0B07" w:rsidRDefault="00C64A87" w:rsidP="00AC6201">
            <w:pPr>
              <w:rPr>
                <w:rFonts w:ascii="Times New Roman" w:hAnsi="Times New Roman" w:cs="Times New Roman"/>
                <w:b/>
                <w:color w:val="000000" w:themeColor="text1"/>
                <w:sz w:val="22"/>
                <w:szCs w:val="22"/>
              </w:rPr>
            </w:pPr>
            <w:r w:rsidRPr="00FD0B07">
              <w:rPr>
                <w:rFonts w:ascii="Times New Roman" w:hAnsi="Times New Roman" w:cs="Times New Roman"/>
                <w:b/>
                <w:color w:val="000000" w:themeColor="text1"/>
                <w:sz w:val="22"/>
                <w:szCs w:val="22"/>
              </w:rPr>
              <w:t>Basic</w:t>
            </w:r>
          </w:p>
        </w:tc>
        <w:tc>
          <w:tcPr>
            <w:tcW w:w="1548" w:type="dxa"/>
            <w:tcBorders>
              <w:bottom w:val="single" w:sz="2" w:space="0" w:color="000000" w:themeColor="text1"/>
            </w:tcBorders>
            <w:shd w:val="clear" w:color="auto" w:fill="D9D9D9" w:themeFill="background1" w:themeFillShade="D9"/>
          </w:tcPr>
          <w:p w14:paraId="74CA50E5" w14:textId="77777777" w:rsidR="00C64A87" w:rsidRPr="00FD0B07" w:rsidRDefault="00C64A87" w:rsidP="00AC6201">
            <w:pPr>
              <w:rPr>
                <w:rFonts w:ascii="Times New Roman" w:hAnsi="Times New Roman" w:cs="Times New Roman"/>
                <w:b/>
                <w:color w:val="000000" w:themeColor="text1"/>
                <w:sz w:val="22"/>
                <w:szCs w:val="22"/>
              </w:rPr>
            </w:pPr>
            <w:r w:rsidRPr="00FD0B07">
              <w:rPr>
                <w:rFonts w:ascii="Times New Roman" w:hAnsi="Times New Roman" w:cs="Times New Roman"/>
                <w:b/>
                <w:color w:val="000000" w:themeColor="text1"/>
                <w:sz w:val="22"/>
                <w:szCs w:val="22"/>
              </w:rPr>
              <w:t>Intermediate</w:t>
            </w:r>
          </w:p>
        </w:tc>
        <w:tc>
          <w:tcPr>
            <w:tcW w:w="1268" w:type="dxa"/>
            <w:tcBorders>
              <w:bottom w:val="single" w:sz="2" w:space="0" w:color="000000" w:themeColor="text1"/>
            </w:tcBorders>
            <w:shd w:val="clear" w:color="auto" w:fill="D9D9D9" w:themeFill="background1" w:themeFillShade="D9"/>
          </w:tcPr>
          <w:p w14:paraId="108E5F26" w14:textId="77777777" w:rsidR="00C64A87" w:rsidRPr="00FD0B07" w:rsidRDefault="00C64A87" w:rsidP="00AC6201">
            <w:pPr>
              <w:rPr>
                <w:rFonts w:ascii="Times New Roman" w:hAnsi="Times New Roman" w:cs="Times New Roman"/>
                <w:b/>
                <w:color w:val="000000" w:themeColor="text1"/>
                <w:sz w:val="22"/>
                <w:szCs w:val="22"/>
              </w:rPr>
            </w:pPr>
            <w:r w:rsidRPr="00FD0B07">
              <w:rPr>
                <w:rFonts w:ascii="Times New Roman" w:hAnsi="Times New Roman" w:cs="Times New Roman"/>
                <w:b/>
                <w:color w:val="000000" w:themeColor="text1"/>
                <w:sz w:val="22"/>
                <w:szCs w:val="22"/>
              </w:rPr>
              <w:t>Advanced</w:t>
            </w:r>
          </w:p>
        </w:tc>
        <w:tc>
          <w:tcPr>
            <w:tcW w:w="809" w:type="dxa"/>
            <w:tcBorders>
              <w:bottom w:val="single" w:sz="2" w:space="0" w:color="000000" w:themeColor="text1"/>
            </w:tcBorders>
            <w:shd w:val="clear" w:color="auto" w:fill="D9D9D9" w:themeFill="background1" w:themeFillShade="D9"/>
          </w:tcPr>
          <w:p w14:paraId="40E4F551" w14:textId="77777777" w:rsidR="00C64A87" w:rsidRPr="00FD0B07" w:rsidRDefault="00C64A87" w:rsidP="00AC6201">
            <w:pPr>
              <w:ind w:right="-116"/>
              <w:rPr>
                <w:rFonts w:ascii="Times New Roman" w:hAnsi="Times New Roman" w:cs="Times New Roman"/>
                <w:b/>
                <w:color w:val="000000" w:themeColor="text1"/>
                <w:sz w:val="22"/>
                <w:szCs w:val="22"/>
              </w:rPr>
            </w:pPr>
            <w:r w:rsidRPr="00FD0B07">
              <w:rPr>
                <w:rFonts w:ascii="Times New Roman" w:hAnsi="Times New Roman" w:cs="Times New Roman"/>
                <w:b/>
                <w:color w:val="000000" w:themeColor="text1"/>
                <w:sz w:val="22"/>
                <w:szCs w:val="22"/>
              </w:rPr>
              <w:t>Media</w:t>
            </w:r>
          </w:p>
        </w:tc>
        <w:tc>
          <w:tcPr>
            <w:tcW w:w="624" w:type="dxa"/>
            <w:tcBorders>
              <w:bottom w:val="single" w:sz="2" w:space="0" w:color="000000" w:themeColor="text1"/>
            </w:tcBorders>
            <w:shd w:val="clear" w:color="auto" w:fill="D9D9D9" w:themeFill="background1" w:themeFillShade="D9"/>
          </w:tcPr>
          <w:p w14:paraId="2AA40D54" w14:textId="77777777" w:rsidR="00C64A87" w:rsidRPr="00FD0B07" w:rsidRDefault="00C64A87" w:rsidP="00AC6201">
            <w:pPr>
              <w:ind w:right="-116"/>
              <w:rPr>
                <w:rFonts w:ascii="Times New Roman" w:hAnsi="Times New Roman" w:cs="Times New Roman"/>
                <w:b/>
                <w:color w:val="000000" w:themeColor="text1"/>
                <w:sz w:val="22"/>
                <w:szCs w:val="22"/>
              </w:rPr>
            </w:pPr>
            <w:r w:rsidRPr="00FD0B07">
              <w:rPr>
                <w:rFonts w:ascii="Times New Roman" w:hAnsi="Times New Roman" w:cs="Times New Roman"/>
                <w:b/>
                <w:color w:val="000000" w:themeColor="text1"/>
                <w:sz w:val="22"/>
                <w:szCs w:val="22"/>
              </w:rPr>
              <w:t>D.E</w:t>
            </w:r>
          </w:p>
        </w:tc>
        <w:tc>
          <w:tcPr>
            <w:tcW w:w="1078" w:type="dxa"/>
            <w:tcBorders>
              <w:bottom w:val="single" w:sz="2" w:space="0" w:color="000000" w:themeColor="text1"/>
            </w:tcBorders>
            <w:shd w:val="clear" w:color="auto" w:fill="D9D9D9" w:themeFill="background1" w:themeFillShade="D9"/>
          </w:tcPr>
          <w:p w14:paraId="72A00E61" w14:textId="77777777" w:rsidR="00C64A87" w:rsidRPr="00FD0B07" w:rsidRDefault="00C64A87" w:rsidP="00AC6201">
            <w:pPr>
              <w:rPr>
                <w:rFonts w:ascii="Times New Roman" w:hAnsi="Times New Roman" w:cs="Times New Roman"/>
                <w:b/>
                <w:color w:val="000000" w:themeColor="text1"/>
                <w:sz w:val="22"/>
                <w:szCs w:val="22"/>
              </w:rPr>
            </w:pPr>
            <w:r w:rsidRPr="00FD0B07">
              <w:rPr>
                <w:rFonts w:ascii="Times New Roman" w:hAnsi="Times New Roman" w:cs="Times New Roman"/>
                <w:b/>
                <w:color w:val="000000" w:themeColor="text1"/>
                <w:sz w:val="22"/>
                <w:szCs w:val="22"/>
              </w:rPr>
              <w:t>Heat Diagram</w:t>
            </w:r>
          </w:p>
        </w:tc>
      </w:tr>
      <w:tr w:rsidR="00FD0B07" w:rsidRPr="00FD0B07" w14:paraId="04469CB6" w14:textId="77777777" w:rsidTr="00BE45AA">
        <w:trPr>
          <w:cnfStyle w:val="000000100000" w:firstRow="0" w:lastRow="0" w:firstColumn="0" w:lastColumn="0" w:oddVBand="0" w:evenVBand="0" w:oddHBand="1" w:evenHBand="0" w:firstRowFirstColumn="0" w:firstRowLastColumn="0" w:lastRowFirstColumn="0" w:lastRowLastColumn="0"/>
          <w:trHeight w:val="307"/>
        </w:trPr>
        <w:tc>
          <w:tcPr>
            <w:tcW w:w="1620" w:type="dxa"/>
            <w:tcBorders>
              <w:top w:val="nil"/>
            </w:tcBorders>
            <w:shd w:val="clear" w:color="auto" w:fill="FFFFFF" w:themeFill="background1"/>
          </w:tcPr>
          <w:p w14:paraId="22FD4BD6" w14:textId="77777777" w:rsidR="00C64A87" w:rsidRPr="00FD0B07" w:rsidRDefault="00C64A87" w:rsidP="00AC6201">
            <w:pPr>
              <w:rPr>
                <w:rFonts w:ascii="Times New Roman" w:hAnsi="Times New Roman" w:cs="Times New Roman"/>
                <w:color w:val="000000" w:themeColor="text1"/>
                <w:sz w:val="22"/>
                <w:szCs w:val="22"/>
              </w:rPr>
            </w:pPr>
          </w:p>
        </w:tc>
        <w:tc>
          <w:tcPr>
            <w:tcW w:w="1795" w:type="dxa"/>
            <w:shd w:val="clear" w:color="auto" w:fill="FFFFFF" w:themeFill="background1"/>
          </w:tcPr>
          <w:p w14:paraId="6A53191F" w14:textId="77777777" w:rsidR="00C64A87" w:rsidRPr="00FD0B07" w:rsidRDefault="00C64A87" w:rsidP="00AC6201">
            <w:pPr>
              <w:rPr>
                <w:rFonts w:ascii="Times New Roman" w:hAnsi="Times New Roman" w:cs="Times New Roman"/>
                <w:b/>
                <w:color w:val="000000" w:themeColor="text1"/>
                <w:sz w:val="22"/>
                <w:szCs w:val="22"/>
              </w:rPr>
            </w:pPr>
            <w:r w:rsidRPr="00FD0B07">
              <w:rPr>
                <w:rFonts w:ascii="Times New Roman" w:hAnsi="Times New Roman" w:cs="Times New Roman"/>
                <w:b/>
                <w:color w:val="000000" w:themeColor="text1"/>
                <w:sz w:val="22"/>
                <w:szCs w:val="22"/>
              </w:rPr>
              <w:t>Competence</w:t>
            </w:r>
          </w:p>
        </w:tc>
        <w:tc>
          <w:tcPr>
            <w:tcW w:w="1005" w:type="dxa"/>
            <w:shd w:val="clear" w:color="auto" w:fill="FFFFFF" w:themeFill="background1"/>
          </w:tcPr>
          <w:p w14:paraId="10F7B170" w14:textId="77777777" w:rsidR="00C64A87" w:rsidRPr="00FD0B07" w:rsidRDefault="00C64A87" w:rsidP="00AC6201">
            <w:pPr>
              <w:rPr>
                <w:rFonts w:ascii="Times New Roman" w:hAnsi="Times New Roman" w:cs="Times New Roman"/>
                <w:b/>
                <w:color w:val="000000" w:themeColor="text1"/>
                <w:sz w:val="22"/>
                <w:szCs w:val="22"/>
              </w:rPr>
            </w:pPr>
            <w:r w:rsidRPr="00FD0B07">
              <w:rPr>
                <w:rFonts w:ascii="Times New Roman" w:hAnsi="Times New Roman" w:cs="Times New Roman"/>
                <w:b/>
                <w:color w:val="000000" w:themeColor="text1"/>
                <w:sz w:val="22"/>
                <w:szCs w:val="22"/>
              </w:rPr>
              <w:t>A1 A2</w:t>
            </w:r>
          </w:p>
        </w:tc>
        <w:tc>
          <w:tcPr>
            <w:tcW w:w="1548" w:type="dxa"/>
            <w:shd w:val="clear" w:color="auto" w:fill="FFFFFF" w:themeFill="background1"/>
          </w:tcPr>
          <w:p w14:paraId="095ED887" w14:textId="77777777" w:rsidR="00C64A87" w:rsidRPr="00FD0B07" w:rsidRDefault="00C64A87" w:rsidP="00AC6201">
            <w:pPr>
              <w:rPr>
                <w:rFonts w:ascii="Times New Roman" w:hAnsi="Times New Roman" w:cs="Times New Roman"/>
                <w:b/>
                <w:color w:val="000000" w:themeColor="text1"/>
                <w:sz w:val="22"/>
                <w:szCs w:val="22"/>
              </w:rPr>
            </w:pPr>
            <w:r w:rsidRPr="00FD0B07">
              <w:rPr>
                <w:rFonts w:ascii="Times New Roman" w:hAnsi="Times New Roman" w:cs="Times New Roman"/>
                <w:b/>
                <w:color w:val="000000" w:themeColor="text1"/>
                <w:sz w:val="22"/>
                <w:szCs w:val="22"/>
              </w:rPr>
              <w:t>B1</w:t>
            </w:r>
          </w:p>
        </w:tc>
        <w:tc>
          <w:tcPr>
            <w:tcW w:w="1268" w:type="dxa"/>
            <w:shd w:val="clear" w:color="auto" w:fill="FFFFFF" w:themeFill="background1"/>
          </w:tcPr>
          <w:p w14:paraId="16A5676C" w14:textId="77777777" w:rsidR="00C64A87" w:rsidRPr="00FD0B07" w:rsidRDefault="00C64A87" w:rsidP="00AC6201">
            <w:pPr>
              <w:rPr>
                <w:rFonts w:ascii="Times New Roman" w:hAnsi="Times New Roman" w:cs="Times New Roman"/>
                <w:b/>
                <w:color w:val="000000" w:themeColor="text1"/>
                <w:sz w:val="22"/>
                <w:szCs w:val="22"/>
              </w:rPr>
            </w:pPr>
            <w:r w:rsidRPr="00FD0B07">
              <w:rPr>
                <w:rFonts w:ascii="Times New Roman" w:hAnsi="Times New Roman" w:cs="Times New Roman"/>
                <w:b/>
                <w:color w:val="000000" w:themeColor="text1"/>
                <w:sz w:val="22"/>
                <w:szCs w:val="22"/>
              </w:rPr>
              <w:t>B2 C1</w:t>
            </w:r>
          </w:p>
        </w:tc>
        <w:tc>
          <w:tcPr>
            <w:tcW w:w="809" w:type="dxa"/>
            <w:shd w:val="clear" w:color="auto" w:fill="FFFFFF" w:themeFill="background1"/>
          </w:tcPr>
          <w:p w14:paraId="627D4C6F" w14:textId="77777777" w:rsidR="00C64A87" w:rsidRPr="00FD0B07" w:rsidRDefault="00C64A87" w:rsidP="00AC6201">
            <w:pPr>
              <w:rPr>
                <w:rFonts w:ascii="Times New Roman" w:hAnsi="Times New Roman" w:cs="Times New Roman"/>
                <w:b/>
                <w:color w:val="000000" w:themeColor="text1"/>
                <w:sz w:val="22"/>
                <w:szCs w:val="22"/>
              </w:rPr>
            </w:pPr>
          </w:p>
        </w:tc>
        <w:tc>
          <w:tcPr>
            <w:tcW w:w="624" w:type="dxa"/>
            <w:shd w:val="clear" w:color="auto" w:fill="FFFFFF" w:themeFill="background1"/>
          </w:tcPr>
          <w:p w14:paraId="7BEA32FC" w14:textId="77777777" w:rsidR="00C64A87" w:rsidRPr="00FD0B07" w:rsidRDefault="00C64A87" w:rsidP="00AC6201">
            <w:pPr>
              <w:rPr>
                <w:rFonts w:ascii="Times New Roman" w:hAnsi="Times New Roman" w:cs="Times New Roman"/>
                <w:b/>
                <w:color w:val="000000" w:themeColor="text1"/>
                <w:sz w:val="22"/>
                <w:szCs w:val="22"/>
              </w:rPr>
            </w:pPr>
          </w:p>
        </w:tc>
        <w:tc>
          <w:tcPr>
            <w:tcW w:w="1078" w:type="dxa"/>
            <w:shd w:val="clear" w:color="auto" w:fill="FFFFFF" w:themeFill="background1"/>
          </w:tcPr>
          <w:p w14:paraId="62B2E6A1" w14:textId="77777777" w:rsidR="00C64A87" w:rsidRPr="00FD0B07" w:rsidRDefault="00C64A87" w:rsidP="00AC6201">
            <w:pPr>
              <w:rPr>
                <w:rFonts w:ascii="Times New Roman" w:hAnsi="Times New Roman" w:cs="Times New Roman"/>
                <w:b/>
                <w:color w:val="000000" w:themeColor="text1"/>
                <w:sz w:val="22"/>
                <w:szCs w:val="22"/>
              </w:rPr>
            </w:pPr>
          </w:p>
        </w:tc>
      </w:tr>
      <w:tr w:rsidR="00FD0B07" w:rsidRPr="00FD0B07" w14:paraId="5F17E9C9" w14:textId="77777777" w:rsidTr="00BE45AA">
        <w:trPr>
          <w:trHeight w:val="687"/>
        </w:trPr>
        <w:tc>
          <w:tcPr>
            <w:tcW w:w="1620" w:type="dxa"/>
            <w:vMerge w:val="restart"/>
            <w:shd w:val="clear" w:color="auto" w:fill="FFFFFF" w:themeFill="background1"/>
          </w:tcPr>
          <w:p w14:paraId="23F6AD03" w14:textId="77777777" w:rsidR="00C64A87" w:rsidRPr="00FD0B07" w:rsidRDefault="00C64A87" w:rsidP="00AC6201">
            <w:pPr>
              <w:rPr>
                <w:rFonts w:ascii="Times New Roman" w:hAnsi="Times New Roman" w:cs="Times New Roman"/>
                <w:b/>
                <w:color w:val="000000" w:themeColor="text1"/>
                <w:sz w:val="22"/>
                <w:szCs w:val="22"/>
              </w:rPr>
            </w:pPr>
            <w:bookmarkStart w:id="1" w:name="_Hlk138331804"/>
            <w:r w:rsidRPr="00FD0B07">
              <w:rPr>
                <w:rFonts w:ascii="Times New Roman" w:hAnsi="Times New Roman" w:cs="Times New Roman"/>
                <w:b/>
                <w:color w:val="000000" w:themeColor="text1"/>
                <w:sz w:val="22"/>
                <w:szCs w:val="22"/>
              </w:rPr>
              <w:t>Area 1</w:t>
            </w:r>
          </w:p>
          <w:p w14:paraId="49581D16" w14:textId="77777777" w:rsidR="00C64A87" w:rsidRPr="00FD0B07" w:rsidRDefault="00C64A87" w:rsidP="00AC6201">
            <w:pPr>
              <w:rPr>
                <w:rFonts w:ascii="Times New Roman" w:hAnsi="Times New Roman" w:cs="Times New Roman"/>
                <w:b/>
                <w:color w:val="000000" w:themeColor="text1"/>
                <w:sz w:val="22"/>
                <w:szCs w:val="22"/>
              </w:rPr>
            </w:pPr>
            <w:r w:rsidRPr="00FD0B07">
              <w:rPr>
                <w:rFonts w:ascii="Times New Roman" w:hAnsi="Times New Roman" w:cs="Times New Roman"/>
                <w:b/>
                <w:color w:val="000000" w:themeColor="text1"/>
                <w:sz w:val="22"/>
                <w:szCs w:val="22"/>
              </w:rPr>
              <w:t>Professional Engagement</w:t>
            </w:r>
          </w:p>
        </w:tc>
        <w:tc>
          <w:tcPr>
            <w:tcW w:w="1795" w:type="dxa"/>
            <w:shd w:val="clear" w:color="auto" w:fill="FFFFFF" w:themeFill="background1"/>
          </w:tcPr>
          <w:p w14:paraId="5460BC64" w14:textId="77777777" w:rsidR="00C64A87" w:rsidRPr="00FD0B07" w:rsidRDefault="00C64A87" w:rsidP="00AC6201">
            <w:pPr>
              <w:rPr>
                <w:rFonts w:ascii="Times New Roman" w:hAnsi="Times New Roman" w:cs="Times New Roman"/>
                <w:b/>
                <w:color w:val="000000" w:themeColor="text1"/>
                <w:sz w:val="22"/>
                <w:szCs w:val="22"/>
              </w:rPr>
            </w:pPr>
            <w:r w:rsidRPr="00FD0B07">
              <w:rPr>
                <w:rFonts w:ascii="Times New Roman" w:hAnsi="Times New Roman" w:cs="Times New Roman"/>
                <w:b/>
                <w:color w:val="000000" w:themeColor="text1"/>
                <w:sz w:val="22"/>
                <w:szCs w:val="22"/>
              </w:rPr>
              <w:t>QI 8</w:t>
            </w:r>
          </w:p>
          <w:p w14:paraId="1E283BA5" w14:textId="77777777" w:rsidR="00C64A87" w:rsidRPr="00FD0B07" w:rsidRDefault="00C64A87" w:rsidP="00AC6201">
            <w:pPr>
              <w:rPr>
                <w:rFonts w:ascii="Times New Roman" w:hAnsi="Times New Roman" w:cs="Times New Roman"/>
                <w:b/>
                <w:color w:val="000000" w:themeColor="text1"/>
                <w:sz w:val="22"/>
                <w:szCs w:val="22"/>
              </w:rPr>
            </w:pPr>
            <w:r w:rsidRPr="00FD0B07">
              <w:rPr>
                <w:rFonts w:ascii="Times New Roman" w:hAnsi="Times New Roman" w:cs="Times New Roman"/>
                <w:b/>
                <w:color w:val="000000" w:themeColor="text1"/>
                <w:sz w:val="22"/>
                <w:szCs w:val="22"/>
              </w:rPr>
              <w:t>Organizational Communication</w:t>
            </w:r>
          </w:p>
        </w:tc>
        <w:tc>
          <w:tcPr>
            <w:tcW w:w="1005" w:type="dxa"/>
            <w:shd w:val="clear" w:color="auto" w:fill="FFFFFF" w:themeFill="background1"/>
          </w:tcPr>
          <w:p w14:paraId="0884F153"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28,76%</w:t>
            </w:r>
          </w:p>
        </w:tc>
        <w:tc>
          <w:tcPr>
            <w:tcW w:w="1548" w:type="dxa"/>
            <w:shd w:val="clear" w:color="auto" w:fill="FFFFFF" w:themeFill="background1"/>
          </w:tcPr>
          <w:p w14:paraId="6F2AC275"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27,76%</w:t>
            </w:r>
          </w:p>
        </w:tc>
        <w:tc>
          <w:tcPr>
            <w:tcW w:w="1268" w:type="dxa"/>
            <w:shd w:val="clear" w:color="auto" w:fill="FFFFFF" w:themeFill="background1"/>
          </w:tcPr>
          <w:p w14:paraId="56730361"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43,48%</w:t>
            </w:r>
          </w:p>
        </w:tc>
        <w:tc>
          <w:tcPr>
            <w:tcW w:w="809" w:type="dxa"/>
            <w:shd w:val="clear" w:color="auto" w:fill="FFFFFF" w:themeFill="background1"/>
          </w:tcPr>
          <w:p w14:paraId="15558A44"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3,10</w:t>
            </w:r>
          </w:p>
        </w:tc>
        <w:tc>
          <w:tcPr>
            <w:tcW w:w="624" w:type="dxa"/>
            <w:shd w:val="clear" w:color="auto" w:fill="FFFFFF" w:themeFill="background1"/>
          </w:tcPr>
          <w:p w14:paraId="0DA60702"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1,08</w:t>
            </w:r>
          </w:p>
        </w:tc>
        <w:tc>
          <w:tcPr>
            <w:tcW w:w="1078" w:type="dxa"/>
            <w:vMerge w:val="restart"/>
            <w:shd w:val="clear" w:color="auto" w:fill="FFFFFF" w:themeFill="background1"/>
          </w:tcPr>
          <w:p w14:paraId="356782F6" w14:textId="77777777" w:rsidR="00C64A87" w:rsidRPr="00FD0B07" w:rsidRDefault="00C64A87" w:rsidP="00AC6201">
            <w:pPr>
              <w:rPr>
                <w:rFonts w:ascii="Times New Roman" w:hAnsi="Times New Roman" w:cs="Times New Roman"/>
                <w:color w:val="000000" w:themeColor="text1"/>
                <w:sz w:val="22"/>
                <w:szCs w:val="22"/>
              </w:rPr>
            </w:pPr>
            <w:r w:rsidRPr="00FD0B07">
              <w:rPr>
                <w:noProof/>
                <w:color w:val="000000" w:themeColor="text1"/>
                <w:sz w:val="22"/>
                <w:szCs w:val="22"/>
                <w:lang w:val="es-CO" w:eastAsia="es-CO"/>
              </w:rPr>
              <w:drawing>
                <wp:anchor distT="0" distB="0" distL="114300" distR="114300" simplePos="0" relativeHeight="251660288" behindDoc="1" locked="0" layoutInCell="1" allowOverlap="1" wp14:anchorId="36814A85" wp14:editId="19149B19">
                  <wp:simplePos x="0" y="0"/>
                  <wp:positionH relativeFrom="column">
                    <wp:posOffset>-33655</wp:posOffset>
                  </wp:positionH>
                  <wp:positionV relativeFrom="paragraph">
                    <wp:posOffset>175260</wp:posOffset>
                  </wp:positionV>
                  <wp:extent cx="1184910" cy="1000760"/>
                  <wp:effectExtent l="0" t="0" r="0" b="8890"/>
                  <wp:wrapTight wrapText="bothSides">
                    <wp:wrapPolygon edited="0">
                      <wp:start x="0" y="0"/>
                      <wp:lineTo x="0" y="21381"/>
                      <wp:lineTo x="21183" y="21381"/>
                      <wp:lineTo x="21183" y="0"/>
                      <wp:lineTo x="0" y="0"/>
                    </wp:wrapPolygon>
                  </wp:wrapTight>
                  <wp:docPr id="1937947670" name="image2.png"/>
                  <wp:cNvGraphicFramePr/>
                  <a:graphic xmlns:a="http://schemas.openxmlformats.org/drawingml/2006/main">
                    <a:graphicData uri="http://schemas.openxmlformats.org/drawingml/2006/picture">
                      <pic:pic xmlns:pic="http://schemas.openxmlformats.org/drawingml/2006/picture">
                        <pic:nvPicPr>
                          <pic:cNvPr id="1937947670" name="imag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84910" cy="1000760"/>
                          </a:xfrm>
                          <a:prstGeom prst="rect">
                            <a:avLst/>
                          </a:prstGeom>
                        </pic:spPr>
                      </pic:pic>
                    </a:graphicData>
                  </a:graphic>
                  <wp14:sizeRelH relativeFrom="margin">
                    <wp14:pctWidth>0</wp14:pctWidth>
                  </wp14:sizeRelH>
                  <wp14:sizeRelV relativeFrom="margin">
                    <wp14:pctHeight>0</wp14:pctHeight>
                  </wp14:sizeRelV>
                </wp:anchor>
              </w:drawing>
            </w:r>
          </w:p>
        </w:tc>
      </w:tr>
      <w:tr w:rsidR="00FD0B07" w:rsidRPr="00FD0B07" w14:paraId="09071CF8" w14:textId="77777777" w:rsidTr="00BE45AA">
        <w:trPr>
          <w:cnfStyle w:val="000000100000" w:firstRow="0" w:lastRow="0" w:firstColumn="0" w:lastColumn="0" w:oddVBand="0" w:evenVBand="0" w:oddHBand="1" w:evenHBand="0" w:firstRowFirstColumn="0" w:firstRowLastColumn="0" w:lastRowFirstColumn="0" w:lastRowLastColumn="0"/>
          <w:trHeight w:val="934"/>
        </w:trPr>
        <w:tc>
          <w:tcPr>
            <w:tcW w:w="1620" w:type="dxa"/>
            <w:vMerge/>
            <w:shd w:val="clear" w:color="auto" w:fill="FFFFFF" w:themeFill="background1"/>
          </w:tcPr>
          <w:p w14:paraId="3370BCBB" w14:textId="77777777" w:rsidR="00C64A87" w:rsidRPr="00FD0B07" w:rsidRDefault="00C64A87" w:rsidP="00AC6201">
            <w:pPr>
              <w:widowControl w:val="0"/>
              <w:pBdr>
                <w:top w:val="nil"/>
                <w:left w:val="nil"/>
                <w:bottom w:val="nil"/>
                <w:right w:val="nil"/>
                <w:between w:val="nil"/>
              </w:pBdr>
              <w:rPr>
                <w:rFonts w:ascii="Times New Roman" w:hAnsi="Times New Roman" w:cs="Times New Roman"/>
                <w:color w:val="000000" w:themeColor="text1"/>
                <w:sz w:val="22"/>
                <w:szCs w:val="22"/>
              </w:rPr>
            </w:pPr>
          </w:p>
        </w:tc>
        <w:tc>
          <w:tcPr>
            <w:tcW w:w="1795" w:type="dxa"/>
            <w:shd w:val="clear" w:color="auto" w:fill="FFFFFF" w:themeFill="background1"/>
          </w:tcPr>
          <w:p w14:paraId="07051D51" w14:textId="77777777" w:rsidR="00C64A87" w:rsidRPr="00FD0B07" w:rsidRDefault="00C64A87" w:rsidP="00AC6201">
            <w:pPr>
              <w:rPr>
                <w:rFonts w:ascii="Times New Roman" w:hAnsi="Times New Roman" w:cs="Times New Roman"/>
                <w:b/>
                <w:color w:val="000000" w:themeColor="text1"/>
                <w:sz w:val="22"/>
                <w:szCs w:val="22"/>
              </w:rPr>
            </w:pPr>
            <w:r w:rsidRPr="00FD0B07">
              <w:rPr>
                <w:rFonts w:ascii="Times New Roman" w:hAnsi="Times New Roman" w:cs="Times New Roman"/>
                <w:b/>
                <w:color w:val="000000" w:themeColor="text1"/>
                <w:sz w:val="22"/>
                <w:szCs w:val="22"/>
              </w:rPr>
              <w:t>QI 9</w:t>
            </w:r>
          </w:p>
          <w:p w14:paraId="6A42558F" w14:textId="77777777" w:rsidR="00C64A87" w:rsidRPr="00FD0B07" w:rsidRDefault="00C64A87" w:rsidP="00AC6201">
            <w:pPr>
              <w:rPr>
                <w:rFonts w:ascii="Times New Roman" w:hAnsi="Times New Roman" w:cs="Times New Roman"/>
                <w:b/>
                <w:color w:val="000000" w:themeColor="text1"/>
                <w:sz w:val="22"/>
                <w:szCs w:val="22"/>
              </w:rPr>
            </w:pPr>
            <w:r w:rsidRPr="00FD0B07">
              <w:rPr>
                <w:rFonts w:ascii="Times New Roman" w:hAnsi="Times New Roman" w:cs="Times New Roman"/>
                <w:b/>
                <w:color w:val="000000" w:themeColor="text1"/>
                <w:sz w:val="22"/>
                <w:szCs w:val="22"/>
              </w:rPr>
              <w:t>Reflective practice</w:t>
            </w:r>
          </w:p>
        </w:tc>
        <w:tc>
          <w:tcPr>
            <w:tcW w:w="1005" w:type="dxa"/>
            <w:shd w:val="clear" w:color="auto" w:fill="FFFFFF" w:themeFill="background1"/>
          </w:tcPr>
          <w:p w14:paraId="0DD94471"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29,76%</w:t>
            </w:r>
          </w:p>
        </w:tc>
        <w:tc>
          <w:tcPr>
            <w:tcW w:w="1548" w:type="dxa"/>
            <w:shd w:val="clear" w:color="auto" w:fill="FFFFFF" w:themeFill="background1"/>
          </w:tcPr>
          <w:p w14:paraId="63234F55"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41,47%</w:t>
            </w:r>
          </w:p>
        </w:tc>
        <w:tc>
          <w:tcPr>
            <w:tcW w:w="1268" w:type="dxa"/>
            <w:shd w:val="clear" w:color="auto" w:fill="FFFFFF" w:themeFill="background1"/>
          </w:tcPr>
          <w:p w14:paraId="5CA75721"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28,76%</w:t>
            </w:r>
          </w:p>
        </w:tc>
        <w:tc>
          <w:tcPr>
            <w:tcW w:w="809" w:type="dxa"/>
            <w:shd w:val="clear" w:color="auto" w:fill="FFFFFF" w:themeFill="background1"/>
          </w:tcPr>
          <w:p w14:paraId="1AC6725E"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3,00</w:t>
            </w:r>
          </w:p>
        </w:tc>
        <w:tc>
          <w:tcPr>
            <w:tcW w:w="624" w:type="dxa"/>
            <w:shd w:val="clear" w:color="auto" w:fill="FFFFFF" w:themeFill="background1"/>
          </w:tcPr>
          <w:p w14:paraId="4A1E50C5"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1,05</w:t>
            </w:r>
          </w:p>
        </w:tc>
        <w:tc>
          <w:tcPr>
            <w:tcW w:w="1078" w:type="dxa"/>
            <w:vMerge/>
            <w:shd w:val="clear" w:color="auto" w:fill="FFFFFF" w:themeFill="background1"/>
          </w:tcPr>
          <w:p w14:paraId="080D807E" w14:textId="77777777" w:rsidR="00C64A87" w:rsidRPr="00FD0B07" w:rsidRDefault="00C64A87" w:rsidP="00AC6201">
            <w:pPr>
              <w:widowControl w:val="0"/>
              <w:pBdr>
                <w:top w:val="nil"/>
                <w:left w:val="nil"/>
                <w:bottom w:val="nil"/>
                <w:right w:val="nil"/>
                <w:between w:val="nil"/>
              </w:pBdr>
              <w:rPr>
                <w:rFonts w:ascii="Times New Roman" w:hAnsi="Times New Roman" w:cs="Times New Roman"/>
                <w:color w:val="000000" w:themeColor="text1"/>
                <w:sz w:val="22"/>
                <w:szCs w:val="22"/>
              </w:rPr>
            </w:pPr>
          </w:p>
        </w:tc>
      </w:tr>
      <w:tr w:rsidR="00FD0B07" w:rsidRPr="00FD0B07" w14:paraId="6D5F91B7" w14:textId="77777777" w:rsidTr="00BE45AA">
        <w:trPr>
          <w:trHeight w:val="498"/>
        </w:trPr>
        <w:tc>
          <w:tcPr>
            <w:tcW w:w="1620" w:type="dxa"/>
            <w:vMerge/>
            <w:shd w:val="clear" w:color="auto" w:fill="FFFFFF" w:themeFill="background1"/>
          </w:tcPr>
          <w:p w14:paraId="70EF1C99" w14:textId="77777777" w:rsidR="00C64A87" w:rsidRPr="00FD0B07" w:rsidRDefault="00C64A87" w:rsidP="00AC6201">
            <w:pPr>
              <w:widowControl w:val="0"/>
              <w:pBdr>
                <w:top w:val="nil"/>
                <w:left w:val="nil"/>
                <w:bottom w:val="nil"/>
                <w:right w:val="nil"/>
                <w:between w:val="nil"/>
              </w:pBdr>
              <w:rPr>
                <w:rFonts w:ascii="Times New Roman" w:hAnsi="Times New Roman" w:cs="Times New Roman"/>
                <w:color w:val="000000" w:themeColor="text1"/>
                <w:sz w:val="22"/>
                <w:szCs w:val="22"/>
              </w:rPr>
            </w:pPr>
          </w:p>
        </w:tc>
        <w:tc>
          <w:tcPr>
            <w:tcW w:w="1795" w:type="dxa"/>
            <w:shd w:val="clear" w:color="auto" w:fill="FFFFFF" w:themeFill="background1"/>
          </w:tcPr>
          <w:p w14:paraId="202916DD" w14:textId="77777777" w:rsidR="00C64A87" w:rsidRPr="00FD0B07" w:rsidRDefault="00C64A87" w:rsidP="00AC6201">
            <w:pPr>
              <w:rPr>
                <w:rFonts w:ascii="Times New Roman" w:hAnsi="Times New Roman" w:cs="Times New Roman"/>
                <w:b/>
                <w:color w:val="000000" w:themeColor="text1"/>
                <w:sz w:val="22"/>
                <w:szCs w:val="22"/>
              </w:rPr>
            </w:pPr>
            <w:r w:rsidRPr="00FD0B07">
              <w:rPr>
                <w:rFonts w:ascii="Times New Roman" w:hAnsi="Times New Roman" w:cs="Times New Roman"/>
                <w:b/>
                <w:color w:val="000000" w:themeColor="text1"/>
                <w:sz w:val="22"/>
                <w:szCs w:val="22"/>
              </w:rPr>
              <w:t>QI 10</w:t>
            </w:r>
          </w:p>
          <w:p w14:paraId="635EEABC" w14:textId="77777777" w:rsidR="00C64A87" w:rsidRPr="00FD0B07" w:rsidRDefault="00C64A87" w:rsidP="00AC6201">
            <w:pPr>
              <w:rPr>
                <w:rFonts w:ascii="Times New Roman" w:hAnsi="Times New Roman" w:cs="Times New Roman"/>
                <w:b/>
                <w:color w:val="000000" w:themeColor="text1"/>
                <w:sz w:val="22"/>
                <w:szCs w:val="22"/>
              </w:rPr>
            </w:pPr>
            <w:r w:rsidRPr="00FD0B07">
              <w:rPr>
                <w:rFonts w:ascii="Times New Roman" w:hAnsi="Times New Roman" w:cs="Times New Roman"/>
                <w:b/>
                <w:color w:val="000000" w:themeColor="text1"/>
                <w:sz w:val="22"/>
                <w:szCs w:val="22"/>
              </w:rPr>
              <w:t>Digital CPD</w:t>
            </w:r>
          </w:p>
        </w:tc>
        <w:tc>
          <w:tcPr>
            <w:tcW w:w="1005" w:type="dxa"/>
            <w:shd w:val="clear" w:color="auto" w:fill="FFFFFF" w:themeFill="background1"/>
          </w:tcPr>
          <w:p w14:paraId="4B600EF4"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27,76%</w:t>
            </w:r>
          </w:p>
        </w:tc>
        <w:tc>
          <w:tcPr>
            <w:tcW w:w="1548" w:type="dxa"/>
            <w:shd w:val="clear" w:color="auto" w:fill="FFFFFF" w:themeFill="background1"/>
          </w:tcPr>
          <w:p w14:paraId="3F2A8C9E"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30,10%</w:t>
            </w:r>
          </w:p>
        </w:tc>
        <w:tc>
          <w:tcPr>
            <w:tcW w:w="1268" w:type="dxa"/>
            <w:shd w:val="clear" w:color="auto" w:fill="FFFFFF" w:themeFill="background1"/>
          </w:tcPr>
          <w:p w14:paraId="5E616B67"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42,14%</w:t>
            </w:r>
          </w:p>
        </w:tc>
        <w:tc>
          <w:tcPr>
            <w:tcW w:w="809" w:type="dxa"/>
            <w:shd w:val="clear" w:color="auto" w:fill="FFFFFF" w:themeFill="background1"/>
          </w:tcPr>
          <w:p w14:paraId="5A623EBC"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3,28</w:t>
            </w:r>
          </w:p>
        </w:tc>
        <w:tc>
          <w:tcPr>
            <w:tcW w:w="624" w:type="dxa"/>
            <w:shd w:val="clear" w:color="auto" w:fill="FFFFFF" w:themeFill="background1"/>
          </w:tcPr>
          <w:p w14:paraId="060D96DB"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1,18</w:t>
            </w:r>
          </w:p>
        </w:tc>
        <w:tc>
          <w:tcPr>
            <w:tcW w:w="1078" w:type="dxa"/>
            <w:vMerge/>
            <w:shd w:val="clear" w:color="auto" w:fill="FFFFFF" w:themeFill="background1"/>
          </w:tcPr>
          <w:p w14:paraId="5260F9E4" w14:textId="77777777" w:rsidR="00C64A87" w:rsidRPr="00FD0B07" w:rsidRDefault="00C64A87" w:rsidP="00AC6201">
            <w:pPr>
              <w:widowControl w:val="0"/>
              <w:pBdr>
                <w:top w:val="nil"/>
                <w:left w:val="nil"/>
                <w:bottom w:val="nil"/>
                <w:right w:val="nil"/>
                <w:between w:val="nil"/>
              </w:pBdr>
              <w:rPr>
                <w:rFonts w:ascii="Times New Roman" w:hAnsi="Times New Roman" w:cs="Times New Roman"/>
                <w:color w:val="000000" w:themeColor="text1"/>
                <w:sz w:val="22"/>
                <w:szCs w:val="22"/>
              </w:rPr>
            </w:pPr>
          </w:p>
        </w:tc>
      </w:tr>
      <w:tr w:rsidR="00FD0B07" w:rsidRPr="00FD0B07" w14:paraId="1005DBCE" w14:textId="77777777" w:rsidTr="00BE45AA">
        <w:trPr>
          <w:cnfStyle w:val="000000100000" w:firstRow="0" w:lastRow="0" w:firstColumn="0" w:lastColumn="0" w:oddVBand="0" w:evenVBand="0" w:oddHBand="1" w:evenHBand="0" w:firstRowFirstColumn="0" w:firstRowLastColumn="0" w:lastRowFirstColumn="0" w:lastRowLastColumn="0"/>
          <w:trHeight w:val="661"/>
        </w:trPr>
        <w:tc>
          <w:tcPr>
            <w:tcW w:w="1620" w:type="dxa"/>
            <w:vMerge w:val="restart"/>
            <w:shd w:val="clear" w:color="auto" w:fill="FFFFFF" w:themeFill="background1"/>
          </w:tcPr>
          <w:p w14:paraId="06661D48" w14:textId="77777777" w:rsidR="00C64A87" w:rsidRPr="00FD0B07" w:rsidRDefault="00C64A87" w:rsidP="00AC6201">
            <w:pPr>
              <w:rPr>
                <w:rFonts w:ascii="Times New Roman" w:hAnsi="Times New Roman" w:cs="Times New Roman"/>
                <w:b/>
                <w:color w:val="000000" w:themeColor="text1"/>
                <w:sz w:val="22"/>
                <w:szCs w:val="22"/>
              </w:rPr>
            </w:pPr>
            <w:r w:rsidRPr="00FD0B07">
              <w:rPr>
                <w:rFonts w:ascii="Times New Roman" w:hAnsi="Times New Roman" w:cs="Times New Roman"/>
                <w:b/>
                <w:color w:val="000000" w:themeColor="text1"/>
                <w:sz w:val="22"/>
                <w:szCs w:val="22"/>
              </w:rPr>
              <w:lastRenderedPageBreak/>
              <w:t>Area 2</w:t>
            </w:r>
          </w:p>
          <w:p w14:paraId="167E1A1E" w14:textId="77777777" w:rsidR="00C64A87" w:rsidRPr="00FD0B07" w:rsidRDefault="00C64A87" w:rsidP="00AC6201">
            <w:pPr>
              <w:rPr>
                <w:rFonts w:ascii="Times New Roman" w:hAnsi="Times New Roman" w:cs="Times New Roman"/>
                <w:b/>
                <w:color w:val="000000" w:themeColor="text1"/>
                <w:sz w:val="22"/>
                <w:szCs w:val="22"/>
              </w:rPr>
            </w:pPr>
            <w:r w:rsidRPr="00FD0B07">
              <w:rPr>
                <w:rFonts w:ascii="Times New Roman" w:hAnsi="Times New Roman" w:cs="Times New Roman"/>
                <w:b/>
                <w:color w:val="000000" w:themeColor="text1"/>
                <w:sz w:val="22"/>
                <w:szCs w:val="22"/>
              </w:rPr>
              <w:t>Digital Resources</w:t>
            </w:r>
          </w:p>
        </w:tc>
        <w:tc>
          <w:tcPr>
            <w:tcW w:w="1795" w:type="dxa"/>
            <w:shd w:val="clear" w:color="auto" w:fill="FFFFFF" w:themeFill="background1"/>
          </w:tcPr>
          <w:p w14:paraId="7EBCA4E5" w14:textId="77777777" w:rsidR="00C64A87" w:rsidRPr="00FD0B07" w:rsidRDefault="00C64A87" w:rsidP="00AC6201">
            <w:pPr>
              <w:rPr>
                <w:rFonts w:ascii="Times New Roman" w:hAnsi="Times New Roman" w:cs="Times New Roman"/>
                <w:b/>
                <w:color w:val="000000" w:themeColor="text1"/>
                <w:sz w:val="22"/>
                <w:szCs w:val="22"/>
              </w:rPr>
            </w:pPr>
            <w:r w:rsidRPr="00FD0B07">
              <w:rPr>
                <w:rFonts w:ascii="Times New Roman" w:hAnsi="Times New Roman" w:cs="Times New Roman"/>
                <w:b/>
                <w:color w:val="000000" w:themeColor="text1"/>
                <w:sz w:val="22"/>
                <w:szCs w:val="22"/>
              </w:rPr>
              <w:t>QI 11</w:t>
            </w:r>
          </w:p>
          <w:p w14:paraId="260EE7A5" w14:textId="77777777" w:rsidR="00C64A87" w:rsidRPr="00FD0B07" w:rsidRDefault="00C64A87" w:rsidP="00AC6201">
            <w:pPr>
              <w:rPr>
                <w:rFonts w:ascii="Times New Roman" w:hAnsi="Times New Roman" w:cs="Times New Roman"/>
                <w:b/>
                <w:color w:val="000000" w:themeColor="text1"/>
                <w:sz w:val="22"/>
                <w:szCs w:val="22"/>
              </w:rPr>
            </w:pPr>
            <w:r w:rsidRPr="00FD0B07">
              <w:rPr>
                <w:rFonts w:ascii="Times New Roman" w:hAnsi="Times New Roman" w:cs="Times New Roman"/>
                <w:b/>
                <w:color w:val="000000" w:themeColor="text1"/>
                <w:sz w:val="22"/>
                <w:szCs w:val="22"/>
              </w:rPr>
              <w:t>Selection</w:t>
            </w:r>
          </w:p>
          <w:p w14:paraId="24D9618F" w14:textId="77777777" w:rsidR="00C64A87" w:rsidRPr="00FD0B07" w:rsidRDefault="00C64A87" w:rsidP="00AC6201">
            <w:pPr>
              <w:rPr>
                <w:rFonts w:ascii="Times New Roman" w:hAnsi="Times New Roman" w:cs="Times New Roman"/>
                <w:b/>
                <w:color w:val="000000" w:themeColor="text1"/>
                <w:sz w:val="22"/>
                <w:szCs w:val="22"/>
              </w:rPr>
            </w:pPr>
          </w:p>
        </w:tc>
        <w:tc>
          <w:tcPr>
            <w:tcW w:w="1005" w:type="dxa"/>
            <w:shd w:val="clear" w:color="auto" w:fill="FFFFFF" w:themeFill="background1"/>
          </w:tcPr>
          <w:p w14:paraId="428082C4"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27,09%</w:t>
            </w:r>
          </w:p>
        </w:tc>
        <w:tc>
          <w:tcPr>
            <w:tcW w:w="1548" w:type="dxa"/>
            <w:shd w:val="clear" w:color="auto" w:fill="FFFFFF" w:themeFill="background1"/>
          </w:tcPr>
          <w:p w14:paraId="57256E8C"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42,14%</w:t>
            </w:r>
          </w:p>
        </w:tc>
        <w:tc>
          <w:tcPr>
            <w:tcW w:w="1268" w:type="dxa"/>
            <w:shd w:val="clear" w:color="auto" w:fill="FFFFFF" w:themeFill="background1"/>
          </w:tcPr>
          <w:p w14:paraId="520EC66D"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30,77%</w:t>
            </w:r>
          </w:p>
        </w:tc>
        <w:tc>
          <w:tcPr>
            <w:tcW w:w="809" w:type="dxa"/>
            <w:shd w:val="clear" w:color="auto" w:fill="FFFFFF" w:themeFill="background1"/>
          </w:tcPr>
          <w:p w14:paraId="1BDF2E13"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3,10</w:t>
            </w:r>
          </w:p>
        </w:tc>
        <w:tc>
          <w:tcPr>
            <w:tcW w:w="624" w:type="dxa"/>
            <w:shd w:val="clear" w:color="auto" w:fill="FFFFFF" w:themeFill="background1"/>
          </w:tcPr>
          <w:p w14:paraId="5BF746A6"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0,88</w:t>
            </w:r>
          </w:p>
        </w:tc>
        <w:tc>
          <w:tcPr>
            <w:tcW w:w="1078" w:type="dxa"/>
            <w:vMerge w:val="restart"/>
            <w:shd w:val="clear" w:color="auto" w:fill="FFFFFF" w:themeFill="background1"/>
          </w:tcPr>
          <w:p w14:paraId="385E2D8A" w14:textId="77777777" w:rsidR="00C64A87" w:rsidRPr="00FD0B07" w:rsidRDefault="00C64A87" w:rsidP="00AC6201">
            <w:pPr>
              <w:rPr>
                <w:rFonts w:ascii="Times New Roman" w:hAnsi="Times New Roman" w:cs="Times New Roman"/>
                <w:color w:val="000000" w:themeColor="text1"/>
                <w:sz w:val="22"/>
                <w:szCs w:val="22"/>
              </w:rPr>
            </w:pPr>
            <w:r w:rsidRPr="00FD0B07">
              <w:rPr>
                <w:noProof/>
                <w:color w:val="000000" w:themeColor="text1"/>
                <w:sz w:val="22"/>
                <w:szCs w:val="22"/>
                <w:lang w:val="es-CO" w:eastAsia="es-CO"/>
              </w:rPr>
              <w:drawing>
                <wp:inline distT="0" distB="0" distL="0" distR="0" wp14:anchorId="468ECC33" wp14:editId="49640A9A">
                  <wp:extent cx="666750" cy="762000"/>
                  <wp:effectExtent l="0" t="0" r="0" b="0"/>
                  <wp:docPr id="1937947669" name="image1.png"/>
                  <wp:cNvGraphicFramePr/>
                  <a:graphic xmlns:a="http://schemas.openxmlformats.org/drawingml/2006/main">
                    <a:graphicData uri="http://schemas.openxmlformats.org/drawingml/2006/picture">
                      <pic:pic xmlns:pic="http://schemas.openxmlformats.org/drawingml/2006/picture">
                        <pic:nvPicPr>
                          <pic:cNvPr id="1937947669" name="image1.png"/>
                          <pic:cNvPicPr/>
                        </pic:nvPicPr>
                        <pic:blipFill>
                          <a:blip r:embed="rId12"/>
                          <a:stretch>
                            <a:fillRect/>
                          </a:stretch>
                        </pic:blipFill>
                        <pic:spPr>
                          <a:xfrm>
                            <a:off x="0" y="0"/>
                            <a:ext cx="678628" cy="775575"/>
                          </a:xfrm>
                          <a:prstGeom prst="rect">
                            <a:avLst/>
                          </a:prstGeom>
                        </pic:spPr>
                      </pic:pic>
                    </a:graphicData>
                  </a:graphic>
                </wp:inline>
              </w:drawing>
            </w:r>
          </w:p>
        </w:tc>
      </w:tr>
      <w:tr w:rsidR="00FD0B07" w:rsidRPr="00FD0B07" w14:paraId="1666745B" w14:textId="77777777" w:rsidTr="00BE45AA">
        <w:trPr>
          <w:trHeight w:val="1232"/>
        </w:trPr>
        <w:tc>
          <w:tcPr>
            <w:tcW w:w="1620" w:type="dxa"/>
            <w:vMerge/>
            <w:shd w:val="clear" w:color="auto" w:fill="FFFFFF" w:themeFill="background1"/>
          </w:tcPr>
          <w:p w14:paraId="4BCE2B0D" w14:textId="77777777" w:rsidR="00C64A87" w:rsidRPr="00FD0B07" w:rsidRDefault="00C64A87" w:rsidP="00AC6201">
            <w:pPr>
              <w:widowControl w:val="0"/>
              <w:pBdr>
                <w:top w:val="nil"/>
                <w:left w:val="nil"/>
                <w:bottom w:val="nil"/>
                <w:right w:val="nil"/>
                <w:between w:val="nil"/>
              </w:pBdr>
              <w:rPr>
                <w:rFonts w:ascii="Times New Roman" w:hAnsi="Times New Roman" w:cs="Times New Roman"/>
                <w:color w:val="000000" w:themeColor="text1"/>
                <w:sz w:val="22"/>
                <w:szCs w:val="22"/>
              </w:rPr>
            </w:pPr>
          </w:p>
        </w:tc>
        <w:tc>
          <w:tcPr>
            <w:tcW w:w="1795" w:type="dxa"/>
            <w:shd w:val="clear" w:color="auto" w:fill="FFFFFF" w:themeFill="background1"/>
          </w:tcPr>
          <w:p w14:paraId="3F567AEC" w14:textId="77777777" w:rsidR="00C64A87" w:rsidRPr="00FD0B07" w:rsidRDefault="00C64A87" w:rsidP="00AC6201">
            <w:pPr>
              <w:rPr>
                <w:rFonts w:ascii="Times New Roman" w:hAnsi="Times New Roman" w:cs="Times New Roman"/>
                <w:b/>
                <w:color w:val="000000" w:themeColor="text1"/>
                <w:sz w:val="22"/>
                <w:szCs w:val="22"/>
              </w:rPr>
            </w:pPr>
            <w:r w:rsidRPr="00FD0B07">
              <w:rPr>
                <w:rFonts w:ascii="Times New Roman" w:hAnsi="Times New Roman" w:cs="Times New Roman"/>
                <w:b/>
                <w:color w:val="000000" w:themeColor="text1"/>
                <w:sz w:val="22"/>
                <w:szCs w:val="22"/>
              </w:rPr>
              <w:t>QI 12</w:t>
            </w:r>
          </w:p>
          <w:p w14:paraId="73B68A78" w14:textId="77777777" w:rsidR="00C64A87" w:rsidRPr="00FD0B07" w:rsidRDefault="00C64A87" w:rsidP="00AC6201">
            <w:pPr>
              <w:rPr>
                <w:rFonts w:ascii="Times New Roman" w:hAnsi="Times New Roman" w:cs="Times New Roman"/>
                <w:b/>
                <w:color w:val="000000" w:themeColor="text1"/>
                <w:sz w:val="22"/>
                <w:szCs w:val="22"/>
              </w:rPr>
            </w:pPr>
            <w:r w:rsidRPr="00FD0B07">
              <w:rPr>
                <w:rFonts w:ascii="Times New Roman" w:hAnsi="Times New Roman" w:cs="Times New Roman"/>
                <w:b/>
                <w:color w:val="000000" w:themeColor="text1"/>
                <w:sz w:val="22"/>
                <w:szCs w:val="22"/>
              </w:rPr>
              <w:t>Creation and Modification</w:t>
            </w:r>
          </w:p>
        </w:tc>
        <w:tc>
          <w:tcPr>
            <w:tcW w:w="1005" w:type="dxa"/>
            <w:shd w:val="clear" w:color="auto" w:fill="FFFFFF" w:themeFill="background1"/>
          </w:tcPr>
          <w:p w14:paraId="3CEB1C86"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15,05%</w:t>
            </w:r>
          </w:p>
        </w:tc>
        <w:tc>
          <w:tcPr>
            <w:tcW w:w="1548" w:type="dxa"/>
            <w:shd w:val="clear" w:color="auto" w:fill="FFFFFF" w:themeFill="background1"/>
          </w:tcPr>
          <w:p w14:paraId="22B20F22"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31,10%</w:t>
            </w:r>
          </w:p>
        </w:tc>
        <w:tc>
          <w:tcPr>
            <w:tcW w:w="1268" w:type="dxa"/>
            <w:shd w:val="clear" w:color="auto" w:fill="FFFFFF" w:themeFill="background1"/>
          </w:tcPr>
          <w:p w14:paraId="23FB45A6"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53,85%</w:t>
            </w:r>
          </w:p>
        </w:tc>
        <w:tc>
          <w:tcPr>
            <w:tcW w:w="809" w:type="dxa"/>
            <w:shd w:val="clear" w:color="auto" w:fill="FFFFFF" w:themeFill="background1"/>
          </w:tcPr>
          <w:p w14:paraId="79ABB0EA"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3,42</w:t>
            </w:r>
          </w:p>
        </w:tc>
        <w:tc>
          <w:tcPr>
            <w:tcW w:w="624" w:type="dxa"/>
            <w:shd w:val="clear" w:color="auto" w:fill="FFFFFF" w:themeFill="background1"/>
          </w:tcPr>
          <w:p w14:paraId="4AAF0961"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0,99</w:t>
            </w:r>
          </w:p>
        </w:tc>
        <w:tc>
          <w:tcPr>
            <w:tcW w:w="1078" w:type="dxa"/>
            <w:vMerge/>
            <w:shd w:val="clear" w:color="auto" w:fill="FFFFFF" w:themeFill="background1"/>
          </w:tcPr>
          <w:p w14:paraId="38079831" w14:textId="77777777" w:rsidR="00C64A87" w:rsidRPr="00FD0B07" w:rsidRDefault="00C64A87" w:rsidP="00AC6201">
            <w:pPr>
              <w:widowControl w:val="0"/>
              <w:pBdr>
                <w:top w:val="nil"/>
                <w:left w:val="nil"/>
                <w:bottom w:val="nil"/>
                <w:right w:val="nil"/>
                <w:between w:val="nil"/>
              </w:pBdr>
              <w:rPr>
                <w:rFonts w:ascii="Times New Roman" w:hAnsi="Times New Roman" w:cs="Times New Roman"/>
                <w:color w:val="000000" w:themeColor="text1"/>
                <w:sz w:val="22"/>
                <w:szCs w:val="22"/>
              </w:rPr>
            </w:pPr>
          </w:p>
        </w:tc>
      </w:tr>
      <w:tr w:rsidR="00FD0B07" w:rsidRPr="00FD0B07" w14:paraId="1B51306D" w14:textId="77777777" w:rsidTr="00BE45AA">
        <w:trPr>
          <w:cnfStyle w:val="000000100000" w:firstRow="0" w:lastRow="0" w:firstColumn="0" w:lastColumn="0" w:oddVBand="0" w:evenVBand="0" w:oddHBand="1" w:evenHBand="0" w:firstRowFirstColumn="0" w:firstRowLastColumn="0" w:lastRowFirstColumn="0" w:lastRowLastColumn="0"/>
          <w:trHeight w:val="295"/>
        </w:trPr>
        <w:tc>
          <w:tcPr>
            <w:tcW w:w="1620" w:type="dxa"/>
            <w:vMerge w:val="restart"/>
            <w:shd w:val="clear" w:color="auto" w:fill="FFFFFF" w:themeFill="background1"/>
          </w:tcPr>
          <w:p w14:paraId="738A97C1" w14:textId="77777777" w:rsidR="00C64A87" w:rsidRPr="00FD0B07" w:rsidRDefault="00C64A87" w:rsidP="00AC6201">
            <w:pPr>
              <w:rPr>
                <w:rFonts w:ascii="Times New Roman" w:hAnsi="Times New Roman" w:cs="Times New Roman"/>
                <w:b/>
                <w:color w:val="000000" w:themeColor="text1"/>
                <w:sz w:val="22"/>
                <w:szCs w:val="22"/>
              </w:rPr>
            </w:pPr>
            <w:r w:rsidRPr="00FD0B07">
              <w:rPr>
                <w:rFonts w:ascii="Times New Roman" w:hAnsi="Times New Roman" w:cs="Times New Roman"/>
                <w:b/>
                <w:color w:val="000000" w:themeColor="text1"/>
                <w:sz w:val="22"/>
                <w:szCs w:val="22"/>
              </w:rPr>
              <w:t>Area 3</w:t>
            </w:r>
          </w:p>
          <w:p w14:paraId="26ECB902" w14:textId="77777777" w:rsidR="00C64A87" w:rsidRPr="00FD0B07" w:rsidRDefault="00C64A87" w:rsidP="00AC6201">
            <w:pPr>
              <w:rPr>
                <w:rFonts w:ascii="Times New Roman" w:hAnsi="Times New Roman" w:cs="Times New Roman"/>
                <w:b/>
                <w:color w:val="000000" w:themeColor="text1"/>
                <w:sz w:val="22"/>
                <w:szCs w:val="22"/>
              </w:rPr>
            </w:pPr>
            <w:r w:rsidRPr="00FD0B07">
              <w:rPr>
                <w:rFonts w:ascii="Times New Roman" w:hAnsi="Times New Roman" w:cs="Times New Roman"/>
                <w:b/>
                <w:color w:val="000000" w:themeColor="text1"/>
                <w:sz w:val="22"/>
                <w:szCs w:val="22"/>
              </w:rPr>
              <w:t>Teaching and Learning</w:t>
            </w:r>
          </w:p>
        </w:tc>
        <w:tc>
          <w:tcPr>
            <w:tcW w:w="1795" w:type="dxa"/>
            <w:shd w:val="clear" w:color="auto" w:fill="FFFFFF" w:themeFill="background1"/>
          </w:tcPr>
          <w:p w14:paraId="628238CC" w14:textId="77777777" w:rsidR="00C64A87" w:rsidRPr="00FD0B07" w:rsidRDefault="00C64A87" w:rsidP="00AC6201">
            <w:pPr>
              <w:rPr>
                <w:rFonts w:ascii="Times New Roman" w:hAnsi="Times New Roman" w:cs="Times New Roman"/>
                <w:b/>
                <w:color w:val="000000" w:themeColor="text1"/>
                <w:sz w:val="22"/>
                <w:szCs w:val="22"/>
              </w:rPr>
            </w:pPr>
            <w:r w:rsidRPr="00FD0B07">
              <w:rPr>
                <w:rFonts w:ascii="Times New Roman" w:hAnsi="Times New Roman" w:cs="Times New Roman"/>
                <w:b/>
                <w:color w:val="000000" w:themeColor="text1"/>
                <w:sz w:val="22"/>
                <w:szCs w:val="22"/>
              </w:rPr>
              <w:t>QI 13</w:t>
            </w:r>
          </w:p>
          <w:p w14:paraId="38C9D75B" w14:textId="77777777" w:rsidR="00C64A87" w:rsidRPr="00FD0B07" w:rsidRDefault="00C64A87" w:rsidP="00AC6201">
            <w:pPr>
              <w:rPr>
                <w:rFonts w:ascii="Times New Roman" w:hAnsi="Times New Roman" w:cs="Times New Roman"/>
                <w:b/>
                <w:color w:val="000000" w:themeColor="text1"/>
                <w:sz w:val="22"/>
                <w:szCs w:val="22"/>
              </w:rPr>
            </w:pPr>
            <w:r w:rsidRPr="00FD0B07">
              <w:rPr>
                <w:rFonts w:ascii="Times New Roman" w:hAnsi="Times New Roman" w:cs="Times New Roman"/>
                <w:b/>
                <w:color w:val="000000" w:themeColor="text1"/>
                <w:sz w:val="22"/>
                <w:szCs w:val="22"/>
              </w:rPr>
              <w:t>Teaching</w:t>
            </w:r>
          </w:p>
        </w:tc>
        <w:tc>
          <w:tcPr>
            <w:tcW w:w="1005" w:type="dxa"/>
            <w:shd w:val="clear" w:color="auto" w:fill="FFFFFF" w:themeFill="background1"/>
          </w:tcPr>
          <w:p w14:paraId="32579174"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34,11%</w:t>
            </w:r>
          </w:p>
        </w:tc>
        <w:tc>
          <w:tcPr>
            <w:tcW w:w="1548" w:type="dxa"/>
            <w:shd w:val="clear" w:color="auto" w:fill="FFFFFF" w:themeFill="background1"/>
          </w:tcPr>
          <w:p w14:paraId="6473EF59"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17,73%</w:t>
            </w:r>
          </w:p>
        </w:tc>
        <w:tc>
          <w:tcPr>
            <w:tcW w:w="1268" w:type="dxa"/>
            <w:shd w:val="clear" w:color="auto" w:fill="FFFFFF" w:themeFill="background1"/>
          </w:tcPr>
          <w:p w14:paraId="4EB20BDD"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48,16%</w:t>
            </w:r>
          </w:p>
        </w:tc>
        <w:tc>
          <w:tcPr>
            <w:tcW w:w="809" w:type="dxa"/>
            <w:shd w:val="clear" w:color="auto" w:fill="FFFFFF" w:themeFill="background1"/>
          </w:tcPr>
          <w:p w14:paraId="1F7DF1A8"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3,30</w:t>
            </w:r>
          </w:p>
        </w:tc>
        <w:tc>
          <w:tcPr>
            <w:tcW w:w="624" w:type="dxa"/>
            <w:shd w:val="clear" w:color="auto" w:fill="FFFFFF" w:themeFill="background1"/>
          </w:tcPr>
          <w:p w14:paraId="3DAC81BD"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1,17</w:t>
            </w:r>
          </w:p>
        </w:tc>
        <w:tc>
          <w:tcPr>
            <w:tcW w:w="1078" w:type="dxa"/>
            <w:vMerge w:val="restart"/>
            <w:shd w:val="clear" w:color="auto" w:fill="FFFFFF" w:themeFill="background1"/>
          </w:tcPr>
          <w:p w14:paraId="1DFA02FC" w14:textId="77777777" w:rsidR="00C64A87" w:rsidRPr="00FD0B07" w:rsidRDefault="00C64A87" w:rsidP="00AC6201">
            <w:pPr>
              <w:rPr>
                <w:rFonts w:ascii="Times New Roman" w:hAnsi="Times New Roman" w:cs="Times New Roman"/>
                <w:color w:val="000000" w:themeColor="text1"/>
                <w:sz w:val="22"/>
                <w:szCs w:val="22"/>
              </w:rPr>
            </w:pPr>
            <w:r w:rsidRPr="00FD0B07">
              <w:rPr>
                <w:noProof/>
                <w:color w:val="000000" w:themeColor="text1"/>
                <w:sz w:val="22"/>
                <w:szCs w:val="22"/>
                <w:lang w:val="es-CO" w:eastAsia="es-CO"/>
              </w:rPr>
              <w:drawing>
                <wp:anchor distT="0" distB="0" distL="114300" distR="114300" simplePos="0" relativeHeight="251659264" behindDoc="1" locked="0" layoutInCell="1" allowOverlap="1" wp14:anchorId="0090D5A1" wp14:editId="4F603843">
                  <wp:simplePos x="0" y="0"/>
                  <wp:positionH relativeFrom="column">
                    <wp:posOffset>-55880</wp:posOffset>
                  </wp:positionH>
                  <wp:positionV relativeFrom="paragraph">
                    <wp:posOffset>205740</wp:posOffset>
                  </wp:positionV>
                  <wp:extent cx="1191895" cy="951865"/>
                  <wp:effectExtent l="0" t="0" r="8255" b="635"/>
                  <wp:wrapTight wrapText="bothSides">
                    <wp:wrapPolygon edited="0">
                      <wp:start x="0" y="0"/>
                      <wp:lineTo x="0" y="21182"/>
                      <wp:lineTo x="21404" y="21182"/>
                      <wp:lineTo x="21404" y="0"/>
                      <wp:lineTo x="0" y="0"/>
                    </wp:wrapPolygon>
                  </wp:wrapTight>
                  <wp:docPr id="1937947672" name="image5.png"/>
                  <wp:cNvGraphicFramePr/>
                  <a:graphic xmlns:a="http://schemas.openxmlformats.org/drawingml/2006/main">
                    <a:graphicData uri="http://schemas.openxmlformats.org/drawingml/2006/picture">
                      <pic:pic xmlns:pic="http://schemas.openxmlformats.org/drawingml/2006/picture">
                        <pic:nvPicPr>
                          <pic:cNvPr id="1937947672" name="image5.png"/>
                          <pic:cNvPicPr/>
                        </pic:nvPicPr>
                        <pic:blipFill>
                          <a:blip r:embed="rId13" cstate="print">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191895" cy="951865"/>
                          </a:xfrm>
                          <a:prstGeom prst="rect">
                            <a:avLst/>
                          </a:prstGeom>
                        </pic:spPr>
                      </pic:pic>
                    </a:graphicData>
                  </a:graphic>
                  <wp14:sizeRelH relativeFrom="margin">
                    <wp14:pctWidth>0</wp14:pctWidth>
                  </wp14:sizeRelH>
                  <wp14:sizeRelV relativeFrom="margin">
                    <wp14:pctHeight>0</wp14:pctHeight>
                  </wp14:sizeRelV>
                </wp:anchor>
              </w:drawing>
            </w:r>
          </w:p>
        </w:tc>
      </w:tr>
      <w:tr w:rsidR="00FD0B07" w:rsidRPr="00FD0B07" w14:paraId="4E6E503F" w14:textId="77777777" w:rsidTr="00BE45AA">
        <w:trPr>
          <w:trHeight w:val="498"/>
        </w:trPr>
        <w:tc>
          <w:tcPr>
            <w:tcW w:w="1620" w:type="dxa"/>
            <w:vMerge/>
            <w:shd w:val="clear" w:color="auto" w:fill="FFFFFF" w:themeFill="background1"/>
          </w:tcPr>
          <w:p w14:paraId="14BB85E4" w14:textId="77777777" w:rsidR="00C64A87" w:rsidRPr="00FD0B07" w:rsidRDefault="00C64A87" w:rsidP="00AC6201">
            <w:pPr>
              <w:widowControl w:val="0"/>
              <w:pBdr>
                <w:top w:val="nil"/>
                <w:left w:val="nil"/>
                <w:bottom w:val="nil"/>
                <w:right w:val="nil"/>
                <w:between w:val="nil"/>
              </w:pBdr>
              <w:rPr>
                <w:rFonts w:ascii="Times New Roman" w:hAnsi="Times New Roman" w:cs="Times New Roman"/>
                <w:color w:val="000000" w:themeColor="text1"/>
                <w:sz w:val="22"/>
                <w:szCs w:val="22"/>
              </w:rPr>
            </w:pPr>
          </w:p>
        </w:tc>
        <w:tc>
          <w:tcPr>
            <w:tcW w:w="1795" w:type="dxa"/>
            <w:shd w:val="clear" w:color="auto" w:fill="FFFFFF" w:themeFill="background1"/>
          </w:tcPr>
          <w:p w14:paraId="790C2975" w14:textId="77777777" w:rsidR="00C64A87" w:rsidRPr="00FD0B07" w:rsidRDefault="00C64A87" w:rsidP="00AC6201">
            <w:pPr>
              <w:rPr>
                <w:rFonts w:ascii="Times New Roman" w:hAnsi="Times New Roman" w:cs="Times New Roman"/>
                <w:b/>
                <w:color w:val="000000" w:themeColor="text1"/>
                <w:sz w:val="22"/>
                <w:szCs w:val="22"/>
              </w:rPr>
            </w:pPr>
            <w:r w:rsidRPr="00FD0B07">
              <w:rPr>
                <w:rFonts w:ascii="Times New Roman" w:hAnsi="Times New Roman" w:cs="Times New Roman"/>
                <w:b/>
                <w:color w:val="000000" w:themeColor="text1"/>
                <w:sz w:val="22"/>
                <w:szCs w:val="22"/>
              </w:rPr>
              <w:t>QI 14</w:t>
            </w:r>
          </w:p>
          <w:p w14:paraId="629F5F18" w14:textId="77777777" w:rsidR="00C64A87" w:rsidRPr="00FD0B07" w:rsidRDefault="00C64A87" w:rsidP="00AC6201">
            <w:pPr>
              <w:rPr>
                <w:rFonts w:ascii="Times New Roman" w:hAnsi="Times New Roman" w:cs="Times New Roman"/>
                <w:b/>
                <w:color w:val="000000" w:themeColor="text1"/>
                <w:sz w:val="22"/>
                <w:szCs w:val="22"/>
              </w:rPr>
            </w:pPr>
            <w:r w:rsidRPr="00FD0B07">
              <w:rPr>
                <w:rFonts w:ascii="Times New Roman" w:hAnsi="Times New Roman" w:cs="Times New Roman"/>
                <w:b/>
                <w:color w:val="000000" w:themeColor="text1"/>
                <w:sz w:val="22"/>
                <w:szCs w:val="22"/>
              </w:rPr>
              <w:t>Guidance</w:t>
            </w:r>
          </w:p>
        </w:tc>
        <w:tc>
          <w:tcPr>
            <w:tcW w:w="1005" w:type="dxa"/>
            <w:shd w:val="clear" w:color="auto" w:fill="FFFFFF" w:themeFill="background1"/>
          </w:tcPr>
          <w:p w14:paraId="171003A6"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21,74%</w:t>
            </w:r>
          </w:p>
        </w:tc>
        <w:tc>
          <w:tcPr>
            <w:tcW w:w="1548" w:type="dxa"/>
            <w:shd w:val="clear" w:color="auto" w:fill="FFFFFF" w:themeFill="background1"/>
          </w:tcPr>
          <w:p w14:paraId="5C68A84E"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19,06%</w:t>
            </w:r>
          </w:p>
        </w:tc>
        <w:tc>
          <w:tcPr>
            <w:tcW w:w="1268" w:type="dxa"/>
            <w:shd w:val="clear" w:color="auto" w:fill="FFFFFF" w:themeFill="background1"/>
          </w:tcPr>
          <w:p w14:paraId="360DB099"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59,19%</w:t>
            </w:r>
          </w:p>
        </w:tc>
        <w:tc>
          <w:tcPr>
            <w:tcW w:w="809" w:type="dxa"/>
            <w:shd w:val="clear" w:color="auto" w:fill="FFFFFF" w:themeFill="background1"/>
          </w:tcPr>
          <w:p w14:paraId="463CA583"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3,39</w:t>
            </w:r>
          </w:p>
        </w:tc>
        <w:tc>
          <w:tcPr>
            <w:tcW w:w="624" w:type="dxa"/>
            <w:shd w:val="clear" w:color="auto" w:fill="FFFFFF" w:themeFill="background1"/>
          </w:tcPr>
          <w:p w14:paraId="1FA67AD1"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1,33</w:t>
            </w:r>
          </w:p>
        </w:tc>
        <w:tc>
          <w:tcPr>
            <w:tcW w:w="1078" w:type="dxa"/>
            <w:vMerge/>
            <w:shd w:val="clear" w:color="auto" w:fill="FFFFFF" w:themeFill="background1"/>
          </w:tcPr>
          <w:p w14:paraId="50C270CD" w14:textId="77777777" w:rsidR="00C64A87" w:rsidRPr="00FD0B07" w:rsidRDefault="00C64A87" w:rsidP="00AC6201">
            <w:pPr>
              <w:widowControl w:val="0"/>
              <w:pBdr>
                <w:top w:val="nil"/>
                <w:left w:val="nil"/>
                <w:bottom w:val="nil"/>
                <w:right w:val="nil"/>
                <w:between w:val="nil"/>
              </w:pBdr>
              <w:rPr>
                <w:rFonts w:ascii="Times New Roman" w:hAnsi="Times New Roman" w:cs="Times New Roman"/>
                <w:color w:val="000000" w:themeColor="text1"/>
                <w:sz w:val="22"/>
                <w:szCs w:val="22"/>
              </w:rPr>
            </w:pPr>
          </w:p>
        </w:tc>
      </w:tr>
      <w:tr w:rsidR="00FD0B07" w:rsidRPr="00FD0B07" w14:paraId="01C185E0" w14:textId="77777777" w:rsidTr="00BE45AA">
        <w:trPr>
          <w:cnfStyle w:val="000000100000" w:firstRow="0" w:lastRow="0" w:firstColumn="0" w:lastColumn="0" w:oddVBand="0" w:evenVBand="0" w:oddHBand="1" w:evenHBand="0" w:firstRowFirstColumn="0" w:firstRowLastColumn="0" w:lastRowFirstColumn="0" w:lastRowLastColumn="0"/>
          <w:trHeight w:val="521"/>
        </w:trPr>
        <w:tc>
          <w:tcPr>
            <w:tcW w:w="1620" w:type="dxa"/>
            <w:vMerge/>
            <w:shd w:val="clear" w:color="auto" w:fill="FFFFFF" w:themeFill="background1"/>
          </w:tcPr>
          <w:p w14:paraId="790970AD" w14:textId="77777777" w:rsidR="00C64A87" w:rsidRPr="00FD0B07" w:rsidRDefault="00C64A87" w:rsidP="00AC6201">
            <w:pPr>
              <w:widowControl w:val="0"/>
              <w:pBdr>
                <w:top w:val="nil"/>
                <w:left w:val="nil"/>
                <w:bottom w:val="nil"/>
                <w:right w:val="nil"/>
                <w:between w:val="nil"/>
              </w:pBdr>
              <w:rPr>
                <w:rFonts w:ascii="Times New Roman" w:hAnsi="Times New Roman" w:cs="Times New Roman"/>
                <w:color w:val="000000" w:themeColor="text1"/>
                <w:sz w:val="22"/>
                <w:szCs w:val="22"/>
              </w:rPr>
            </w:pPr>
          </w:p>
        </w:tc>
        <w:tc>
          <w:tcPr>
            <w:tcW w:w="1795" w:type="dxa"/>
            <w:shd w:val="clear" w:color="auto" w:fill="FFFFFF" w:themeFill="background1"/>
          </w:tcPr>
          <w:p w14:paraId="7A349D59" w14:textId="77D36311" w:rsidR="00C64A87" w:rsidRPr="00FD0B07" w:rsidRDefault="00C64A87" w:rsidP="00AC6201">
            <w:pPr>
              <w:rPr>
                <w:rFonts w:ascii="Times New Roman" w:hAnsi="Times New Roman" w:cs="Times New Roman"/>
                <w:b/>
                <w:color w:val="000000" w:themeColor="text1"/>
                <w:sz w:val="22"/>
                <w:szCs w:val="22"/>
              </w:rPr>
            </w:pPr>
            <w:r w:rsidRPr="00FD0B07">
              <w:rPr>
                <w:rFonts w:ascii="Times New Roman" w:hAnsi="Times New Roman" w:cs="Times New Roman"/>
                <w:b/>
                <w:color w:val="000000" w:themeColor="text1"/>
                <w:sz w:val="22"/>
                <w:szCs w:val="22"/>
              </w:rPr>
              <w:t>QI 1</w:t>
            </w:r>
            <w:r w:rsidR="00A72BF7">
              <w:rPr>
                <w:rFonts w:ascii="Times New Roman" w:hAnsi="Times New Roman" w:cs="Times New Roman"/>
                <w:b/>
                <w:color w:val="000000" w:themeColor="text1"/>
                <w:sz w:val="22"/>
                <w:szCs w:val="22"/>
              </w:rPr>
              <w:t>5</w:t>
            </w:r>
          </w:p>
          <w:p w14:paraId="4F854CF4" w14:textId="77777777" w:rsidR="00C64A87" w:rsidRPr="00FD0B07" w:rsidRDefault="00C64A87" w:rsidP="00AC6201">
            <w:pPr>
              <w:rPr>
                <w:rFonts w:ascii="Times New Roman" w:hAnsi="Times New Roman" w:cs="Times New Roman"/>
                <w:b/>
                <w:color w:val="000000" w:themeColor="text1"/>
                <w:sz w:val="22"/>
                <w:szCs w:val="22"/>
              </w:rPr>
            </w:pPr>
            <w:r w:rsidRPr="00FD0B07">
              <w:rPr>
                <w:rFonts w:ascii="Times New Roman" w:hAnsi="Times New Roman" w:cs="Times New Roman"/>
                <w:b/>
                <w:color w:val="000000" w:themeColor="text1"/>
                <w:sz w:val="22"/>
                <w:szCs w:val="22"/>
              </w:rPr>
              <w:t>Collaborative Learning</w:t>
            </w:r>
          </w:p>
        </w:tc>
        <w:tc>
          <w:tcPr>
            <w:tcW w:w="1005" w:type="dxa"/>
            <w:shd w:val="clear" w:color="auto" w:fill="FFFFFF" w:themeFill="background1"/>
          </w:tcPr>
          <w:p w14:paraId="47E5FC97"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20,74%</w:t>
            </w:r>
          </w:p>
        </w:tc>
        <w:tc>
          <w:tcPr>
            <w:tcW w:w="1548" w:type="dxa"/>
            <w:shd w:val="clear" w:color="auto" w:fill="FFFFFF" w:themeFill="background1"/>
          </w:tcPr>
          <w:p w14:paraId="5D17FF6D"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45,48%</w:t>
            </w:r>
          </w:p>
        </w:tc>
        <w:tc>
          <w:tcPr>
            <w:tcW w:w="1268" w:type="dxa"/>
            <w:shd w:val="clear" w:color="auto" w:fill="FFFFFF" w:themeFill="background1"/>
          </w:tcPr>
          <w:p w14:paraId="7CAED8E1"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33,78%</w:t>
            </w:r>
          </w:p>
        </w:tc>
        <w:tc>
          <w:tcPr>
            <w:tcW w:w="809" w:type="dxa"/>
            <w:shd w:val="clear" w:color="auto" w:fill="FFFFFF" w:themeFill="background1"/>
          </w:tcPr>
          <w:p w14:paraId="5AC3193C"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3,24</w:t>
            </w:r>
          </w:p>
        </w:tc>
        <w:tc>
          <w:tcPr>
            <w:tcW w:w="624" w:type="dxa"/>
            <w:shd w:val="clear" w:color="auto" w:fill="FFFFFF" w:themeFill="background1"/>
          </w:tcPr>
          <w:p w14:paraId="09AC0969"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1,03</w:t>
            </w:r>
          </w:p>
        </w:tc>
        <w:tc>
          <w:tcPr>
            <w:tcW w:w="1078" w:type="dxa"/>
            <w:vMerge/>
            <w:shd w:val="clear" w:color="auto" w:fill="FFFFFF" w:themeFill="background1"/>
          </w:tcPr>
          <w:p w14:paraId="27F1C93A" w14:textId="77777777" w:rsidR="00C64A87" w:rsidRPr="00FD0B07" w:rsidRDefault="00C64A87" w:rsidP="00AC6201">
            <w:pPr>
              <w:widowControl w:val="0"/>
              <w:pBdr>
                <w:top w:val="nil"/>
                <w:left w:val="nil"/>
                <w:bottom w:val="nil"/>
                <w:right w:val="nil"/>
                <w:between w:val="nil"/>
              </w:pBdr>
              <w:rPr>
                <w:rFonts w:ascii="Times New Roman" w:hAnsi="Times New Roman" w:cs="Times New Roman"/>
                <w:color w:val="000000" w:themeColor="text1"/>
                <w:sz w:val="22"/>
                <w:szCs w:val="22"/>
              </w:rPr>
            </w:pPr>
          </w:p>
        </w:tc>
      </w:tr>
      <w:tr w:rsidR="00FD0B07" w:rsidRPr="00FD0B07" w14:paraId="577DE561" w14:textId="77777777" w:rsidTr="00BE45AA">
        <w:trPr>
          <w:trHeight w:val="307"/>
        </w:trPr>
        <w:tc>
          <w:tcPr>
            <w:tcW w:w="1620" w:type="dxa"/>
            <w:vMerge/>
            <w:shd w:val="clear" w:color="auto" w:fill="FFFFFF" w:themeFill="background1"/>
          </w:tcPr>
          <w:p w14:paraId="783980A5" w14:textId="77777777" w:rsidR="00C64A87" w:rsidRPr="00FD0B07" w:rsidRDefault="00C64A87" w:rsidP="00AC6201">
            <w:pPr>
              <w:widowControl w:val="0"/>
              <w:pBdr>
                <w:top w:val="nil"/>
                <w:left w:val="nil"/>
                <w:bottom w:val="nil"/>
                <w:right w:val="nil"/>
                <w:between w:val="nil"/>
              </w:pBdr>
              <w:rPr>
                <w:rFonts w:ascii="Times New Roman" w:hAnsi="Times New Roman" w:cs="Times New Roman"/>
                <w:color w:val="000000" w:themeColor="text1"/>
                <w:sz w:val="22"/>
                <w:szCs w:val="22"/>
              </w:rPr>
            </w:pPr>
          </w:p>
        </w:tc>
        <w:tc>
          <w:tcPr>
            <w:tcW w:w="1795" w:type="dxa"/>
            <w:shd w:val="clear" w:color="auto" w:fill="FFFFFF" w:themeFill="background1"/>
          </w:tcPr>
          <w:p w14:paraId="51092278" w14:textId="77777777" w:rsidR="00C64A87" w:rsidRPr="00FD0B07" w:rsidRDefault="00C64A87" w:rsidP="00AC6201">
            <w:pPr>
              <w:rPr>
                <w:rFonts w:ascii="Times New Roman" w:hAnsi="Times New Roman" w:cs="Times New Roman"/>
                <w:b/>
                <w:color w:val="000000" w:themeColor="text1"/>
                <w:sz w:val="22"/>
                <w:szCs w:val="22"/>
              </w:rPr>
            </w:pPr>
            <w:r w:rsidRPr="00FD0B07">
              <w:rPr>
                <w:rFonts w:ascii="Times New Roman" w:hAnsi="Times New Roman" w:cs="Times New Roman"/>
                <w:b/>
                <w:color w:val="000000" w:themeColor="text1"/>
                <w:sz w:val="22"/>
                <w:szCs w:val="22"/>
              </w:rPr>
              <w:t>QI 16</w:t>
            </w:r>
          </w:p>
          <w:p w14:paraId="667C2EFB" w14:textId="77777777" w:rsidR="00C64A87" w:rsidRPr="00FD0B07" w:rsidRDefault="00C64A87" w:rsidP="00AC6201">
            <w:pPr>
              <w:rPr>
                <w:rFonts w:ascii="Times New Roman" w:hAnsi="Times New Roman" w:cs="Times New Roman"/>
                <w:b/>
                <w:color w:val="000000" w:themeColor="text1"/>
                <w:sz w:val="22"/>
                <w:szCs w:val="22"/>
              </w:rPr>
            </w:pPr>
            <w:r w:rsidRPr="00FD0B07">
              <w:rPr>
                <w:rFonts w:ascii="Times New Roman" w:hAnsi="Times New Roman" w:cs="Times New Roman"/>
                <w:b/>
                <w:color w:val="000000" w:themeColor="text1"/>
                <w:sz w:val="22"/>
                <w:szCs w:val="22"/>
              </w:rPr>
              <w:t>Self-Regulated Learning</w:t>
            </w:r>
          </w:p>
        </w:tc>
        <w:tc>
          <w:tcPr>
            <w:tcW w:w="1005" w:type="dxa"/>
            <w:shd w:val="clear" w:color="auto" w:fill="FFFFFF" w:themeFill="background1"/>
          </w:tcPr>
          <w:p w14:paraId="452347C6"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37,12%</w:t>
            </w:r>
          </w:p>
        </w:tc>
        <w:tc>
          <w:tcPr>
            <w:tcW w:w="1548" w:type="dxa"/>
            <w:shd w:val="clear" w:color="auto" w:fill="FFFFFF" w:themeFill="background1"/>
          </w:tcPr>
          <w:p w14:paraId="758542AE"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30,10%</w:t>
            </w:r>
          </w:p>
        </w:tc>
        <w:tc>
          <w:tcPr>
            <w:tcW w:w="1268" w:type="dxa"/>
            <w:shd w:val="clear" w:color="auto" w:fill="FFFFFF" w:themeFill="background1"/>
          </w:tcPr>
          <w:p w14:paraId="145BFF8E"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32,78%</w:t>
            </w:r>
          </w:p>
        </w:tc>
        <w:tc>
          <w:tcPr>
            <w:tcW w:w="809" w:type="dxa"/>
            <w:shd w:val="clear" w:color="auto" w:fill="FFFFFF" w:themeFill="background1"/>
          </w:tcPr>
          <w:p w14:paraId="2867A542"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2,93</w:t>
            </w:r>
          </w:p>
        </w:tc>
        <w:tc>
          <w:tcPr>
            <w:tcW w:w="624" w:type="dxa"/>
            <w:shd w:val="clear" w:color="auto" w:fill="FFFFFF" w:themeFill="background1"/>
          </w:tcPr>
          <w:p w14:paraId="2B3B9112"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1,20</w:t>
            </w:r>
          </w:p>
        </w:tc>
        <w:tc>
          <w:tcPr>
            <w:tcW w:w="1078" w:type="dxa"/>
            <w:vMerge/>
            <w:shd w:val="clear" w:color="auto" w:fill="FFFFFF" w:themeFill="background1"/>
          </w:tcPr>
          <w:p w14:paraId="27392CF1" w14:textId="77777777" w:rsidR="00C64A87" w:rsidRPr="00FD0B07" w:rsidRDefault="00C64A87" w:rsidP="00AC6201">
            <w:pPr>
              <w:widowControl w:val="0"/>
              <w:pBdr>
                <w:top w:val="nil"/>
                <w:left w:val="nil"/>
                <w:bottom w:val="nil"/>
                <w:right w:val="nil"/>
                <w:between w:val="nil"/>
              </w:pBdr>
              <w:rPr>
                <w:rFonts w:ascii="Times New Roman" w:hAnsi="Times New Roman" w:cs="Times New Roman"/>
                <w:color w:val="000000" w:themeColor="text1"/>
                <w:sz w:val="22"/>
                <w:szCs w:val="22"/>
              </w:rPr>
            </w:pPr>
          </w:p>
        </w:tc>
      </w:tr>
      <w:tr w:rsidR="00FD0B07" w:rsidRPr="00FD0B07" w14:paraId="70299C71" w14:textId="77777777" w:rsidTr="00BE45AA">
        <w:trPr>
          <w:cnfStyle w:val="000000100000" w:firstRow="0" w:lastRow="0" w:firstColumn="0" w:lastColumn="0" w:oddVBand="0" w:evenVBand="0" w:oddHBand="1" w:evenHBand="0" w:firstRowFirstColumn="0" w:firstRowLastColumn="0" w:lastRowFirstColumn="0" w:lastRowLastColumn="0"/>
          <w:trHeight w:val="709"/>
        </w:trPr>
        <w:tc>
          <w:tcPr>
            <w:tcW w:w="1620" w:type="dxa"/>
            <w:vMerge w:val="restart"/>
            <w:shd w:val="clear" w:color="auto" w:fill="FFFFFF" w:themeFill="background1"/>
          </w:tcPr>
          <w:p w14:paraId="13D58D30" w14:textId="77777777" w:rsidR="00C64A87" w:rsidRPr="00FD0B07" w:rsidRDefault="00C64A87" w:rsidP="00AC6201">
            <w:pPr>
              <w:rPr>
                <w:rFonts w:ascii="Times New Roman" w:hAnsi="Times New Roman" w:cs="Times New Roman"/>
                <w:b/>
                <w:color w:val="000000" w:themeColor="text1"/>
                <w:sz w:val="22"/>
                <w:szCs w:val="22"/>
              </w:rPr>
            </w:pPr>
            <w:r w:rsidRPr="00FD0B07">
              <w:rPr>
                <w:rFonts w:ascii="Times New Roman" w:hAnsi="Times New Roman" w:cs="Times New Roman"/>
                <w:b/>
                <w:color w:val="000000" w:themeColor="text1"/>
                <w:sz w:val="22"/>
                <w:szCs w:val="22"/>
              </w:rPr>
              <w:t>Area 4</w:t>
            </w:r>
          </w:p>
          <w:p w14:paraId="029620D7" w14:textId="77777777" w:rsidR="00C64A87" w:rsidRPr="00FD0B07" w:rsidRDefault="00C64A87" w:rsidP="00AC6201">
            <w:pPr>
              <w:rPr>
                <w:rFonts w:ascii="Times New Roman" w:hAnsi="Times New Roman" w:cs="Times New Roman"/>
                <w:b/>
                <w:color w:val="000000" w:themeColor="text1"/>
                <w:sz w:val="22"/>
                <w:szCs w:val="22"/>
              </w:rPr>
            </w:pPr>
            <w:r w:rsidRPr="00FD0B07">
              <w:rPr>
                <w:rFonts w:ascii="Times New Roman" w:hAnsi="Times New Roman" w:cs="Times New Roman"/>
                <w:b/>
                <w:color w:val="000000" w:themeColor="text1"/>
                <w:sz w:val="22"/>
                <w:szCs w:val="22"/>
              </w:rPr>
              <w:t>Assessment</w:t>
            </w:r>
          </w:p>
        </w:tc>
        <w:tc>
          <w:tcPr>
            <w:tcW w:w="1795" w:type="dxa"/>
            <w:shd w:val="clear" w:color="auto" w:fill="FFFFFF" w:themeFill="background1"/>
          </w:tcPr>
          <w:p w14:paraId="547686A3" w14:textId="77777777" w:rsidR="00C64A87" w:rsidRPr="00FD0B07" w:rsidRDefault="00C64A87" w:rsidP="00AC6201">
            <w:pPr>
              <w:rPr>
                <w:rFonts w:ascii="Times New Roman" w:hAnsi="Times New Roman" w:cs="Times New Roman"/>
                <w:b/>
                <w:color w:val="000000" w:themeColor="text1"/>
                <w:sz w:val="22"/>
                <w:szCs w:val="22"/>
              </w:rPr>
            </w:pPr>
            <w:r w:rsidRPr="00FD0B07">
              <w:rPr>
                <w:rFonts w:ascii="Times New Roman" w:hAnsi="Times New Roman" w:cs="Times New Roman"/>
                <w:b/>
                <w:color w:val="000000" w:themeColor="text1"/>
                <w:sz w:val="22"/>
                <w:szCs w:val="22"/>
              </w:rPr>
              <w:t>QI 17</w:t>
            </w:r>
          </w:p>
          <w:p w14:paraId="6217ED56" w14:textId="77777777" w:rsidR="00C64A87" w:rsidRPr="00FD0B07" w:rsidRDefault="00C64A87" w:rsidP="00AC6201">
            <w:pPr>
              <w:rPr>
                <w:rFonts w:ascii="Times New Roman" w:hAnsi="Times New Roman" w:cs="Times New Roman"/>
                <w:b/>
                <w:color w:val="000000" w:themeColor="text1"/>
                <w:sz w:val="22"/>
                <w:szCs w:val="22"/>
              </w:rPr>
            </w:pPr>
            <w:r w:rsidRPr="00FD0B07">
              <w:rPr>
                <w:rFonts w:ascii="Times New Roman" w:hAnsi="Times New Roman" w:cs="Times New Roman"/>
                <w:b/>
                <w:color w:val="000000" w:themeColor="text1"/>
                <w:sz w:val="22"/>
                <w:szCs w:val="22"/>
              </w:rPr>
              <w:t>Assessment Strategies</w:t>
            </w:r>
          </w:p>
        </w:tc>
        <w:tc>
          <w:tcPr>
            <w:tcW w:w="1005" w:type="dxa"/>
            <w:shd w:val="clear" w:color="auto" w:fill="FFFFFF" w:themeFill="background1"/>
          </w:tcPr>
          <w:p w14:paraId="4AF8F015"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30,10%</w:t>
            </w:r>
          </w:p>
        </w:tc>
        <w:tc>
          <w:tcPr>
            <w:tcW w:w="1548" w:type="dxa"/>
            <w:shd w:val="clear" w:color="auto" w:fill="FFFFFF" w:themeFill="background1"/>
          </w:tcPr>
          <w:p w14:paraId="4B1F286D"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40,47%</w:t>
            </w:r>
          </w:p>
        </w:tc>
        <w:tc>
          <w:tcPr>
            <w:tcW w:w="1268" w:type="dxa"/>
            <w:shd w:val="clear" w:color="auto" w:fill="FFFFFF" w:themeFill="background1"/>
          </w:tcPr>
          <w:p w14:paraId="055EAC6D"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29,43%</w:t>
            </w:r>
          </w:p>
        </w:tc>
        <w:tc>
          <w:tcPr>
            <w:tcW w:w="809" w:type="dxa"/>
            <w:shd w:val="clear" w:color="auto" w:fill="FFFFFF" w:themeFill="background1"/>
          </w:tcPr>
          <w:p w14:paraId="1C09885F"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3,06</w:t>
            </w:r>
          </w:p>
        </w:tc>
        <w:tc>
          <w:tcPr>
            <w:tcW w:w="624" w:type="dxa"/>
            <w:shd w:val="clear" w:color="auto" w:fill="FFFFFF" w:themeFill="background1"/>
          </w:tcPr>
          <w:p w14:paraId="34C175E3"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0,91</w:t>
            </w:r>
          </w:p>
        </w:tc>
        <w:tc>
          <w:tcPr>
            <w:tcW w:w="1078" w:type="dxa"/>
            <w:vMerge w:val="restart"/>
            <w:shd w:val="clear" w:color="auto" w:fill="FFFFFF" w:themeFill="background1"/>
          </w:tcPr>
          <w:p w14:paraId="7CD442FA" w14:textId="77777777" w:rsidR="00C64A87" w:rsidRPr="00FD0B07" w:rsidRDefault="00C64A87" w:rsidP="00AC6201">
            <w:pPr>
              <w:rPr>
                <w:rFonts w:ascii="Times New Roman" w:hAnsi="Times New Roman" w:cs="Times New Roman"/>
                <w:color w:val="000000" w:themeColor="text1"/>
                <w:sz w:val="22"/>
                <w:szCs w:val="22"/>
              </w:rPr>
            </w:pPr>
            <w:r w:rsidRPr="00FD0B07">
              <w:rPr>
                <w:noProof/>
                <w:color w:val="000000" w:themeColor="text1"/>
                <w:sz w:val="22"/>
                <w:szCs w:val="22"/>
                <w:lang w:val="es-CO" w:eastAsia="es-CO"/>
              </w:rPr>
              <w:drawing>
                <wp:inline distT="0" distB="0" distL="0" distR="0" wp14:anchorId="395B33B7" wp14:editId="41E8B230">
                  <wp:extent cx="666750" cy="723630"/>
                  <wp:effectExtent l="0" t="0" r="0" b="635"/>
                  <wp:docPr id="1937947671" name="image7.png"/>
                  <wp:cNvGraphicFramePr/>
                  <a:graphic xmlns:a="http://schemas.openxmlformats.org/drawingml/2006/main">
                    <a:graphicData uri="http://schemas.openxmlformats.org/drawingml/2006/picture">
                      <pic:pic xmlns:pic="http://schemas.openxmlformats.org/drawingml/2006/picture">
                        <pic:nvPicPr>
                          <pic:cNvPr id="1937947671" name="image7.png"/>
                          <pic:cNvPicPr/>
                        </pic:nvPicPr>
                        <pic:blipFill>
                          <a:blip r:embed="rId15"/>
                          <a:stretch>
                            <a:fillRect/>
                          </a:stretch>
                        </pic:blipFill>
                        <pic:spPr>
                          <a:xfrm>
                            <a:off x="0" y="0"/>
                            <a:ext cx="678263" cy="736125"/>
                          </a:xfrm>
                          <a:prstGeom prst="rect">
                            <a:avLst/>
                          </a:prstGeom>
                        </pic:spPr>
                      </pic:pic>
                    </a:graphicData>
                  </a:graphic>
                </wp:inline>
              </w:drawing>
            </w:r>
          </w:p>
          <w:p w14:paraId="761A75E4" w14:textId="77777777" w:rsidR="00C64A87" w:rsidRPr="00FD0B07" w:rsidRDefault="00C64A87" w:rsidP="00AC6201">
            <w:pPr>
              <w:rPr>
                <w:rFonts w:ascii="Times New Roman" w:hAnsi="Times New Roman" w:cs="Times New Roman"/>
                <w:color w:val="000000" w:themeColor="text1"/>
                <w:sz w:val="22"/>
                <w:szCs w:val="22"/>
              </w:rPr>
            </w:pPr>
          </w:p>
        </w:tc>
      </w:tr>
      <w:tr w:rsidR="00FD0B07" w:rsidRPr="00FD0B07" w14:paraId="273A69E8" w14:textId="77777777" w:rsidTr="00BE45AA">
        <w:trPr>
          <w:trHeight w:val="1070"/>
        </w:trPr>
        <w:tc>
          <w:tcPr>
            <w:tcW w:w="1620" w:type="dxa"/>
            <w:vMerge/>
            <w:shd w:val="clear" w:color="auto" w:fill="FFFFFF" w:themeFill="background1"/>
          </w:tcPr>
          <w:p w14:paraId="07639B8E" w14:textId="77777777" w:rsidR="00C64A87" w:rsidRPr="00FD0B07" w:rsidRDefault="00C64A87" w:rsidP="00AC6201">
            <w:pPr>
              <w:widowControl w:val="0"/>
              <w:pBdr>
                <w:top w:val="nil"/>
                <w:left w:val="nil"/>
                <w:bottom w:val="nil"/>
                <w:right w:val="nil"/>
                <w:between w:val="nil"/>
              </w:pBdr>
              <w:rPr>
                <w:rFonts w:ascii="Times New Roman" w:hAnsi="Times New Roman" w:cs="Times New Roman"/>
                <w:color w:val="000000" w:themeColor="text1"/>
                <w:sz w:val="22"/>
                <w:szCs w:val="22"/>
              </w:rPr>
            </w:pPr>
          </w:p>
        </w:tc>
        <w:tc>
          <w:tcPr>
            <w:tcW w:w="1795" w:type="dxa"/>
            <w:tcBorders>
              <w:bottom w:val="single" w:sz="2" w:space="0" w:color="000000" w:themeColor="text1"/>
            </w:tcBorders>
            <w:shd w:val="clear" w:color="auto" w:fill="FFFFFF" w:themeFill="background1"/>
          </w:tcPr>
          <w:p w14:paraId="13535DD9" w14:textId="77777777" w:rsidR="00C64A87" w:rsidRPr="00FD0B07" w:rsidRDefault="00C64A87" w:rsidP="00AC6201">
            <w:pPr>
              <w:rPr>
                <w:rFonts w:ascii="Times New Roman" w:hAnsi="Times New Roman" w:cs="Times New Roman"/>
                <w:b/>
                <w:color w:val="000000" w:themeColor="text1"/>
                <w:sz w:val="22"/>
                <w:szCs w:val="22"/>
              </w:rPr>
            </w:pPr>
            <w:r w:rsidRPr="00FD0B07">
              <w:rPr>
                <w:rFonts w:ascii="Times New Roman" w:hAnsi="Times New Roman" w:cs="Times New Roman"/>
                <w:b/>
                <w:color w:val="000000" w:themeColor="text1"/>
                <w:sz w:val="22"/>
                <w:szCs w:val="22"/>
              </w:rPr>
              <w:t>QI 18</w:t>
            </w:r>
          </w:p>
          <w:p w14:paraId="0043F759" w14:textId="77777777" w:rsidR="00C64A87" w:rsidRPr="00FD0B07" w:rsidRDefault="00C64A87" w:rsidP="00AC6201">
            <w:pPr>
              <w:rPr>
                <w:rFonts w:ascii="Times New Roman" w:hAnsi="Times New Roman" w:cs="Times New Roman"/>
                <w:b/>
                <w:color w:val="000000" w:themeColor="text1"/>
                <w:sz w:val="22"/>
                <w:szCs w:val="22"/>
              </w:rPr>
            </w:pPr>
            <w:r w:rsidRPr="00FD0B07">
              <w:rPr>
                <w:rFonts w:ascii="Times New Roman" w:hAnsi="Times New Roman" w:cs="Times New Roman"/>
                <w:b/>
                <w:color w:val="000000" w:themeColor="text1"/>
                <w:sz w:val="22"/>
                <w:szCs w:val="22"/>
              </w:rPr>
              <w:t>Feedback and Planning</w:t>
            </w:r>
          </w:p>
        </w:tc>
        <w:tc>
          <w:tcPr>
            <w:tcW w:w="1005" w:type="dxa"/>
            <w:tcBorders>
              <w:bottom w:val="single" w:sz="2" w:space="0" w:color="000000" w:themeColor="text1"/>
            </w:tcBorders>
            <w:shd w:val="clear" w:color="auto" w:fill="FFFFFF" w:themeFill="background1"/>
          </w:tcPr>
          <w:p w14:paraId="4A74B692"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41,47%</w:t>
            </w:r>
          </w:p>
        </w:tc>
        <w:tc>
          <w:tcPr>
            <w:tcW w:w="1548" w:type="dxa"/>
            <w:tcBorders>
              <w:bottom w:val="single" w:sz="2" w:space="0" w:color="000000" w:themeColor="text1"/>
            </w:tcBorders>
            <w:shd w:val="clear" w:color="auto" w:fill="FFFFFF" w:themeFill="background1"/>
          </w:tcPr>
          <w:p w14:paraId="7A8CE371"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35,79%</w:t>
            </w:r>
          </w:p>
        </w:tc>
        <w:tc>
          <w:tcPr>
            <w:tcW w:w="1268" w:type="dxa"/>
            <w:tcBorders>
              <w:bottom w:val="single" w:sz="2" w:space="0" w:color="000000" w:themeColor="text1"/>
            </w:tcBorders>
            <w:shd w:val="clear" w:color="auto" w:fill="FFFFFF" w:themeFill="background1"/>
          </w:tcPr>
          <w:p w14:paraId="09FE5D91"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22,74%</w:t>
            </w:r>
          </w:p>
        </w:tc>
        <w:tc>
          <w:tcPr>
            <w:tcW w:w="809" w:type="dxa"/>
            <w:tcBorders>
              <w:bottom w:val="single" w:sz="2" w:space="0" w:color="000000" w:themeColor="text1"/>
            </w:tcBorders>
            <w:shd w:val="clear" w:color="auto" w:fill="FFFFFF" w:themeFill="background1"/>
          </w:tcPr>
          <w:p w14:paraId="7E582C5C"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2,89</w:t>
            </w:r>
          </w:p>
        </w:tc>
        <w:tc>
          <w:tcPr>
            <w:tcW w:w="624" w:type="dxa"/>
            <w:tcBorders>
              <w:bottom w:val="single" w:sz="2" w:space="0" w:color="000000" w:themeColor="text1"/>
            </w:tcBorders>
            <w:shd w:val="clear" w:color="auto" w:fill="FFFFFF" w:themeFill="background1"/>
          </w:tcPr>
          <w:p w14:paraId="17AAB777"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0,96</w:t>
            </w:r>
          </w:p>
        </w:tc>
        <w:tc>
          <w:tcPr>
            <w:tcW w:w="1078" w:type="dxa"/>
            <w:vMerge/>
            <w:tcBorders>
              <w:bottom w:val="single" w:sz="2" w:space="0" w:color="000000" w:themeColor="text1"/>
            </w:tcBorders>
            <w:shd w:val="clear" w:color="auto" w:fill="FFFFFF" w:themeFill="background1"/>
          </w:tcPr>
          <w:p w14:paraId="0B4D1565" w14:textId="77777777" w:rsidR="00C64A87" w:rsidRPr="00FD0B07" w:rsidRDefault="00C64A87" w:rsidP="00AC6201">
            <w:pPr>
              <w:widowControl w:val="0"/>
              <w:pBdr>
                <w:top w:val="nil"/>
                <w:left w:val="nil"/>
                <w:bottom w:val="nil"/>
                <w:right w:val="nil"/>
                <w:between w:val="nil"/>
              </w:pBdr>
              <w:rPr>
                <w:rFonts w:ascii="Times New Roman" w:hAnsi="Times New Roman" w:cs="Times New Roman"/>
                <w:color w:val="000000" w:themeColor="text1"/>
                <w:sz w:val="22"/>
                <w:szCs w:val="22"/>
              </w:rPr>
            </w:pPr>
          </w:p>
        </w:tc>
      </w:tr>
      <w:tr w:rsidR="00FD0B07" w:rsidRPr="00FD0B07" w14:paraId="23081469" w14:textId="77777777" w:rsidTr="00BE45AA">
        <w:trPr>
          <w:cnfStyle w:val="000000100000" w:firstRow="0" w:lastRow="0" w:firstColumn="0" w:lastColumn="0" w:oddVBand="0" w:evenVBand="0" w:oddHBand="1" w:evenHBand="0" w:firstRowFirstColumn="0" w:firstRowLastColumn="0" w:lastRowFirstColumn="0" w:lastRowLastColumn="0"/>
          <w:trHeight w:val="401"/>
        </w:trPr>
        <w:tc>
          <w:tcPr>
            <w:tcW w:w="1620" w:type="dxa"/>
            <w:vMerge w:val="restart"/>
            <w:shd w:val="clear" w:color="auto" w:fill="FFFFFF" w:themeFill="background1"/>
          </w:tcPr>
          <w:p w14:paraId="06FDB530" w14:textId="77777777" w:rsidR="00C64A87" w:rsidRPr="00FD0B07" w:rsidRDefault="00C64A87" w:rsidP="00AC6201">
            <w:pPr>
              <w:rPr>
                <w:rFonts w:ascii="Times New Roman" w:hAnsi="Times New Roman" w:cs="Times New Roman"/>
                <w:b/>
                <w:color w:val="000000" w:themeColor="text1"/>
                <w:sz w:val="22"/>
                <w:szCs w:val="22"/>
              </w:rPr>
            </w:pPr>
            <w:r w:rsidRPr="00FD0B07">
              <w:rPr>
                <w:rFonts w:ascii="Times New Roman" w:hAnsi="Times New Roman" w:cs="Times New Roman"/>
                <w:b/>
                <w:color w:val="000000" w:themeColor="text1"/>
                <w:sz w:val="22"/>
                <w:szCs w:val="22"/>
              </w:rPr>
              <w:t>Area 5</w:t>
            </w:r>
          </w:p>
          <w:p w14:paraId="4E1CA5FD" w14:textId="77777777" w:rsidR="00C64A87" w:rsidRPr="00FD0B07" w:rsidRDefault="00C64A87" w:rsidP="00AC6201">
            <w:pPr>
              <w:rPr>
                <w:rFonts w:ascii="Times New Roman" w:hAnsi="Times New Roman" w:cs="Times New Roman"/>
                <w:b/>
                <w:color w:val="000000" w:themeColor="text1"/>
                <w:sz w:val="22"/>
                <w:szCs w:val="22"/>
              </w:rPr>
            </w:pPr>
            <w:r w:rsidRPr="00FD0B07">
              <w:rPr>
                <w:rFonts w:ascii="Times New Roman" w:hAnsi="Times New Roman" w:cs="Times New Roman"/>
                <w:b/>
                <w:color w:val="000000" w:themeColor="text1"/>
                <w:sz w:val="22"/>
                <w:szCs w:val="22"/>
              </w:rPr>
              <w:t>Facilitating Learners’ DC</w:t>
            </w:r>
          </w:p>
        </w:tc>
        <w:tc>
          <w:tcPr>
            <w:tcW w:w="1795" w:type="dxa"/>
            <w:tcBorders>
              <w:bottom w:val="single" w:sz="2" w:space="0" w:color="000000" w:themeColor="text1"/>
            </w:tcBorders>
            <w:shd w:val="clear" w:color="auto" w:fill="FFFFFF" w:themeFill="background1"/>
          </w:tcPr>
          <w:p w14:paraId="3C18B38D" w14:textId="77777777" w:rsidR="00C64A87" w:rsidRPr="00FD0B07" w:rsidRDefault="00C64A87" w:rsidP="00AC6201">
            <w:pPr>
              <w:rPr>
                <w:rFonts w:ascii="Times New Roman" w:hAnsi="Times New Roman" w:cs="Times New Roman"/>
                <w:b/>
                <w:color w:val="000000" w:themeColor="text1"/>
                <w:sz w:val="22"/>
                <w:szCs w:val="22"/>
              </w:rPr>
            </w:pPr>
            <w:r w:rsidRPr="00FD0B07">
              <w:rPr>
                <w:rFonts w:ascii="Times New Roman" w:hAnsi="Times New Roman" w:cs="Times New Roman"/>
                <w:b/>
                <w:color w:val="000000" w:themeColor="text1"/>
                <w:sz w:val="22"/>
                <w:szCs w:val="22"/>
              </w:rPr>
              <w:t>QI 19</w:t>
            </w:r>
          </w:p>
          <w:p w14:paraId="1AACFD7E" w14:textId="77777777" w:rsidR="00C64A87" w:rsidRPr="00FD0B07" w:rsidRDefault="00C64A87" w:rsidP="00AC6201">
            <w:pPr>
              <w:rPr>
                <w:rFonts w:ascii="Times New Roman" w:hAnsi="Times New Roman" w:cs="Times New Roman"/>
                <w:b/>
                <w:color w:val="000000" w:themeColor="text1"/>
                <w:sz w:val="22"/>
                <w:szCs w:val="22"/>
              </w:rPr>
            </w:pPr>
            <w:r w:rsidRPr="00FD0B07">
              <w:rPr>
                <w:rFonts w:ascii="Times New Roman" w:hAnsi="Times New Roman" w:cs="Times New Roman"/>
                <w:b/>
                <w:color w:val="000000" w:themeColor="text1"/>
                <w:sz w:val="22"/>
                <w:szCs w:val="22"/>
              </w:rPr>
              <w:t>Information and Media Literacy</w:t>
            </w:r>
          </w:p>
        </w:tc>
        <w:tc>
          <w:tcPr>
            <w:tcW w:w="1005" w:type="dxa"/>
            <w:tcBorders>
              <w:bottom w:val="single" w:sz="2" w:space="0" w:color="000000" w:themeColor="text1"/>
            </w:tcBorders>
            <w:shd w:val="clear" w:color="auto" w:fill="FFFFFF" w:themeFill="background1"/>
          </w:tcPr>
          <w:p w14:paraId="7985995F"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51,17%</w:t>
            </w:r>
          </w:p>
        </w:tc>
        <w:tc>
          <w:tcPr>
            <w:tcW w:w="1548" w:type="dxa"/>
            <w:tcBorders>
              <w:bottom w:val="single" w:sz="2" w:space="0" w:color="000000" w:themeColor="text1"/>
            </w:tcBorders>
            <w:shd w:val="clear" w:color="auto" w:fill="FFFFFF" w:themeFill="background1"/>
          </w:tcPr>
          <w:p w14:paraId="1559C01C"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28,43%</w:t>
            </w:r>
          </w:p>
        </w:tc>
        <w:tc>
          <w:tcPr>
            <w:tcW w:w="1268" w:type="dxa"/>
            <w:tcBorders>
              <w:bottom w:val="single" w:sz="2" w:space="0" w:color="000000" w:themeColor="text1"/>
            </w:tcBorders>
            <w:shd w:val="clear" w:color="auto" w:fill="FFFFFF" w:themeFill="background1"/>
          </w:tcPr>
          <w:p w14:paraId="2F2BA98C"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20,40%</w:t>
            </w:r>
          </w:p>
        </w:tc>
        <w:tc>
          <w:tcPr>
            <w:tcW w:w="809" w:type="dxa"/>
            <w:tcBorders>
              <w:bottom w:val="single" w:sz="2" w:space="0" w:color="000000" w:themeColor="text1"/>
            </w:tcBorders>
            <w:shd w:val="clear" w:color="auto" w:fill="FFFFFF" w:themeFill="background1"/>
          </w:tcPr>
          <w:p w14:paraId="39141C41"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2,63</w:t>
            </w:r>
          </w:p>
        </w:tc>
        <w:tc>
          <w:tcPr>
            <w:tcW w:w="624" w:type="dxa"/>
            <w:tcBorders>
              <w:bottom w:val="single" w:sz="2" w:space="0" w:color="000000" w:themeColor="text1"/>
            </w:tcBorders>
            <w:shd w:val="clear" w:color="auto" w:fill="FFFFFF" w:themeFill="background1"/>
          </w:tcPr>
          <w:p w14:paraId="538CAC86"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0,97</w:t>
            </w:r>
          </w:p>
        </w:tc>
        <w:tc>
          <w:tcPr>
            <w:tcW w:w="1078" w:type="dxa"/>
            <w:vMerge w:val="restart"/>
            <w:shd w:val="clear" w:color="auto" w:fill="FFFFFF" w:themeFill="background1"/>
          </w:tcPr>
          <w:p w14:paraId="56C37263" w14:textId="77777777" w:rsidR="00C64A87" w:rsidRPr="00FD0B07" w:rsidRDefault="00C64A87" w:rsidP="00AC6201">
            <w:pPr>
              <w:rPr>
                <w:rFonts w:ascii="Times New Roman" w:hAnsi="Times New Roman" w:cs="Times New Roman"/>
                <w:color w:val="000000" w:themeColor="text1"/>
                <w:sz w:val="22"/>
                <w:szCs w:val="22"/>
              </w:rPr>
            </w:pPr>
            <w:r w:rsidRPr="00FD0B07">
              <w:rPr>
                <w:noProof/>
                <w:color w:val="000000" w:themeColor="text1"/>
                <w:sz w:val="22"/>
                <w:szCs w:val="22"/>
                <w:lang w:val="es-CO" w:eastAsia="es-CO"/>
              </w:rPr>
              <w:drawing>
                <wp:inline distT="0" distB="0" distL="0" distR="0" wp14:anchorId="5AD9D18F" wp14:editId="4E55A2AA">
                  <wp:extent cx="666750" cy="628650"/>
                  <wp:effectExtent l="0" t="0" r="0" b="0"/>
                  <wp:docPr id="1937947673" name="image6.png"/>
                  <wp:cNvGraphicFramePr/>
                  <a:graphic xmlns:a="http://schemas.openxmlformats.org/drawingml/2006/main">
                    <a:graphicData uri="http://schemas.openxmlformats.org/drawingml/2006/picture">
                      <pic:pic xmlns:pic="http://schemas.openxmlformats.org/drawingml/2006/picture">
                        <pic:nvPicPr>
                          <pic:cNvPr id="1937947673" name="image6.png"/>
                          <pic:cNvPicPr/>
                        </pic:nvPicPr>
                        <pic:blipFill>
                          <a:blip r:embed="rId16"/>
                          <a:stretch>
                            <a:fillRect/>
                          </a:stretch>
                        </pic:blipFill>
                        <pic:spPr>
                          <a:xfrm>
                            <a:off x="0" y="0"/>
                            <a:ext cx="670255" cy="631955"/>
                          </a:xfrm>
                          <a:prstGeom prst="rect">
                            <a:avLst/>
                          </a:prstGeom>
                        </pic:spPr>
                      </pic:pic>
                    </a:graphicData>
                  </a:graphic>
                </wp:inline>
              </w:drawing>
            </w:r>
          </w:p>
        </w:tc>
      </w:tr>
      <w:tr w:rsidR="00FD0B07" w:rsidRPr="00FD0B07" w14:paraId="795378E3" w14:textId="77777777" w:rsidTr="00BE45AA">
        <w:trPr>
          <w:trHeight w:val="307"/>
        </w:trPr>
        <w:tc>
          <w:tcPr>
            <w:tcW w:w="1620" w:type="dxa"/>
            <w:vMerge/>
          </w:tcPr>
          <w:p w14:paraId="0803CED3" w14:textId="77777777" w:rsidR="00C64A87" w:rsidRPr="00FD0B07" w:rsidRDefault="00C64A87" w:rsidP="00AC6201">
            <w:pPr>
              <w:widowControl w:val="0"/>
              <w:pBdr>
                <w:top w:val="nil"/>
                <w:left w:val="nil"/>
                <w:bottom w:val="nil"/>
                <w:right w:val="nil"/>
                <w:between w:val="nil"/>
              </w:pBdr>
              <w:rPr>
                <w:rFonts w:ascii="Times New Roman" w:hAnsi="Times New Roman" w:cs="Times New Roman"/>
                <w:color w:val="000000" w:themeColor="text1"/>
                <w:sz w:val="22"/>
                <w:szCs w:val="22"/>
              </w:rPr>
            </w:pPr>
          </w:p>
        </w:tc>
        <w:tc>
          <w:tcPr>
            <w:tcW w:w="1795" w:type="dxa"/>
            <w:shd w:val="clear" w:color="auto" w:fill="FFFFFF" w:themeFill="background1"/>
          </w:tcPr>
          <w:p w14:paraId="15221D7E" w14:textId="77777777" w:rsidR="00C64A87" w:rsidRPr="00FD0B07" w:rsidRDefault="00C64A87" w:rsidP="00AC6201">
            <w:pPr>
              <w:rPr>
                <w:rFonts w:ascii="Times New Roman" w:hAnsi="Times New Roman" w:cs="Times New Roman"/>
                <w:b/>
                <w:color w:val="000000" w:themeColor="text1"/>
                <w:sz w:val="22"/>
                <w:szCs w:val="22"/>
              </w:rPr>
            </w:pPr>
            <w:r w:rsidRPr="00FD0B07">
              <w:rPr>
                <w:rFonts w:ascii="Times New Roman" w:hAnsi="Times New Roman" w:cs="Times New Roman"/>
                <w:b/>
                <w:color w:val="000000" w:themeColor="text1"/>
                <w:sz w:val="22"/>
                <w:szCs w:val="22"/>
              </w:rPr>
              <w:t>QI 20</w:t>
            </w:r>
          </w:p>
          <w:p w14:paraId="58D21E06" w14:textId="77777777" w:rsidR="00C64A87" w:rsidRPr="00FD0B07" w:rsidRDefault="00C64A87" w:rsidP="00AC6201">
            <w:pPr>
              <w:rPr>
                <w:rFonts w:ascii="Times New Roman" w:hAnsi="Times New Roman" w:cs="Times New Roman"/>
                <w:b/>
                <w:color w:val="000000" w:themeColor="text1"/>
                <w:sz w:val="22"/>
                <w:szCs w:val="22"/>
              </w:rPr>
            </w:pPr>
            <w:r w:rsidRPr="00FD0B07">
              <w:rPr>
                <w:rFonts w:ascii="Times New Roman" w:hAnsi="Times New Roman" w:cs="Times New Roman"/>
                <w:b/>
                <w:color w:val="000000" w:themeColor="text1"/>
                <w:sz w:val="22"/>
                <w:szCs w:val="22"/>
              </w:rPr>
              <w:t>Communication</w:t>
            </w:r>
          </w:p>
        </w:tc>
        <w:tc>
          <w:tcPr>
            <w:tcW w:w="1005" w:type="dxa"/>
            <w:shd w:val="clear" w:color="auto" w:fill="FFFFFF" w:themeFill="background1"/>
          </w:tcPr>
          <w:p w14:paraId="0FD6AF50"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41,47%</w:t>
            </w:r>
          </w:p>
        </w:tc>
        <w:tc>
          <w:tcPr>
            <w:tcW w:w="1548" w:type="dxa"/>
            <w:shd w:val="clear" w:color="auto" w:fill="FFFFFF" w:themeFill="background1"/>
          </w:tcPr>
          <w:p w14:paraId="3A104F74"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33,11%</w:t>
            </w:r>
          </w:p>
        </w:tc>
        <w:tc>
          <w:tcPr>
            <w:tcW w:w="1268" w:type="dxa"/>
            <w:shd w:val="clear" w:color="auto" w:fill="FFFFFF" w:themeFill="background1"/>
          </w:tcPr>
          <w:p w14:paraId="1EC4E23F"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25,42%</w:t>
            </w:r>
          </w:p>
        </w:tc>
        <w:tc>
          <w:tcPr>
            <w:tcW w:w="809" w:type="dxa"/>
            <w:shd w:val="clear" w:color="auto" w:fill="FFFFFF" w:themeFill="background1"/>
          </w:tcPr>
          <w:p w14:paraId="02283AD8"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2,77</w:t>
            </w:r>
          </w:p>
        </w:tc>
        <w:tc>
          <w:tcPr>
            <w:tcW w:w="624" w:type="dxa"/>
            <w:shd w:val="clear" w:color="auto" w:fill="FFFFFF" w:themeFill="background1"/>
          </w:tcPr>
          <w:p w14:paraId="5C662D89"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1,06</w:t>
            </w:r>
          </w:p>
        </w:tc>
        <w:tc>
          <w:tcPr>
            <w:tcW w:w="1078" w:type="dxa"/>
            <w:vMerge/>
            <w:shd w:val="clear" w:color="auto" w:fill="FFFFFF" w:themeFill="background1"/>
          </w:tcPr>
          <w:p w14:paraId="56EDBC09" w14:textId="77777777" w:rsidR="00C64A87" w:rsidRPr="00FD0B07" w:rsidRDefault="00C64A87" w:rsidP="00AC6201">
            <w:pPr>
              <w:widowControl w:val="0"/>
              <w:pBdr>
                <w:top w:val="nil"/>
                <w:left w:val="nil"/>
                <w:bottom w:val="nil"/>
                <w:right w:val="nil"/>
                <w:between w:val="nil"/>
              </w:pBdr>
              <w:rPr>
                <w:rFonts w:ascii="Times New Roman" w:hAnsi="Times New Roman" w:cs="Times New Roman"/>
                <w:color w:val="000000" w:themeColor="text1"/>
                <w:sz w:val="22"/>
                <w:szCs w:val="22"/>
              </w:rPr>
            </w:pPr>
          </w:p>
        </w:tc>
      </w:tr>
    </w:tbl>
    <w:bookmarkEnd w:id="1"/>
    <w:p w14:paraId="5E4AB102" w14:textId="77777777" w:rsidR="00C64A87" w:rsidRPr="000A5F91" w:rsidRDefault="00C64A87" w:rsidP="00AC6201">
      <w:pPr>
        <w:pStyle w:val="Tabletitle"/>
        <w:spacing w:line="480" w:lineRule="auto"/>
      </w:pPr>
      <w:r w:rsidRPr="000A5F91">
        <w:t>Table 3. Comparisons among the areas of competence.</w:t>
      </w:r>
    </w:p>
    <w:tbl>
      <w:tblPr>
        <w:tblStyle w:val="Tabladecuadrcula21"/>
        <w:tblW w:w="6933" w:type="dxa"/>
        <w:jc w:val="center"/>
        <w:tblBorders>
          <w:top w:val="single" w:sz="2" w:space="0" w:color="000000" w:themeColor="text1"/>
          <w:bottom w:val="single" w:sz="2" w:space="0" w:color="000000" w:themeColor="text1"/>
          <w:insideH w:val="single" w:sz="2" w:space="0" w:color="000000" w:themeColor="text1"/>
          <w:insideV w:val="none" w:sz="0" w:space="0" w:color="auto"/>
        </w:tblBorders>
        <w:tblLayout w:type="fixed"/>
        <w:tblLook w:val="0400" w:firstRow="0" w:lastRow="0" w:firstColumn="0" w:lastColumn="0" w:noHBand="0" w:noVBand="1"/>
      </w:tblPr>
      <w:tblGrid>
        <w:gridCol w:w="3556"/>
        <w:gridCol w:w="996"/>
        <w:gridCol w:w="1236"/>
        <w:gridCol w:w="1145"/>
      </w:tblGrid>
      <w:tr w:rsidR="00C64A87" w:rsidRPr="00FD0B07" w14:paraId="0C2DD0F9" w14:textId="77777777" w:rsidTr="00A577FF">
        <w:trPr>
          <w:cnfStyle w:val="000000100000" w:firstRow="0" w:lastRow="0" w:firstColumn="0" w:lastColumn="0" w:oddVBand="0" w:evenVBand="0" w:oddHBand="1" w:evenHBand="0" w:firstRowFirstColumn="0" w:firstRowLastColumn="0" w:lastRowFirstColumn="0" w:lastRowLastColumn="0"/>
          <w:trHeight w:val="262"/>
          <w:jc w:val="center"/>
        </w:trPr>
        <w:tc>
          <w:tcPr>
            <w:tcW w:w="3556" w:type="dxa"/>
            <w:tcBorders>
              <w:bottom w:val="single" w:sz="2" w:space="0" w:color="000000" w:themeColor="text1"/>
            </w:tcBorders>
          </w:tcPr>
          <w:p w14:paraId="7275762F" w14:textId="77777777" w:rsidR="00C64A87" w:rsidRPr="00FD0B07" w:rsidRDefault="00C64A87" w:rsidP="00AC6201">
            <w:pPr>
              <w:rPr>
                <w:rFonts w:ascii="Times New Roman" w:hAnsi="Times New Roman" w:cs="Times New Roman"/>
                <w:color w:val="000000" w:themeColor="text1"/>
                <w:sz w:val="22"/>
                <w:szCs w:val="22"/>
              </w:rPr>
            </w:pPr>
          </w:p>
        </w:tc>
        <w:tc>
          <w:tcPr>
            <w:tcW w:w="3377" w:type="dxa"/>
            <w:gridSpan w:val="3"/>
            <w:tcBorders>
              <w:bottom w:val="single" w:sz="2" w:space="0" w:color="000000" w:themeColor="text1"/>
            </w:tcBorders>
          </w:tcPr>
          <w:p w14:paraId="1F43EED3" w14:textId="77777777" w:rsidR="00C64A87" w:rsidRPr="00FD0B07" w:rsidRDefault="00C64A87" w:rsidP="00AC6201">
            <w:pPr>
              <w:rPr>
                <w:rFonts w:ascii="Times New Roman" w:hAnsi="Times New Roman" w:cs="Times New Roman"/>
                <w:b/>
                <w:color w:val="000000" w:themeColor="text1"/>
                <w:sz w:val="22"/>
                <w:szCs w:val="22"/>
              </w:rPr>
            </w:pPr>
            <w:r w:rsidRPr="00FD0B07">
              <w:rPr>
                <w:rFonts w:ascii="Times New Roman" w:hAnsi="Times New Roman" w:cs="Times New Roman"/>
                <w:b/>
                <w:color w:val="000000" w:themeColor="text1"/>
                <w:sz w:val="22"/>
                <w:szCs w:val="22"/>
              </w:rPr>
              <w:t>Comparison among the areas</w:t>
            </w:r>
          </w:p>
        </w:tc>
      </w:tr>
      <w:tr w:rsidR="00C64A87" w:rsidRPr="00FD0B07" w14:paraId="5BCBE42B" w14:textId="77777777" w:rsidTr="00A577FF">
        <w:trPr>
          <w:trHeight w:val="330"/>
          <w:jc w:val="center"/>
        </w:trPr>
        <w:tc>
          <w:tcPr>
            <w:tcW w:w="3556" w:type="dxa"/>
            <w:tcBorders>
              <w:bottom w:val="single" w:sz="2" w:space="0" w:color="000000" w:themeColor="text1"/>
            </w:tcBorders>
          </w:tcPr>
          <w:p w14:paraId="54B69C66"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 </w:t>
            </w:r>
          </w:p>
        </w:tc>
        <w:tc>
          <w:tcPr>
            <w:tcW w:w="3377" w:type="dxa"/>
            <w:gridSpan w:val="3"/>
            <w:tcBorders>
              <w:bottom w:val="single" w:sz="2" w:space="0" w:color="000000" w:themeColor="text1"/>
            </w:tcBorders>
          </w:tcPr>
          <w:p w14:paraId="7C9ADAE1" w14:textId="77777777" w:rsidR="00C64A87" w:rsidRPr="00FD0B07" w:rsidRDefault="00C64A87" w:rsidP="00AC6201">
            <w:pPr>
              <w:rPr>
                <w:rFonts w:ascii="Times New Roman" w:hAnsi="Times New Roman" w:cs="Times New Roman"/>
                <w:b/>
                <w:color w:val="000000" w:themeColor="text1"/>
                <w:sz w:val="22"/>
                <w:szCs w:val="22"/>
              </w:rPr>
            </w:pPr>
            <w:r w:rsidRPr="00FD0B07">
              <w:rPr>
                <w:rFonts w:ascii="Times New Roman" w:hAnsi="Times New Roman" w:cs="Times New Roman"/>
                <w:b/>
                <w:color w:val="000000" w:themeColor="text1"/>
                <w:sz w:val="22"/>
                <w:szCs w:val="22"/>
              </w:rPr>
              <w:t>Kruskal Wallis Test</w:t>
            </w:r>
          </w:p>
        </w:tc>
      </w:tr>
      <w:tr w:rsidR="00C64A87" w:rsidRPr="00FD0B07" w14:paraId="123E1410" w14:textId="77777777" w:rsidTr="00A577FF">
        <w:trPr>
          <w:cnfStyle w:val="000000100000" w:firstRow="0" w:lastRow="0" w:firstColumn="0" w:lastColumn="0" w:oddVBand="0" w:evenVBand="0" w:oddHBand="1" w:evenHBand="0" w:firstRowFirstColumn="0" w:firstRowLastColumn="0" w:lastRowFirstColumn="0" w:lastRowLastColumn="0"/>
          <w:trHeight w:val="345"/>
          <w:jc w:val="center"/>
        </w:trPr>
        <w:tc>
          <w:tcPr>
            <w:tcW w:w="3556" w:type="dxa"/>
            <w:shd w:val="clear" w:color="auto" w:fill="FFFFFF" w:themeFill="background1"/>
          </w:tcPr>
          <w:p w14:paraId="37FD3E55"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 Areas</w:t>
            </w:r>
          </w:p>
        </w:tc>
        <w:tc>
          <w:tcPr>
            <w:tcW w:w="996" w:type="dxa"/>
            <w:shd w:val="clear" w:color="auto" w:fill="FFFFFF" w:themeFill="background1"/>
          </w:tcPr>
          <w:p w14:paraId="094D0E43" w14:textId="77777777" w:rsidR="00C64A87" w:rsidRPr="00FD0B07" w:rsidRDefault="00000000" w:rsidP="00AC6201">
            <w:pPr>
              <w:rPr>
                <w:rFonts w:ascii="Times New Roman" w:eastAsia="Cambria Math" w:hAnsi="Times New Roman" w:cs="Times New Roman"/>
                <w:color w:val="000000" w:themeColor="text1"/>
                <w:sz w:val="22"/>
                <w:szCs w:val="22"/>
              </w:rPr>
            </w:pPr>
            <m:oMathPara>
              <m:oMath>
                <m:sSup>
                  <m:sSupPr>
                    <m:ctrlPr>
                      <w:rPr>
                        <w:rFonts w:ascii="Cambria Math" w:eastAsia="Cambria Math" w:hAnsi="Cambria Math" w:cs="Times New Roman"/>
                        <w:color w:val="000000" w:themeColor="text1"/>
                        <w:sz w:val="22"/>
                        <w:szCs w:val="22"/>
                      </w:rPr>
                    </m:ctrlPr>
                  </m:sSupPr>
                  <m:e>
                    <m:r>
                      <w:rPr>
                        <w:rFonts w:ascii="Cambria Math" w:hAnsi="Cambria Math" w:cs="Times New Roman"/>
                        <w:color w:val="000000" w:themeColor="text1"/>
                        <w:sz w:val="22"/>
                        <w:szCs w:val="22"/>
                      </w:rPr>
                      <m:t>χ</m:t>
                    </m:r>
                  </m:e>
                  <m:sup>
                    <m:r>
                      <w:rPr>
                        <w:rFonts w:ascii="Cambria Math" w:eastAsia="Cambria Math" w:hAnsi="Cambria Math" w:cs="Times New Roman"/>
                        <w:color w:val="000000" w:themeColor="text1"/>
                        <w:sz w:val="22"/>
                        <w:szCs w:val="22"/>
                      </w:rPr>
                      <m:t>2</m:t>
                    </m:r>
                  </m:sup>
                </m:sSup>
              </m:oMath>
            </m:oMathPara>
          </w:p>
        </w:tc>
        <w:tc>
          <w:tcPr>
            <w:tcW w:w="1236" w:type="dxa"/>
            <w:shd w:val="clear" w:color="auto" w:fill="FFFFFF" w:themeFill="background1"/>
          </w:tcPr>
          <w:p w14:paraId="6C28C979"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Valor P</w:t>
            </w:r>
          </w:p>
        </w:tc>
        <w:tc>
          <w:tcPr>
            <w:tcW w:w="1145" w:type="dxa"/>
            <w:shd w:val="clear" w:color="auto" w:fill="FFFFFF" w:themeFill="background1"/>
          </w:tcPr>
          <w:p w14:paraId="73C61C71"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P &lt; 0,05</w:t>
            </w:r>
          </w:p>
        </w:tc>
      </w:tr>
      <w:tr w:rsidR="00C64A87" w:rsidRPr="00FD0B07" w14:paraId="20E18077" w14:textId="77777777" w:rsidTr="00A577FF">
        <w:trPr>
          <w:trHeight w:val="330"/>
          <w:jc w:val="center"/>
        </w:trPr>
        <w:tc>
          <w:tcPr>
            <w:tcW w:w="3556" w:type="dxa"/>
            <w:shd w:val="clear" w:color="auto" w:fill="FFFFFF" w:themeFill="background1"/>
          </w:tcPr>
          <w:p w14:paraId="72946AC6"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Area 1: Professional Engagement</w:t>
            </w:r>
          </w:p>
        </w:tc>
        <w:tc>
          <w:tcPr>
            <w:tcW w:w="996" w:type="dxa"/>
            <w:shd w:val="clear" w:color="auto" w:fill="FFFFFF" w:themeFill="background1"/>
          </w:tcPr>
          <w:p w14:paraId="42D11A47"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9,04</w:t>
            </w:r>
          </w:p>
        </w:tc>
        <w:tc>
          <w:tcPr>
            <w:tcW w:w="1236" w:type="dxa"/>
            <w:shd w:val="clear" w:color="auto" w:fill="FFFFFF" w:themeFill="background1"/>
          </w:tcPr>
          <w:p w14:paraId="6AE9E271"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0,0109</w:t>
            </w:r>
          </w:p>
        </w:tc>
        <w:tc>
          <w:tcPr>
            <w:tcW w:w="1145" w:type="dxa"/>
            <w:shd w:val="clear" w:color="auto" w:fill="FFFFFF" w:themeFill="background1"/>
          </w:tcPr>
          <w:p w14:paraId="29A10249"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w:t>
            </w:r>
          </w:p>
        </w:tc>
      </w:tr>
      <w:tr w:rsidR="00C64A87" w:rsidRPr="00FD0B07" w14:paraId="0919770C" w14:textId="77777777" w:rsidTr="00A577FF">
        <w:trPr>
          <w:cnfStyle w:val="000000100000" w:firstRow="0" w:lastRow="0" w:firstColumn="0" w:lastColumn="0" w:oddVBand="0" w:evenVBand="0" w:oddHBand="1" w:evenHBand="0" w:firstRowFirstColumn="0" w:firstRowLastColumn="0" w:lastRowFirstColumn="0" w:lastRowLastColumn="0"/>
          <w:trHeight w:val="315"/>
          <w:jc w:val="center"/>
        </w:trPr>
        <w:tc>
          <w:tcPr>
            <w:tcW w:w="3556" w:type="dxa"/>
            <w:shd w:val="clear" w:color="auto" w:fill="FFFFFF" w:themeFill="background1"/>
          </w:tcPr>
          <w:p w14:paraId="060A15D3"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Area 2: Digital Resources</w:t>
            </w:r>
          </w:p>
        </w:tc>
        <w:tc>
          <w:tcPr>
            <w:tcW w:w="996" w:type="dxa"/>
            <w:shd w:val="clear" w:color="auto" w:fill="FFFFFF" w:themeFill="background1"/>
          </w:tcPr>
          <w:p w14:paraId="4BF3E2CB"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25,874</w:t>
            </w:r>
          </w:p>
        </w:tc>
        <w:tc>
          <w:tcPr>
            <w:tcW w:w="1236" w:type="dxa"/>
            <w:shd w:val="clear" w:color="auto" w:fill="FFFFFF" w:themeFill="background1"/>
          </w:tcPr>
          <w:p w14:paraId="665066DA"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3,64E-04</w:t>
            </w:r>
          </w:p>
        </w:tc>
        <w:tc>
          <w:tcPr>
            <w:tcW w:w="1145" w:type="dxa"/>
            <w:shd w:val="clear" w:color="auto" w:fill="FFFFFF" w:themeFill="background1"/>
          </w:tcPr>
          <w:p w14:paraId="3586A29F"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w:t>
            </w:r>
          </w:p>
        </w:tc>
      </w:tr>
      <w:tr w:rsidR="00C64A87" w:rsidRPr="00FD0B07" w14:paraId="4DF7D440" w14:textId="77777777" w:rsidTr="00A577FF">
        <w:trPr>
          <w:trHeight w:val="315"/>
          <w:jc w:val="center"/>
        </w:trPr>
        <w:tc>
          <w:tcPr>
            <w:tcW w:w="3556" w:type="dxa"/>
            <w:shd w:val="clear" w:color="auto" w:fill="FFFFFF" w:themeFill="background1"/>
          </w:tcPr>
          <w:p w14:paraId="30F8AD33"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Area 3: Teaching and Learning</w:t>
            </w:r>
          </w:p>
        </w:tc>
        <w:tc>
          <w:tcPr>
            <w:tcW w:w="996" w:type="dxa"/>
            <w:shd w:val="clear" w:color="auto" w:fill="FFFFFF" w:themeFill="background1"/>
          </w:tcPr>
          <w:p w14:paraId="4F194CF3"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28,805</w:t>
            </w:r>
          </w:p>
        </w:tc>
        <w:tc>
          <w:tcPr>
            <w:tcW w:w="1236" w:type="dxa"/>
            <w:shd w:val="clear" w:color="auto" w:fill="FFFFFF" w:themeFill="background1"/>
          </w:tcPr>
          <w:p w14:paraId="18A9F4CD"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2,46E-03</w:t>
            </w:r>
          </w:p>
        </w:tc>
        <w:tc>
          <w:tcPr>
            <w:tcW w:w="1145" w:type="dxa"/>
            <w:shd w:val="clear" w:color="auto" w:fill="FFFFFF" w:themeFill="background1"/>
          </w:tcPr>
          <w:p w14:paraId="4B210CE0"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w:t>
            </w:r>
          </w:p>
        </w:tc>
      </w:tr>
      <w:tr w:rsidR="00C64A87" w:rsidRPr="00FD0B07" w14:paraId="15EF40B9" w14:textId="77777777" w:rsidTr="00A577FF">
        <w:trPr>
          <w:cnfStyle w:val="000000100000" w:firstRow="0" w:lastRow="0" w:firstColumn="0" w:lastColumn="0" w:oddVBand="0" w:evenVBand="0" w:oddHBand="1" w:evenHBand="0" w:firstRowFirstColumn="0" w:firstRowLastColumn="0" w:lastRowFirstColumn="0" w:lastRowLastColumn="0"/>
          <w:trHeight w:val="315"/>
          <w:jc w:val="center"/>
        </w:trPr>
        <w:tc>
          <w:tcPr>
            <w:tcW w:w="3556" w:type="dxa"/>
            <w:shd w:val="clear" w:color="auto" w:fill="FFFFFF" w:themeFill="background1"/>
          </w:tcPr>
          <w:p w14:paraId="37968427"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Area 4: Assessment</w:t>
            </w:r>
          </w:p>
        </w:tc>
        <w:tc>
          <w:tcPr>
            <w:tcW w:w="996" w:type="dxa"/>
            <w:shd w:val="clear" w:color="auto" w:fill="FFFFFF" w:themeFill="background1"/>
          </w:tcPr>
          <w:p w14:paraId="24588B09"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3,2563</w:t>
            </w:r>
          </w:p>
        </w:tc>
        <w:tc>
          <w:tcPr>
            <w:tcW w:w="1236" w:type="dxa"/>
            <w:shd w:val="clear" w:color="auto" w:fill="FFFFFF" w:themeFill="background1"/>
          </w:tcPr>
          <w:p w14:paraId="73DA9AF4"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0,07115</w:t>
            </w:r>
          </w:p>
        </w:tc>
        <w:tc>
          <w:tcPr>
            <w:tcW w:w="1145" w:type="dxa"/>
            <w:shd w:val="clear" w:color="auto" w:fill="FFFFFF" w:themeFill="background1"/>
          </w:tcPr>
          <w:p w14:paraId="247775CF" w14:textId="77777777" w:rsidR="00C64A87" w:rsidRPr="00FD0B07" w:rsidRDefault="00C64A87" w:rsidP="00AC6201">
            <w:pPr>
              <w:rPr>
                <w:rFonts w:ascii="Times New Roman" w:hAnsi="Times New Roman" w:cs="Times New Roman"/>
                <w:color w:val="000000" w:themeColor="text1"/>
                <w:sz w:val="22"/>
                <w:szCs w:val="22"/>
              </w:rPr>
            </w:pPr>
          </w:p>
        </w:tc>
      </w:tr>
      <w:tr w:rsidR="00C64A87" w:rsidRPr="00FD0B07" w14:paraId="1051F760" w14:textId="77777777" w:rsidTr="00A577FF">
        <w:trPr>
          <w:trHeight w:val="330"/>
          <w:jc w:val="center"/>
        </w:trPr>
        <w:tc>
          <w:tcPr>
            <w:tcW w:w="3556" w:type="dxa"/>
            <w:shd w:val="clear" w:color="auto" w:fill="FFFFFF" w:themeFill="background1"/>
          </w:tcPr>
          <w:p w14:paraId="1692A75E"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Area 5: Facilitating Learners’ DC</w:t>
            </w:r>
          </w:p>
        </w:tc>
        <w:tc>
          <w:tcPr>
            <w:tcW w:w="996" w:type="dxa"/>
            <w:shd w:val="clear" w:color="auto" w:fill="FFFFFF" w:themeFill="background1"/>
          </w:tcPr>
          <w:p w14:paraId="132B706E"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6,8941</w:t>
            </w:r>
          </w:p>
        </w:tc>
        <w:tc>
          <w:tcPr>
            <w:tcW w:w="1236" w:type="dxa"/>
            <w:shd w:val="clear" w:color="auto" w:fill="FFFFFF" w:themeFill="background1"/>
          </w:tcPr>
          <w:p w14:paraId="0484F70B"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0,008648</w:t>
            </w:r>
          </w:p>
        </w:tc>
        <w:tc>
          <w:tcPr>
            <w:tcW w:w="1145" w:type="dxa"/>
            <w:shd w:val="clear" w:color="auto" w:fill="FFFFFF" w:themeFill="background1"/>
          </w:tcPr>
          <w:p w14:paraId="7C06149E"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 </w:t>
            </w:r>
          </w:p>
        </w:tc>
      </w:tr>
    </w:tbl>
    <w:p w14:paraId="338BC8A9" w14:textId="77777777" w:rsidR="00C64A87" w:rsidRPr="000A5F91" w:rsidRDefault="00C64A87" w:rsidP="00AC6201">
      <w:pPr>
        <w:pStyle w:val="Notesoncontributors"/>
        <w:spacing w:line="480" w:lineRule="auto"/>
      </w:pPr>
      <w:r w:rsidRPr="000A5F91">
        <w:t>Note: *Kruskal-Wallis Test with a 5% level of significance or error.</w:t>
      </w:r>
    </w:p>
    <w:p w14:paraId="149DCA5F" w14:textId="77777777" w:rsidR="00C64A87" w:rsidRPr="008E0D97" w:rsidRDefault="00C64A87" w:rsidP="00AC6201">
      <w:pPr>
        <w:pStyle w:val="Paragraph"/>
      </w:pPr>
      <w:r w:rsidRPr="008E0D97">
        <w:t>There are statistically significant differences among the competencies within the areas of A2, A3 and A5. (p=0.0003, p=0.0024, and p=0.0086, respectively). In A1, there are significant but not as substantial differences among the competencies (p=0.0109). A4 did not show statistically significant differences among the competencies (p=0.0711)</w:t>
      </w:r>
    </w:p>
    <w:p w14:paraId="0469633A" w14:textId="77777777" w:rsidR="00C64A87" w:rsidRPr="008E0D97" w:rsidRDefault="00C64A87" w:rsidP="00AC6201">
      <w:pPr>
        <w:pStyle w:val="Tabletitle"/>
        <w:spacing w:line="480" w:lineRule="auto"/>
      </w:pPr>
      <w:r w:rsidRPr="008E0D97">
        <w:t>Table 4. Multiple Comparisons among the areas</w:t>
      </w:r>
    </w:p>
    <w:tbl>
      <w:tblPr>
        <w:tblStyle w:val="Tabladecuadrcula21"/>
        <w:tblW w:w="9464" w:type="dxa"/>
        <w:tblBorders>
          <w:top w:val="single" w:sz="2" w:space="0" w:color="000000" w:themeColor="text1"/>
          <w:bottom w:val="single" w:sz="2" w:space="0" w:color="000000" w:themeColor="text1"/>
          <w:insideH w:val="single" w:sz="2" w:space="0" w:color="000000" w:themeColor="text1"/>
          <w:insideV w:val="none" w:sz="0" w:space="0" w:color="auto"/>
        </w:tblBorders>
        <w:tblLayout w:type="fixed"/>
        <w:tblLook w:val="0400" w:firstRow="0" w:lastRow="0" w:firstColumn="0" w:lastColumn="0" w:noHBand="0" w:noVBand="1"/>
      </w:tblPr>
      <w:tblGrid>
        <w:gridCol w:w="2141"/>
        <w:gridCol w:w="670"/>
        <w:gridCol w:w="2117"/>
        <w:gridCol w:w="1559"/>
        <w:gridCol w:w="1559"/>
        <w:gridCol w:w="8"/>
        <w:gridCol w:w="1227"/>
        <w:gridCol w:w="183"/>
      </w:tblGrid>
      <w:tr w:rsidR="00C64A87" w:rsidRPr="00FD0B07" w14:paraId="1A608C2E" w14:textId="77777777" w:rsidTr="00FD0B07">
        <w:trPr>
          <w:cnfStyle w:val="000000100000" w:firstRow="0" w:lastRow="0" w:firstColumn="0" w:lastColumn="0" w:oddVBand="0" w:evenVBand="0" w:oddHBand="1" w:evenHBand="0" w:firstRowFirstColumn="0" w:firstRowLastColumn="0" w:lastRowFirstColumn="0" w:lastRowLastColumn="0"/>
          <w:trHeight w:val="312"/>
        </w:trPr>
        <w:tc>
          <w:tcPr>
            <w:tcW w:w="2141" w:type="dxa"/>
            <w:tcBorders>
              <w:bottom w:val="single" w:sz="2" w:space="0" w:color="000000" w:themeColor="text1"/>
            </w:tcBorders>
          </w:tcPr>
          <w:p w14:paraId="5A104AD6" w14:textId="77777777" w:rsidR="00C64A87" w:rsidRPr="00FD0B07" w:rsidRDefault="00C64A87" w:rsidP="00AC6201">
            <w:pPr>
              <w:rPr>
                <w:rFonts w:ascii="Times New Roman" w:hAnsi="Times New Roman" w:cs="Times New Roman"/>
                <w:color w:val="000000" w:themeColor="text1"/>
                <w:sz w:val="22"/>
                <w:szCs w:val="22"/>
              </w:rPr>
            </w:pPr>
          </w:p>
        </w:tc>
        <w:tc>
          <w:tcPr>
            <w:tcW w:w="7323" w:type="dxa"/>
            <w:gridSpan w:val="7"/>
            <w:tcBorders>
              <w:bottom w:val="single" w:sz="2" w:space="0" w:color="000000" w:themeColor="text1"/>
            </w:tcBorders>
          </w:tcPr>
          <w:p w14:paraId="3E13D85F" w14:textId="77777777" w:rsidR="00C64A87" w:rsidRPr="00FD0B07" w:rsidRDefault="00C64A87" w:rsidP="00AC6201">
            <w:pPr>
              <w:rPr>
                <w:rFonts w:ascii="Times New Roman" w:hAnsi="Times New Roman" w:cs="Times New Roman"/>
                <w:b/>
                <w:color w:val="000000" w:themeColor="text1"/>
                <w:sz w:val="22"/>
                <w:szCs w:val="22"/>
              </w:rPr>
            </w:pPr>
            <w:r w:rsidRPr="00FD0B07">
              <w:rPr>
                <w:rFonts w:ascii="Times New Roman" w:hAnsi="Times New Roman" w:cs="Times New Roman"/>
                <w:b/>
                <w:color w:val="000000" w:themeColor="text1"/>
                <w:sz w:val="22"/>
                <w:szCs w:val="22"/>
              </w:rPr>
              <w:t>Multiple Comparisons</w:t>
            </w:r>
          </w:p>
        </w:tc>
      </w:tr>
      <w:tr w:rsidR="00C64A87" w:rsidRPr="00FD0B07" w14:paraId="75CF3D7A" w14:textId="77777777" w:rsidTr="00FD0B07">
        <w:trPr>
          <w:trHeight w:val="350"/>
        </w:trPr>
        <w:tc>
          <w:tcPr>
            <w:tcW w:w="2141" w:type="dxa"/>
            <w:shd w:val="clear" w:color="auto" w:fill="FFFFFF" w:themeFill="background1"/>
          </w:tcPr>
          <w:p w14:paraId="04EE881F" w14:textId="77777777" w:rsidR="00C64A87" w:rsidRPr="00FD0B07" w:rsidRDefault="00C64A87" w:rsidP="00AC6201">
            <w:pPr>
              <w:rPr>
                <w:rFonts w:ascii="Times New Roman" w:hAnsi="Times New Roman" w:cs="Times New Roman"/>
                <w:color w:val="000000" w:themeColor="text1"/>
                <w:sz w:val="22"/>
                <w:szCs w:val="22"/>
              </w:rPr>
            </w:pPr>
          </w:p>
        </w:tc>
        <w:tc>
          <w:tcPr>
            <w:tcW w:w="7323" w:type="dxa"/>
            <w:gridSpan w:val="7"/>
            <w:shd w:val="clear" w:color="auto" w:fill="FFFFFF" w:themeFill="background1"/>
          </w:tcPr>
          <w:p w14:paraId="4DE8C4B5" w14:textId="77777777" w:rsidR="00C64A87" w:rsidRPr="00FD0B07" w:rsidRDefault="00C64A87" w:rsidP="00AC6201">
            <w:pPr>
              <w:rPr>
                <w:rFonts w:ascii="Times New Roman" w:hAnsi="Times New Roman" w:cs="Times New Roman"/>
                <w:b/>
                <w:color w:val="000000" w:themeColor="text1"/>
                <w:sz w:val="22"/>
                <w:szCs w:val="22"/>
              </w:rPr>
            </w:pPr>
            <w:r w:rsidRPr="00FD0B07">
              <w:rPr>
                <w:rFonts w:ascii="Times New Roman" w:hAnsi="Times New Roman" w:cs="Times New Roman"/>
                <w:b/>
                <w:color w:val="000000" w:themeColor="text1"/>
                <w:sz w:val="22"/>
                <w:szCs w:val="22"/>
              </w:rPr>
              <w:t>Wilcoxon rank-sum test with continuity correction</w:t>
            </w:r>
          </w:p>
        </w:tc>
      </w:tr>
      <w:tr w:rsidR="00C64A87" w:rsidRPr="00FD0B07" w14:paraId="3C0ACEAC" w14:textId="77777777" w:rsidTr="00FD0B07">
        <w:trPr>
          <w:cnfStyle w:val="000000100000" w:firstRow="0" w:lastRow="0" w:firstColumn="0" w:lastColumn="0" w:oddVBand="0" w:evenVBand="0" w:oddHBand="1" w:evenHBand="0" w:firstRowFirstColumn="0" w:firstRowLastColumn="0" w:lastRowFirstColumn="0" w:lastRowLastColumn="0"/>
          <w:trHeight w:val="327"/>
        </w:trPr>
        <w:tc>
          <w:tcPr>
            <w:tcW w:w="2141" w:type="dxa"/>
            <w:vMerge w:val="restart"/>
            <w:shd w:val="clear" w:color="auto" w:fill="FFFFFF" w:themeFill="background1"/>
          </w:tcPr>
          <w:p w14:paraId="2A76567A" w14:textId="77777777" w:rsidR="00C64A87" w:rsidRPr="00FD0B07" w:rsidRDefault="00C64A87" w:rsidP="00AC6201">
            <w:pPr>
              <w:rPr>
                <w:rFonts w:ascii="Times New Roman" w:hAnsi="Times New Roman" w:cs="Times New Roman"/>
                <w:b/>
                <w:color w:val="000000" w:themeColor="text1"/>
                <w:sz w:val="22"/>
                <w:szCs w:val="22"/>
              </w:rPr>
            </w:pPr>
            <w:r w:rsidRPr="00FD0B07">
              <w:rPr>
                <w:rFonts w:ascii="Times New Roman" w:hAnsi="Times New Roman" w:cs="Times New Roman"/>
                <w:b/>
                <w:color w:val="000000" w:themeColor="text1"/>
                <w:sz w:val="22"/>
                <w:szCs w:val="22"/>
              </w:rPr>
              <w:t>Area 1: Professional Engagement</w:t>
            </w:r>
          </w:p>
        </w:tc>
        <w:tc>
          <w:tcPr>
            <w:tcW w:w="670" w:type="dxa"/>
            <w:shd w:val="clear" w:color="auto" w:fill="FFFFFF" w:themeFill="background1"/>
          </w:tcPr>
          <w:p w14:paraId="18E04231"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QI 8</w:t>
            </w:r>
          </w:p>
        </w:tc>
        <w:tc>
          <w:tcPr>
            <w:tcW w:w="2117" w:type="dxa"/>
            <w:shd w:val="clear" w:color="auto" w:fill="FFFFFF" w:themeFill="background1"/>
          </w:tcPr>
          <w:p w14:paraId="6E580A4B"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Organizational</w:t>
            </w:r>
          </w:p>
          <w:p w14:paraId="428FDDCD"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Communication</w:t>
            </w:r>
          </w:p>
        </w:tc>
        <w:tc>
          <w:tcPr>
            <w:tcW w:w="1559" w:type="dxa"/>
            <w:shd w:val="clear" w:color="auto" w:fill="FFFFFF" w:themeFill="background1"/>
          </w:tcPr>
          <w:p w14:paraId="243CD35F"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(3,10702) a</w:t>
            </w:r>
          </w:p>
        </w:tc>
        <w:tc>
          <w:tcPr>
            <w:tcW w:w="1559" w:type="dxa"/>
            <w:shd w:val="clear" w:color="auto" w:fill="FFFFFF" w:themeFill="background1"/>
          </w:tcPr>
          <w:p w14:paraId="4C85AB71"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 </w:t>
            </w:r>
          </w:p>
        </w:tc>
        <w:tc>
          <w:tcPr>
            <w:tcW w:w="1418" w:type="dxa"/>
            <w:gridSpan w:val="3"/>
            <w:shd w:val="clear" w:color="auto" w:fill="FFFFFF" w:themeFill="background1"/>
          </w:tcPr>
          <w:p w14:paraId="3F0EF647"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 </w:t>
            </w:r>
          </w:p>
        </w:tc>
      </w:tr>
      <w:tr w:rsidR="00C64A87" w:rsidRPr="00FD0B07" w14:paraId="121E5D04" w14:textId="77777777" w:rsidTr="00FD0B07">
        <w:trPr>
          <w:trHeight w:val="312"/>
        </w:trPr>
        <w:tc>
          <w:tcPr>
            <w:tcW w:w="2141" w:type="dxa"/>
            <w:vMerge/>
            <w:shd w:val="clear" w:color="auto" w:fill="FFFFFF" w:themeFill="background1"/>
          </w:tcPr>
          <w:p w14:paraId="05A75DE7" w14:textId="77777777" w:rsidR="00C64A87" w:rsidRPr="00FD0B07" w:rsidRDefault="00C64A87" w:rsidP="00AC6201">
            <w:pPr>
              <w:widowControl w:val="0"/>
              <w:pBdr>
                <w:top w:val="nil"/>
                <w:left w:val="nil"/>
                <w:bottom w:val="nil"/>
                <w:right w:val="nil"/>
                <w:between w:val="nil"/>
              </w:pBdr>
              <w:rPr>
                <w:rFonts w:ascii="Times New Roman" w:hAnsi="Times New Roman" w:cs="Times New Roman"/>
                <w:b/>
                <w:color w:val="000000" w:themeColor="text1"/>
                <w:sz w:val="22"/>
                <w:szCs w:val="22"/>
              </w:rPr>
            </w:pPr>
          </w:p>
        </w:tc>
        <w:tc>
          <w:tcPr>
            <w:tcW w:w="670" w:type="dxa"/>
            <w:shd w:val="clear" w:color="auto" w:fill="FFFFFF" w:themeFill="background1"/>
          </w:tcPr>
          <w:p w14:paraId="00CA09FD"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QI 9</w:t>
            </w:r>
          </w:p>
        </w:tc>
        <w:tc>
          <w:tcPr>
            <w:tcW w:w="2117" w:type="dxa"/>
            <w:shd w:val="clear" w:color="auto" w:fill="FFFFFF" w:themeFill="background1"/>
          </w:tcPr>
          <w:p w14:paraId="61EDE2AF"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Reflective Practice</w:t>
            </w:r>
          </w:p>
        </w:tc>
        <w:tc>
          <w:tcPr>
            <w:tcW w:w="1559" w:type="dxa"/>
            <w:shd w:val="clear" w:color="auto" w:fill="FFFFFF" w:themeFill="background1"/>
          </w:tcPr>
          <w:p w14:paraId="7E1E411E"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(3,00334) a</w:t>
            </w:r>
          </w:p>
        </w:tc>
        <w:tc>
          <w:tcPr>
            <w:tcW w:w="1559" w:type="dxa"/>
            <w:shd w:val="clear" w:color="auto" w:fill="FFFFFF" w:themeFill="background1"/>
          </w:tcPr>
          <w:p w14:paraId="69B516A1"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(3,00334) b</w:t>
            </w:r>
          </w:p>
        </w:tc>
        <w:tc>
          <w:tcPr>
            <w:tcW w:w="1418" w:type="dxa"/>
            <w:gridSpan w:val="3"/>
            <w:shd w:val="clear" w:color="auto" w:fill="FFFFFF" w:themeFill="background1"/>
          </w:tcPr>
          <w:p w14:paraId="63320CB5"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 </w:t>
            </w:r>
          </w:p>
        </w:tc>
      </w:tr>
      <w:tr w:rsidR="00C64A87" w:rsidRPr="00FD0B07" w14:paraId="61390A34" w14:textId="77777777" w:rsidTr="00FD0B07">
        <w:trPr>
          <w:cnfStyle w:val="000000100000" w:firstRow="0" w:lastRow="0" w:firstColumn="0" w:lastColumn="0" w:oddVBand="0" w:evenVBand="0" w:oddHBand="1" w:evenHBand="0" w:firstRowFirstColumn="0" w:firstRowLastColumn="0" w:lastRowFirstColumn="0" w:lastRowLastColumn="0"/>
          <w:trHeight w:val="312"/>
        </w:trPr>
        <w:tc>
          <w:tcPr>
            <w:tcW w:w="2141" w:type="dxa"/>
            <w:vMerge/>
            <w:shd w:val="clear" w:color="auto" w:fill="FFFFFF" w:themeFill="background1"/>
          </w:tcPr>
          <w:p w14:paraId="31E30D17" w14:textId="77777777" w:rsidR="00C64A87" w:rsidRPr="00FD0B07" w:rsidRDefault="00C64A87" w:rsidP="00AC6201">
            <w:pPr>
              <w:widowControl w:val="0"/>
              <w:pBdr>
                <w:top w:val="nil"/>
                <w:left w:val="nil"/>
                <w:bottom w:val="nil"/>
                <w:right w:val="nil"/>
                <w:between w:val="nil"/>
              </w:pBdr>
              <w:rPr>
                <w:rFonts w:ascii="Times New Roman" w:hAnsi="Times New Roman" w:cs="Times New Roman"/>
                <w:b/>
                <w:color w:val="000000" w:themeColor="text1"/>
                <w:sz w:val="22"/>
                <w:szCs w:val="22"/>
              </w:rPr>
            </w:pPr>
          </w:p>
        </w:tc>
        <w:tc>
          <w:tcPr>
            <w:tcW w:w="670" w:type="dxa"/>
            <w:shd w:val="clear" w:color="auto" w:fill="FFFFFF" w:themeFill="background1"/>
          </w:tcPr>
          <w:p w14:paraId="6E79EC64"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QI10</w:t>
            </w:r>
          </w:p>
        </w:tc>
        <w:tc>
          <w:tcPr>
            <w:tcW w:w="2117" w:type="dxa"/>
            <w:shd w:val="clear" w:color="auto" w:fill="FFFFFF" w:themeFill="background1"/>
          </w:tcPr>
          <w:p w14:paraId="566EABA4"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Digital Continuous Professional Development</w:t>
            </w:r>
          </w:p>
        </w:tc>
        <w:tc>
          <w:tcPr>
            <w:tcW w:w="1559" w:type="dxa"/>
            <w:shd w:val="clear" w:color="auto" w:fill="FFFFFF" w:themeFill="background1"/>
          </w:tcPr>
          <w:p w14:paraId="6EBBA165"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 </w:t>
            </w:r>
          </w:p>
        </w:tc>
        <w:tc>
          <w:tcPr>
            <w:tcW w:w="1559" w:type="dxa"/>
            <w:shd w:val="clear" w:color="auto" w:fill="FFFFFF" w:themeFill="background1"/>
          </w:tcPr>
          <w:p w14:paraId="2F2B9255"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(3,28428) b</w:t>
            </w:r>
          </w:p>
        </w:tc>
        <w:tc>
          <w:tcPr>
            <w:tcW w:w="1418" w:type="dxa"/>
            <w:gridSpan w:val="3"/>
            <w:shd w:val="clear" w:color="auto" w:fill="FFFFFF" w:themeFill="background1"/>
          </w:tcPr>
          <w:p w14:paraId="35999D6C"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 </w:t>
            </w:r>
          </w:p>
        </w:tc>
      </w:tr>
      <w:tr w:rsidR="00C64A87" w:rsidRPr="00FD0B07" w14:paraId="3E90E93E" w14:textId="77777777" w:rsidTr="00FD0B07">
        <w:trPr>
          <w:trHeight w:val="312"/>
        </w:trPr>
        <w:tc>
          <w:tcPr>
            <w:tcW w:w="2141" w:type="dxa"/>
            <w:vMerge w:val="restart"/>
            <w:shd w:val="clear" w:color="auto" w:fill="FFFFFF" w:themeFill="background1"/>
          </w:tcPr>
          <w:p w14:paraId="64496227" w14:textId="77777777" w:rsidR="00C64A87" w:rsidRPr="00FD0B07" w:rsidRDefault="00C64A87" w:rsidP="00AC6201">
            <w:pPr>
              <w:rPr>
                <w:rFonts w:ascii="Times New Roman" w:hAnsi="Times New Roman" w:cs="Times New Roman"/>
                <w:b/>
                <w:color w:val="000000" w:themeColor="text1"/>
                <w:sz w:val="22"/>
                <w:szCs w:val="22"/>
              </w:rPr>
            </w:pPr>
            <w:r w:rsidRPr="00FD0B07">
              <w:rPr>
                <w:rFonts w:ascii="Times New Roman" w:hAnsi="Times New Roman" w:cs="Times New Roman"/>
                <w:b/>
                <w:color w:val="000000" w:themeColor="text1"/>
                <w:sz w:val="22"/>
                <w:szCs w:val="22"/>
              </w:rPr>
              <w:t>Area 2: Digital Resources</w:t>
            </w:r>
          </w:p>
        </w:tc>
        <w:tc>
          <w:tcPr>
            <w:tcW w:w="670" w:type="dxa"/>
            <w:shd w:val="clear" w:color="auto" w:fill="FFFFFF" w:themeFill="background1"/>
          </w:tcPr>
          <w:p w14:paraId="6E475645"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QI11</w:t>
            </w:r>
          </w:p>
        </w:tc>
        <w:tc>
          <w:tcPr>
            <w:tcW w:w="2117" w:type="dxa"/>
            <w:shd w:val="clear" w:color="auto" w:fill="FFFFFF" w:themeFill="background1"/>
          </w:tcPr>
          <w:p w14:paraId="41C588AE"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Selecting Digital Resources</w:t>
            </w:r>
          </w:p>
        </w:tc>
        <w:tc>
          <w:tcPr>
            <w:tcW w:w="1559" w:type="dxa"/>
            <w:shd w:val="clear" w:color="auto" w:fill="FFFFFF" w:themeFill="background1"/>
          </w:tcPr>
          <w:p w14:paraId="52195F8A"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(3,10033) a</w:t>
            </w:r>
          </w:p>
        </w:tc>
        <w:tc>
          <w:tcPr>
            <w:tcW w:w="1559" w:type="dxa"/>
            <w:shd w:val="clear" w:color="auto" w:fill="FFFFFF" w:themeFill="background1"/>
          </w:tcPr>
          <w:p w14:paraId="3273134A"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 </w:t>
            </w:r>
          </w:p>
        </w:tc>
        <w:tc>
          <w:tcPr>
            <w:tcW w:w="1418" w:type="dxa"/>
            <w:gridSpan w:val="3"/>
            <w:shd w:val="clear" w:color="auto" w:fill="FFFFFF" w:themeFill="background1"/>
          </w:tcPr>
          <w:p w14:paraId="03B7D5C7"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 </w:t>
            </w:r>
          </w:p>
        </w:tc>
      </w:tr>
      <w:tr w:rsidR="00C64A87" w:rsidRPr="00FD0B07" w14:paraId="4F8F3107" w14:textId="77777777" w:rsidTr="00FD0B07">
        <w:trPr>
          <w:cnfStyle w:val="000000100000" w:firstRow="0" w:lastRow="0" w:firstColumn="0" w:lastColumn="0" w:oddVBand="0" w:evenVBand="0" w:oddHBand="1" w:evenHBand="0" w:firstRowFirstColumn="0" w:firstRowLastColumn="0" w:lastRowFirstColumn="0" w:lastRowLastColumn="0"/>
          <w:trHeight w:val="312"/>
        </w:trPr>
        <w:tc>
          <w:tcPr>
            <w:tcW w:w="2141" w:type="dxa"/>
            <w:vMerge/>
            <w:shd w:val="clear" w:color="auto" w:fill="FFFFFF" w:themeFill="background1"/>
          </w:tcPr>
          <w:p w14:paraId="5850C0F8" w14:textId="77777777" w:rsidR="00C64A87" w:rsidRPr="00FD0B07" w:rsidRDefault="00C64A87" w:rsidP="00AC6201">
            <w:pPr>
              <w:widowControl w:val="0"/>
              <w:pBdr>
                <w:top w:val="nil"/>
                <w:left w:val="nil"/>
                <w:bottom w:val="nil"/>
                <w:right w:val="nil"/>
                <w:between w:val="nil"/>
              </w:pBdr>
              <w:rPr>
                <w:rFonts w:ascii="Times New Roman" w:hAnsi="Times New Roman" w:cs="Times New Roman"/>
                <w:b/>
                <w:color w:val="000000" w:themeColor="text1"/>
                <w:sz w:val="22"/>
                <w:szCs w:val="22"/>
              </w:rPr>
            </w:pPr>
          </w:p>
        </w:tc>
        <w:tc>
          <w:tcPr>
            <w:tcW w:w="670" w:type="dxa"/>
            <w:shd w:val="clear" w:color="auto" w:fill="FFFFFF" w:themeFill="background1"/>
          </w:tcPr>
          <w:p w14:paraId="2D07D4F1"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QI12</w:t>
            </w:r>
          </w:p>
        </w:tc>
        <w:tc>
          <w:tcPr>
            <w:tcW w:w="2117" w:type="dxa"/>
            <w:shd w:val="clear" w:color="auto" w:fill="FFFFFF" w:themeFill="background1"/>
          </w:tcPr>
          <w:p w14:paraId="2080FC24"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Creating and Modifying Digital Content</w:t>
            </w:r>
          </w:p>
        </w:tc>
        <w:tc>
          <w:tcPr>
            <w:tcW w:w="1559" w:type="dxa"/>
            <w:shd w:val="clear" w:color="auto" w:fill="FFFFFF" w:themeFill="background1"/>
          </w:tcPr>
          <w:p w14:paraId="0F55BBB6"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 </w:t>
            </w:r>
          </w:p>
        </w:tc>
        <w:tc>
          <w:tcPr>
            <w:tcW w:w="1559" w:type="dxa"/>
            <w:shd w:val="clear" w:color="auto" w:fill="FFFFFF" w:themeFill="background1"/>
          </w:tcPr>
          <w:p w14:paraId="670EE54B"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(3,42141) b</w:t>
            </w:r>
          </w:p>
        </w:tc>
        <w:tc>
          <w:tcPr>
            <w:tcW w:w="1418" w:type="dxa"/>
            <w:gridSpan w:val="3"/>
            <w:shd w:val="clear" w:color="auto" w:fill="FFFFFF" w:themeFill="background1"/>
          </w:tcPr>
          <w:p w14:paraId="417F6695"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 </w:t>
            </w:r>
          </w:p>
        </w:tc>
      </w:tr>
      <w:tr w:rsidR="00C64A87" w:rsidRPr="00FD0B07" w14:paraId="67876BDD" w14:textId="77777777" w:rsidTr="00FD0B07">
        <w:trPr>
          <w:trHeight w:val="312"/>
        </w:trPr>
        <w:tc>
          <w:tcPr>
            <w:tcW w:w="2141" w:type="dxa"/>
            <w:vMerge w:val="restart"/>
            <w:shd w:val="clear" w:color="auto" w:fill="FFFFFF" w:themeFill="background1"/>
          </w:tcPr>
          <w:p w14:paraId="4358BDA6" w14:textId="77777777" w:rsidR="00C64A87" w:rsidRPr="00FD0B07" w:rsidRDefault="00C64A87" w:rsidP="00AC6201">
            <w:pPr>
              <w:rPr>
                <w:rFonts w:ascii="Times New Roman" w:hAnsi="Times New Roman" w:cs="Times New Roman"/>
                <w:b/>
                <w:color w:val="000000" w:themeColor="text1"/>
                <w:sz w:val="22"/>
                <w:szCs w:val="22"/>
              </w:rPr>
            </w:pPr>
            <w:r w:rsidRPr="00FD0B07">
              <w:rPr>
                <w:rFonts w:ascii="Times New Roman" w:hAnsi="Times New Roman" w:cs="Times New Roman"/>
                <w:b/>
                <w:color w:val="000000" w:themeColor="text1"/>
                <w:sz w:val="22"/>
                <w:szCs w:val="22"/>
              </w:rPr>
              <w:t>Area 3: Teaching and Learning</w:t>
            </w:r>
          </w:p>
        </w:tc>
        <w:tc>
          <w:tcPr>
            <w:tcW w:w="670" w:type="dxa"/>
            <w:shd w:val="clear" w:color="auto" w:fill="FFFFFF" w:themeFill="background1"/>
          </w:tcPr>
          <w:p w14:paraId="3E70568E"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QI13</w:t>
            </w:r>
          </w:p>
        </w:tc>
        <w:tc>
          <w:tcPr>
            <w:tcW w:w="2117" w:type="dxa"/>
            <w:shd w:val="clear" w:color="auto" w:fill="FFFFFF" w:themeFill="background1"/>
          </w:tcPr>
          <w:p w14:paraId="76B569D6"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Teaching</w:t>
            </w:r>
          </w:p>
        </w:tc>
        <w:tc>
          <w:tcPr>
            <w:tcW w:w="1559" w:type="dxa"/>
            <w:shd w:val="clear" w:color="auto" w:fill="FFFFFF" w:themeFill="background1"/>
          </w:tcPr>
          <w:p w14:paraId="28AA384C"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(3,30435) a</w:t>
            </w:r>
          </w:p>
        </w:tc>
        <w:tc>
          <w:tcPr>
            <w:tcW w:w="1559" w:type="dxa"/>
            <w:shd w:val="clear" w:color="auto" w:fill="FFFFFF" w:themeFill="background1"/>
          </w:tcPr>
          <w:p w14:paraId="253E7156"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 </w:t>
            </w:r>
          </w:p>
        </w:tc>
        <w:tc>
          <w:tcPr>
            <w:tcW w:w="1418" w:type="dxa"/>
            <w:gridSpan w:val="3"/>
            <w:shd w:val="clear" w:color="auto" w:fill="FFFFFF" w:themeFill="background1"/>
          </w:tcPr>
          <w:p w14:paraId="678EACC8"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 </w:t>
            </w:r>
          </w:p>
        </w:tc>
      </w:tr>
      <w:tr w:rsidR="00C64A87" w:rsidRPr="00FD0B07" w14:paraId="1FC398AF" w14:textId="77777777" w:rsidTr="00FD0B07">
        <w:trPr>
          <w:cnfStyle w:val="000000100000" w:firstRow="0" w:lastRow="0" w:firstColumn="0" w:lastColumn="0" w:oddVBand="0" w:evenVBand="0" w:oddHBand="1" w:evenHBand="0" w:firstRowFirstColumn="0" w:firstRowLastColumn="0" w:lastRowFirstColumn="0" w:lastRowLastColumn="0"/>
          <w:trHeight w:val="312"/>
        </w:trPr>
        <w:tc>
          <w:tcPr>
            <w:tcW w:w="2141" w:type="dxa"/>
            <w:vMerge/>
            <w:shd w:val="clear" w:color="auto" w:fill="FFFFFF" w:themeFill="background1"/>
          </w:tcPr>
          <w:p w14:paraId="5141FD1D" w14:textId="77777777" w:rsidR="00C64A87" w:rsidRPr="00FD0B07" w:rsidRDefault="00C64A87" w:rsidP="00AC6201">
            <w:pPr>
              <w:widowControl w:val="0"/>
              <w:pBdr>
                <w:top w:val="nil"/>
                <w:left w:val="nil"/>
                <w:bottom w:val="nil"/>
                <w:right w:val="nil"/>
                <w:between w:val="nil"/>
              </w:pBdr>
              <w:rPr>
                <w:rFonts w:ascii="Times New Roman" w:hAnsi="Times New Roman" w:cs="Times New Roman"/>
                <w:b/>
                <w:color w:val="000000" w:themeColor="text1"/>
                <w:sz w:val="22"/>
                <w:szCs w:val="22"/>
              </w:rPr>
            </w:pPr>
          </w:p>
        </w:tc>
        <w:tc>
          <w:tcPr>
            <w:tcW w:w="670" w:type="dxa"/>
            <w:shd w:val="clear" w:color="auto" w:fill="FFFFFF" w:themeFill="background1"/>
          </w:tcPr>
          <w:p w14:paraId="6B9816BA"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QI14</w:t>
            </w:r>
          </w:p>
        </w:tc>
        <w:tc>
          <w:tcPr>
            <w:tcW w:w="2117" w:type="dxa"/>
            <w:shd w:val="clear" w:color="auto" w:fill="FFFFFF" w:themeFill="background1"/>
          </w:tcPr>
          <w:p w14:paraId="44ACCB91"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Guidance</w:t>
            </w:r>
          </w:p>
        </w:tc>
        <w:tc>
          <w:tcPr>
            <w:tcW w:w="1559" w:type="dxa"/>
            <w:shd w:val="clear" w:color="auto" w:fill="FFFFFF" w:themeFill="background1"/>
          </w:tcPr>
          <w:p w14:paraId="340A4607"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(3,38796) a</w:t>
            </w:r>
          </w:p>
        </w:tc>
        <w:tc>
          <w:tcPr>
            <w:tcW w:w="1559" w:type="dxa"/>
            <w:shd w:val="clear" w:color="auto" w:fill="FFFFFF" w:themeFill="background1"/>
          </w:tcPr>
          <w:p w14:paraId="092D57E8"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 </w:t>
            </w:r>
          </w:p>
        </w:tc>
        <w:tc>
          <w:tcPr>
            <w:tcW w:w="1418" w:type="dxa"/>
            <w:gridSpan w:val="3"/>
            <w:shd w:val="clear" w:color="auto" w:fill="FFFFFF" w:themeFill="background1"/>
          </w:tcPr>
          <w:p w14:paraId="2B921F32"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 </w:t>
            </w:r>
          </w:p>
        </w:tc>
      </w:tr>
      <w:tr w:rsidR="00C64A87" w:rsidRPr="00FD0B07" w14:paraId="4A7D6AD8" w14:textId="77777777" w:rsidTr="00FD0B07">
        <w:trPr>
          <w:trHeight w:val="312"/>
        </w:trPr>
        <w:tc>
          <w:tcPr>
            <w:tcW w:w="2141" w:type="dxa"/>
            <w:vMerge/>
            <w:shd w:val="clear" w:color="auto" w:fill="FFFFFF" w:themeFill="background1"/>
          </w:tcPr>
          <w:p w14:paraId="2DC52B0C" w14:textId="77777777" w:rsidR="00C64A87" w:rsidRPr="00FD0B07" w:rsidRDefault="00C64A87" w:rsidP="00AC6201">
            <w:pPr>
              <w:widowControl w:val="0"/>
              <w:pBdr>
                <w:top w:val="nil"/>
                <w:left w:val="nil"/>
                <w:bottom w:val="nil"/>
                <w:right w:val="nil"/>
                <w:between w:val="nil"/>
              </w:pBdr>
              <w:rPr>
                <w:rFonts w:ascii="Times New Roman" w:hAnsi="Times New Roman" w:cs="Times New Roman"/>
                <w:b/>
                <w:color w:val="000000" w:themeColor="text1"/>
                <w:sz w:val="22"/>
                <w:szCs w:val="22"/>
              </w:rPr>
            </w:pPr>
          </w:p>
        </w:tc>
        <w:tc>
          <w:tcPr>
            <w:tcW w:w="670" w:type="dxa"/>
            <w:shd w:val="clear" w:color="auto" w:fill="FFFFFF" w:themeFill="background1"/>
          </w:tcPr>
          <w:p w14:paraId="00112B0D"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QI15</w:t>
            </w:r>
          </w:p>
        </w:tc>
        <w:tc>
          <w:tcPr>
            <w:tcW w:w="2117" w:type="dxa"/>
            <w:shd w:val="clear" w:color="auto" w:fill="FFFFFF" w:themeFill="background1"/>
          </w:tcPr>
          <w:p w14:paraId="2DAD5456"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Collaborative Learning</w:t>
            </w:r>
          </w:p>
        </w:tc>
        <w:tc>
          <w:tcPr>
            <w:tcW w:w="1559" w:type="dxa"/>
            <w:shd w:val="clear" w:color="auto" w:fill="FFFFFF" w:themeFill="background1"/>
          </w:tcPr>
          <w:p w14:paraId="6D892D13"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 </w:t>
            </w:r>
          </w:p>
        </w:tc>
        <w:tc>
          <w:tcPr>
            <w:tcW w:w="1559" w:type="dxa"/>
            <w:shd w:val="clear" w:color="auto" w:fill="FFFFFF" w:themeFill="background1"/>
          </w:tcPr>
          <w:p w14:paraId="42932478"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(3,24080) b</w:t>
            </w:r>
          </w:p>
        </w:tc>
        <w:tc>
          <w:tcPr>
            <w:tcW w:w="1418" w:type="dxa"/>
            <w:gridSpan w:val="3"/>
            <w:shd w:val="clear" w:color="auto" w:fill="FFFFFF" w:themeFill="background1"/>
          </w:tcPr>
          <w:p w14:paraId="21EADF18"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 </w:t>
            </w:r>
          </w:p>
        </w:tc>
      </w:tr>
      <w:tr w:rsidR="00C64A87" w:rsidRPr="00FD0B07" w14:paraId="6E405B21" w14:textId="77777777" w:rsidTr="00FD0B07">
        <w:trPr>
          <w:cnfStyle w:val="000000100000" w:firstRow="0" w:lastRow="0" w:firstColumn="0" w:lastColumn="0" w:oddVBand="0" w:evenVBand="0" w:oddHBand="1" w:evenHBand="0" w:firstRowFirstColumn="0" w:firstRowLastColumn="0" w:lastRowFirstColumn="0" w:lastRowLastColumn="0"/>
          <w:trHeight w:val="312"/>
        </w:trPr>
        <w:tc>
          <w:tcPr>
            <w:tcW w:w="2141" w:type="dxa"/>
            <w:vMerge/>
            <w:shd w:val="clear" w:color="auto" w:fill="FFFFFF" w:themeFill="background1"/>
          </w:tcPr>
          <w:p w14:paraId="4878B31D" w14:textId="77777777" w:rsidR="00C64A87" w:rsidRPr="00FD0B07" w:rsidRDefault="00C64A87" w:rsidP="00AC6201">
            <w:pPr>
              <w:widowControl w:val="0"/>
              <w:pBdr>
                <w:top w:val="nil"/>
                <w:left w:val="nil"/>
                <w:bottom w:val="nil"/>
                <w:right w:val="nil"/>
                <w:between w:val="nil"/>
              </w:pBdr>
              <w:rPr>
                <w:rFonts w:ascii="Times New Roman" w:hAnsi="Times New Roman" w:cs="Times New Roman"/>
                <w:b/>
                <w:color w:val="000000" w:themeColor="text1"/>
                <w:sz w:val="22"/>
                <w:szCs w:val="22"/>
              </w:rPr>
            </w:pPr>
          </w:p>
        </w:tc>
        <w:tc>
          <w:tcPr>
            <w:tcW w:w="670" w:type="dxa"/>
            <w:shd w:val="clear" w:color="auto" w:fill="FFFFFF" w:themeFill="background1"/>
          </w:tcPr>
          <w:p w14:paraId="597C46C9"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QI16</w:t>
            </w:r>
          </w:p>
        </w:tc>
        <w:tc>
          <w:tcPr>
            <w:tcW w:w="2117" w:type="dxa"/>
            <w:shd w:val="clear" w:color="auto" w:fill="FFFFFF" w:themeFill="background1"/>
          </w:tcPr>
          <w:p w14:paraId="0FB47267"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Self-regulated Learning</w:t>
            </w:r>
          </w:p>
        </w:tc>
        <w:tc>
          <w:tcPr>
            <w:tcW w:w="1559" w:type="dxa"/>
            <w:shd w:val="clear" w:color="auto" w:fill="FFFFFF" w:themeFill="background1"/>
          </w:tcPr>
          <w:p w14:paraId="189583AE"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 </w:t>
            </w:r>
          </w:p>
        </w:tc>
        <w:tc>
          <w:tcPr>
            <w:tcW w:w="1559" w:type="dxa"/>
            <w:shd w:val="clear" w:color="auto" w:fill="FFFFFF" w:themeFill="background1"/>
          </w:tcPr>
          <w:p w14:paraId="3AE96EC5"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 </w:t>
            </w:r>
          </w:p>
        </w:tc>
        <w:tc>
          <w:tcPr>
            <w:tcW w:w="1418" w:type="dxa"/>
            <w:gridSpan w:val="3"/>
            <w:shd w:val="clear" w:color="auto" w:fill="FFFFFF" w:themeFill="background1"/>
          </w:tcPr>
          <w:p w14:paraId="284B5D20"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(2,93311) c</w:t>
            </w:r>
          </w:p>
        </w:tc>
      </w:tr>
      <w:tr w:rsidR="00C64A87" w:rsidRPr="00FD0B07" w14:paraId="6C03B001" w14:textId="77777777" w:rsidTr="00FD0B07">
        <w:trPr>
          <w:trHeight w:val="312"/>
        </w:trPr>
        <w:tc>
          <w:tcPr>
            <w:tcW w:w="2141" w:type="dxa"/>
            <w:vMerge w:val="restart"/>
            <w:shd w:val="clear" w:color="auto" w:fill="FFFFFF" w:themeFill="background1"/>
          </w:tcPr>
          <w:p w14:paraId="35F4FE45" w14:textId="77777777" w:rsidR="00C64A87" w:rsidRPr="00FD0B07" w:rsidRDefault="00C64A87" w:rsidP="00AC6201">
            <w:pPr>
              <w:rPr>
                <w:rFonts w:ascii="Times New Roman" w:hAnsi="Times New Roman" w:cs="Times New Roman"/>
                <w:b/>
                <w:color w:val="000000" w:themeColor="text1"/>
                <w:sz w:val="22"/>
                <w:szCs w:val="22"/>
              </w:rPr>
            </w:pPr>
            <w:r w:rsidRPr="00FD0B07">
              <w:rPr>
                <w:rFonts w:ascii="Times New Roman" w:hAnsi="Times New Roman" w:cs="Times New Roman"/>
                <w:b/>
                <w:color w:val="000000" w:themeColor="text1"/>
                <w:sz w:val="22"/>
                <w:szCs w:val="22"/>
              </w:rPr>
              <w:t>Area 4: Assessment</w:t>
            </w:r>
          </w:p>
        </w:tc>
        <w:tc>
          <w:tcPr>
            <w:tcW w:w="670" w:type="dxa"/>
            <w:shd w:val="clear" w:color="auto" w:fill="FFFFFF" w:themeFill="background1"/>
          </w:tcPr>
          <w:p w14:paraId="12CB6B85"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QI17</w:t>
            </w:r>
          </w:p>
        </w:tc>
        <w:tc>
          <w:tcPr>
            <w:tcW w:w="2117" w:type="dxa"/>
            <w:shd w:val="clear" w:color="auto" w:fill="FFFFFF" w:themeFill="background1"/>
          </w:tcPr>
          <w:p w14:paraId="20E8879D"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Assessment Strategies</w:t>
            </w:r>
          </w:p>
        </w:tc>
        <w:tc>
          <w:tcPr>
            <w:tcW w:w="1559" w:type="dxa"/>
            <w:shd w:val="clear" w:color="auto" w:fill="FFFFFF" w:themeFill="background1"/>
          </w:tcPr>
          <w:p w14:paraId="13A751A7"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(3,06020) a</w:t>
            </w:r>
          </w:p>
        </w:tc>
        <w:tc>
          <w:tcPr>
            <w:tcW w:w="1559" w:type="dxa"/>
            <w:shd w:val="clear" w:color="auto" w:fill="FFFFFF" w:themeFill="background1"/>
          </w:tcPr>
          <w:p w14:paraId="14F42F50"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 </w:t>
            </w:r>
          </w:p>
        </w:tc>
        <w:tc>
          <w:tcPr>
            <w:tcW w:w="1418" w:type="dxa"/>
            <w:gridSpan w:val="3"/>
            <w:shd w:val="clear" w:color="auto" w:fill="FFFFFF" w:themeFill="background1"/>
          </w:tcPr>
          <w:p w14:paraId="76C7DA04"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 </w:t>
            </w:r>
          </w:p>
        </w:tc>
      </w:tr>
      <w:tr w:rsidR="00C64A87" w:rsidRPr="00FD0B07" w14:paraId="2B103CDB" w14:textId="77777777" w:rsidTr="00FD0B07">
        <w:trPr>
          <w:cnfStyle w:val="000000100000" w:firstRow="0" w:lastRow="0" w:firstColumn="0" w:lastColumn="0" w:oddVBand="0" w:evenVBand="0" w:oddHBand="1" w:evenHBand="0" w:firstRowFirstColumn="0" w:firstRowLastColumn="0" w:lastRowFirstColumn="0" w:lastRowLastColumn="0"/>
          <w:trHeight w:val="312"/>
        </w:trPr>
        <w:tc>
          <w:tcPr>
            <w:tcW w:w="2141" w:type="dxa"/>
            <w:vMerge/>
            <w:shd w:val="clear" w:color="auto" w:fill="FFFFFF" w:themeFill="background1"/>
          </w:tcPr>
          <w:p w14:paraId="64840D93" w14:textId="77777777" w:rsidR="00C64A87" w:rsidRPr="00FD0B07" w:rsidRDefault="00C64A87" w:rsidP="00AC6201">
            <w:pPr>
              <w:widowControl w:val="0"/>
              <w:pBdr>
                <w:top w:val="nil"/>
                <w:left w:val="nil"/>
                <w:bottom w:val="nil"/>
                <w:right w:val="nil"/>
                <w:between w:val="nil"/>
              </w:pBdr>
              <w:rPr>
                <w:rFonts w:ascii="Times New Roman" w:hAnsi="Times New Roman" w:cs="Times New Roman"/>
                <w:b/>
                <w:color w:val="000000" w:themeColor="text1"/>
                <w:sz w:val="22"/>
                <w:szCs w:val="22"/>
              </w:rPr>
            </w:pPr>
          </w:p>
        </w:tc>
        <w:tc>
          <w:tcPr>
            <w:tcW w:w="670" w:type="dxa"/>
            <w:shd w:val="clear" w:color="auto" w:fill="FFFFFF" w:themeFill="background1"/>
          </w:tcPr>
          <w:p w14:paraId="390999F1"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QI18</w:t>
            </w:r>
          </w:p>
        </w:tc>
        <w:tc>
          <w:tcPr>
            <w:tcW w:w="2117" w:type="dxa"/>
            <w:shd w:val="clear" w:color="auto" w:fill="FFFFFF" w:themeFill="background1"/>
          </w:tcPr>
          <w:p w14:paraId="40638EB6"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Feedback and Planning</w:t>
            </w:r>
          </w:p>
        </w:tc>
        <w:tc>
          <w:tcPr>
            <w:tcW w:w="1559" w:type="dxa"/>
            <w:shd w:val="clear" w:color="auto" w:fill="FFFFFF" w:themeFill="background1"/>
          </w:tcPr>
          <w:p w14:paraId="4666C5FE"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(2,89298) a </w:t>
            </w:r>
          </w:p>
        </w:tc>
        <w:tc>
          <w:tcPr>
            <w:tcW w:w="1559" w:type="dxa"/>
            <w:shd w:val="clear" w:color="auto" w:fill="FFFFFF" w:themeFill="background1"/>
          </w:tcPr>
          <w:p w14:paraId="6FC66DFF" w14:textId="77777777" w:rsidR="00C64A87" w:rsidRPr="00FD0B07" w:rsidRDefault="00C64A87" w:rsidP="00AC6201">
            <w:pPr>
              <w:rPr>
                <w:rFonts w:ascii="Times New Roman" w:hAnsi="Times New Roman" w:cs="Times New Roman"/>
                <w:color w:val="000000" w:themeColor="text1"/>
                <w:sz w:val="22"/>
                <w:szCs w:val="22"/>
              </w:rPr>
            </w:pPr>
          </w:p>
        </w:tc>
        <w:tc>
          <w:tcPr>
            <w:tcW w:w="1418" w:type="dxa"/>
            <w:gridSpan w:val="3"/>
            <w:shd w:val="clear" w:color="auto" w:fill="FFFFFF" w:themeFill="background1"/>
          </w:tcPr>
          <w:p w14:paraId="2A76CFD7"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 </w:t>
            </w:r>
          </w:p>
        </w:tc>
      </w:tr>
      <w:tr w:rsidR="00C64A87" w:rsidRPr="00FD0B07" w14:paraId="77EF8FA2" w14:textId="77777777" w:rsidTr="00FD0B07">
        <w:trPr>
          <w:trHeight w:val="312"/>
        </w:trPr>
        <w:tc>
          <w:tcPr>
            <w:tcW w:w="2141" w:type="dxa"/>
            <w:vMerge w:val="restart"/>
            <w:shd w:val="clear" w:color="auto" w:fill="FFFFFF" w:themeFill="background1"/>
          </w:tcPr>
          <w:p w14:paraId="28FB578E" w14:textId="77777777" w:rsidR="00C64A87" w:rsidRPr="00FD0B07" w:rsidRDefault="00C64A87" w:rsidP="00AC6201">
            <w:pPr>
              <w:rPr>
                <w:rFonts w:ascii="Times New Roman" w:hAnsi="Times New Roman" w:cs="Times New Roman"/>
                <w:b/>
                <w:color w:val="000000" w:themeColor="text1"/>
                <w:sz w:val="22"/>
                <w:szCs w:val="22"/>
              </w:rPr>
            </w:pPr>
            <w:r w:rsidRPr="00FD0B07">
              <w:rPr>
                <w:rFonts w:ascii="Times New Roman" w:hAnsi="Times New Roman" w:cs="Times New Roman"/>
                <w:b/>
                <w:color w:val="000000" w:themeColor="text1"/>
                <w:sz w:val="22"/>
                <w:szCs w:val="22"/>
              </w:rPr>
              <w:t>Area 5: Facilitating Learners’ DC</w:t>
            </w:r>
          </w:p>
        </w:tc>
        <w:tc>
          <w:tcPr>
            <w:tcW w:w="670" w:type="dxa"/>
            <w:shd w:val="clear" w:color="auto" w:fill="FFFFFF" w:themeFill="background1"/>
          </w:tcPr>
          <w:p w14:paraId="4D5AACB1"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QI19</w:t>
            </w:r>
          </w:p>
        </w:tc>
        <w:tc>
          <w:tcPr>
            <w:tcW w:w="2117" w:type="dxa"/>
            <w:shd w:val="clear" w:color="auto" w:fill="FFFFFF" w:themeFill="background1"/>
          </w:tcPr>
          <w:p w14:paraId="2A9FCE6E"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Information and Media Literacy</w:t>
            </w:r>
          </w:p>
        </w:tc>
        <w:tc>
          <w:tcPr>
            <w:tcW w:w="1559" w:type="dxa"/>
            <w:shd w:val="clear" w:color="auto" w:fill="FFFFFF" w:themeFill="background1"/>
          </w:tcPr>
          <w:p w14:paraId="4FBF1A6A"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(2,62542) a</w:t>
            </w:r>
          </w:p>
        </w:tc>
        <w:tc>
          <w:tcPr>
            <w:tcW w:w="1559" w:type="dxa"/>
            <w:shd w:val="clear" w:color="auto" w:fill="FFFFFF" w:themeFill="background1"/>
          </w:tcPr>
          <w:p w14:paraId="71654725"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 </w:t>
            </w:r>
          </w:p>
        </w:tc>
        <w:tc>
          <w:tcPr>
            <w:tcW w:w="1418" w:type="dxa"/>
            <w:gridSpan w:val="3"/>
            <w:shd w:val="clear" w:color="auto" w:fill="FFFFFF" w:themeFill="background1"/>
          </w:tcPr>
          <w:p w14:paraId="55675332"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 </w:t>
            </w:r>
          </w:p>
        </w:tc>
      </w:tr>
      <w:tr w:rsidR="00C64A87" w:rsidRPr="00FD0B07" w14:paraId="59DEDC6A" w14:textId="77777777" w:rsidTr="00FD0B07">
        <w:trPr>
          <w:gridAfter w:val="1"/>
          <w:cnfStyle w:val="000000100000" w:firstRow="0" w:lastRow="0" w:firstColumn="0" w:lastColumn="0" w:oddVBand="0" w:evenVBand="0" w:oddHBand="1" w:evenHBand="0" w:firstRowFirstColumn="0" w:firstRowLastColumn="0" w:lastRowFirstColumn="0" w:lastRowLastColumn="0"/>
          <w:wAfter w:w="183" w:type="dxa"/>
          <w:trHeight w:val="327"/>
        </w:trPr>
        <w:tc>
          <w:tcPr>
            <w:tcW w:w="2141" w:type="dxa"/>
            <w:vMerge/>
            <w:shd w:val="clear" w:color="auto" w:fill="FFFFFF" w:themeFill="background1"/>
          </w:tcPr>
          <w:p w14:paraId="3C663E53" w14:textId="77777777" w:rsidR="00C64A87" w:rsidRPr="00FD0B07" w:rsidRDefault="00C64A87" w:rsidP="00AC6201">
            <w:pPr>
              <w:widowControl w:val="0"/>
              <w:pBdr>
                <w:top w:val="nil"/>
                <w:left w:val="nil"/>
                <w:bottom w:val="nil"/>
                <w:right w:val="nil"/>
                <w:between w:val="nil"/>
              </w:pBdr>
              <w:rPr>
                <w:rFonts w:ascii="Times New Roman" w:hAnsi="Times New Roman" w:cs="Times New Roman"/>
                <w:color w:val="000000" w:themeColor="text1"/>
                <w:sz w:val="22"/>
                <w:szCs w:val="22"/>
              </w:rPr>
            </w:pPr>
          </w:p>
        </w:tc>
        <w:tc>
          <w:tcPr>
            <w:tcW w:w="670" w:type="dxa"/>
            <w:shd w:val="clear" w:color="auto" w:fill="FFFFFF" w:themeFill="background1"/>
          </w:tcPr>
          <w:p w14:paraId="3971D563"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QI20</w:t>
            </w:r>
          </w:p>
        </w:tc>
        <w:tc>
          <w:tcPr>
            <w:tcW w:w="2117" w:type="dxa"/>
            <w:shd w:val="clear" w:color="auto" w:fill="FFFFFF" w:themeFill="background1"/>
          </w:tcPr>
          <w:p w14:paraId="5F140BA2"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Digital Communication and Collaboration</w:t>
            </w:r>
          </w:p>
        </w:tc>
        <w:tc>
          <w:tcPr>
            <w:tcW w:w="1559" w:type="dxa"/>
            <w:shd w:val="clear" w:color="auto" w:fill="FFFFFF" w:themeFill="background1"/>
          </w:tcPr>
          <w:p w14:paraId="1F0F296F"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 </w:t>
            </w:r>
          </w:p>
        </w:tc>
        <w:tc>
          <w:tcPr>
            <w:tcW w:w="1567" w:type="dxa"/>
            <w:gridSpan w:val="2"/>
            <w:shd w:val="clear" w:color="auto" w:fill="FFFFFF" w:themeFill="background1"/>
          </w:tcPr>
          <w:p w14:paraId="23B54A2A"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(2,76589) b</w:t>
            </w:r>
          </w:p>
        </w:tc>
        <w:tc>
          <w:tcPr>
            <w:tcW w:w="1227" w:type="dxa"/>
            <w:shd w:val="clear" w:color="auto" w:fill="FFFFFF" w:themeFill="background1"/>
          </w:tcPr>
          <w:p w14:paraId="7CEAE1A1" w14:textId="77777777" w:rsidR="00C64A87" w:rsidRPr="00FD0B07" w:rsidRDefault="00C64A87" w:rsidP="00AC6201">
            <w:pPr>
              <w:rPr>
                <w:rFonts w:ascii="Times New Roman" w:hAnsi="Times New Roman" w:cs="Times New Roman"/>
                <w:color w:val="000000" w:themeColor="text1"/>
                <w:sz w:val="22"/>
                <w:szCs w:val="22"/>
              </w:rPr>
            </w:pPr>
            <w:r w:rsidRPr="00FD0B07">
              <w:rPr>
                <w:rFonts w:ascii="Times New Roman" w:hAnsi="Times New Roman" w:cs="Times New Roman"/>
                <w:color w:val="000000" w:themeColor="text1"/>
                <w:sz w:val="22"/>
                <w:szCs w:val="22"/>
              </w:rPr>
              <w:t> </w:t>
            </w:r>
          </w:p>
        </w:tc>
      </w:tr>
    </w:tbl>
    <w:p w14:paraId="73641355" w14:textId="77777777" w:rsidR="00B54200" w:rsidRPr="008E0D97" w:rsidRDefault="00B54200" w:rsidP="00AC6201">
      <w:pPr>
        <w:rPr>
          <w:color w:val="000000" w:themeColor="text1"/>
        </w:rPr>
      </w:pPr>
    </w:p>
    <w:p w14:paraId="55BAC352" w14:textId="2E46F64F" w:rsidR="00C64A87" w:rsidRPr="008E0D97" w:rsidRDefault="00C64A87" w:rsidP="00AC6201">
      <w:pPr>
        <w:pStyle w:val="Paragraph"/>
      </w:pPr>
      <w:r w:rsidRPr="008E0D97">
        <w:t>The Teaching and Learning area showed significant differences among the evaluated competencies. The competency of self-regulated learning had the lowest average score, while the competencies of Teaching" and "Guidance had the highest scores (above 3).</w:t>
      </w:r>
    </w:p>
    <w:p w14:paraId="78E40172" w14:textId="77777777" w:rsidR="00C64A87" w:rsidRPr="008E0D97" w:rsidRDefault="00C64A87" w:rsidP="00AC6201">
      <w:pPr>
        <w:pStyle w:val="Paragraph"/>
      </w:pPr>
      <w:r w:rsidRPr="008E0D97">
        <w:lastRenderedPageBreak/>
        <w:t>In the Area 5, there were statistically significant differences between QI19 and QI20. These two competencies also had the lowest average scores (below 3) among all the competencies across different areas.</w:t>
      </w:r>
    </w:p>
    <w:p w14:paraId="5E185864" w14:textId="77777777" w:rsidR="00C64A87" w:rsidRPr="008E0D97" w:rsidRDefault="00C64A87" w:rsidP="00AC6201">
      <w:pPr>
        <w:pStyle w:val="Paragraph"/>
      </w:pPr>
      <w:r w:rsidRPr="008E0D97">
        <w:t>The competency with the highest score (above 3) and statistically different from the others was QI12 in the Area 2. The competencies in the Area 1 and Area 4 did not show statistically significant differences, and the scores for each competency were around 3, indicating an intermediate level of performance.</w:t>
      </w:r>
    </w:p>
    <w:p w14:paraId="6703D668" w14:textId="77777777" w:rsidR="00C64A87" w:rsidRPr="008E0D97" w:rsidRDefault="00C64A87" w:rsidP="00AC6201">
      <w:pPr>
        <w:pStyle w:val="Ttulo2"/>
        <w:spacing w:line="480" w:lineRule="auto"/>
        <w:rPr>
          <w:lang w:val="en-US"/>
        </w:rPr>
      </w:pPr>
      <w:r w:rsidRPr="008E0D97">
        <w:rPr>
          <w:lang w:val="en-US"/>
        </w:rPr>
        <w:t>Are there significant differences in the development of the areas and the competencies between male and female teachers and years of experience?</w:t>
      </w:r>
    </w:p>
    <w:p w14:paraId="19454B12" w14:textId="77777777" w:rsidR="00C64A87" w:rsidRPr="008E0D97" w:rsidRDefault="00C64A87" w:rsidP="00AC6201">
      <w:pPr>
        <w:pStyle w:val="Newparagraph"/>
      </w:pPr>
      <w:r w:rsidRPr="008E0D97">
        <w:t>Since the p-values in both Pearson's χ^2 test and the likelihood ratio test are more significant than the significance level of 0.05, it can be concluded that there is no association or evidence linking the gender (male, female, or other) of English teachers with their performance in each of the evaluated digital competencies. Gender is not an essential factor determining teachers' performance in different competencies.</w:t>
      </w:r>
    </w:p>
    <w:p w14:paraId="125DAB9D" w14:textId="77777777" w:rsidR="00C64A87" w:rsidRPr="008E0D97" w:rsidRDefault="00C64A87" w:rsidP="00AC6201">
      <w:pPr>
        <w:pStyle w:val="Paragraph"/>
      </w:pPr>
      <w:r w:rsidRPr="008E0D97">
        <w:t>For the analysis of the relation between TDC and years of experience, the answer options were grouped using the following codes: 1 for one to five years, 2 for six to ten years, 3 for eleven to fifteen years, 4 for sixteen to twenty years, and 5 for more than twenty years.</w:t>
      </w:r>
    </w:p>
    <w:p w14:paraId="2E8D50BF" w14:textId="77777777" w:rsidR="00C64A87" w:rsidRPr="008E0D97" w:rsidRDefault="00C64A87" w:rsidP="00AC6201">
      <w:pPr>
        <w:pStyle w:val="Paragraph"/>
      </w:pPr>
      <w:r w:rsidRPr="008E0D97">
        <w:t>In the competence that corresponds to Question Item 10, Digital CPD within the Professional Engagement area, the χ^2 Pearson, Fisher, and likelihood ratio tests had a p-value of 0.001, indicating an association between years of experience and performance levels A1 to C1. Teachers with more than 15 years of experience do not have high-performance levels in their digital training.</w:t>
      </w:r>
    </w:p>
    <w:p w14:paraId="2F742686" w14:textId="2A5C1F6F" w:rsidR="00C64A87" w:rsidRPr="008E0D97" w:rsidRDefault="00C64A87" w:rsidP="00AC6201">
      <w:pPr>
        <w:pStyle w:val="Paragraph"/>
      </w:pPr>
      <w:r w:rsidRPr="008E0D97">
        <w:t xml:space="preserve">In the competency corresponding to Question Item 16, Self-regulated Learning, within the </w:t>
      </w:r>
      <w:r w:rsidRPr="008E0D97">
        <w:lastRenderedPageBreak/>
        <w:t>Teaching and Learning area, the likelihood ratio test had a p-value of 0.0429, weakly indicating an association between years of experience and performance levels A1, A2, B1, B2, and C1.</w:t>
      </w:r>
      <w:r w:rsidR="00A72BF7">
        <w:t xml:space="preserve"> T</w:t>
      </w:r>
      <w:r w:rsidRPr="008E0D97">
        <w:t>eachers</w:t>
      </w:r>
      <w:r w:rsidR="00A72BF7">
        <w:t xml:space="preserve"> with more </w:t>
      </w:r>
      <w:r w:rsidR="00A72BF7" w:rsidRPr="008E0D97">
        <w:t>than ten years of experience</w:t>
      </w:r>
      <w:r w:rsidRPr="008E0D97">
        <w:t xml:space="preserve"> </w:t>
      </w:r>
      <w:r w:rsidR="00A72BF7">
        <w:t xml:space="preserve">appears to </w:t>
      </w:r>
      <w:r w:rsidRPr="008E0D97">
        <w:t>have low levels of performance in self-directed learning.</w:t>
      </w:r>
      <w:r w:rsidR="00A72BF7">
        <w:t xml:space="preserve"> </w:t>
      </w:r>
      <w:r w:rsidRPr="008E0D97">
        <w:t>In conclusion, no statistical evidence determines the relation between the genre and the expertise time with the performance levels in each of the assessed competencies within the five areas.</w:t>
      </w:r>
    </w:p>
    <w:p w14:paraId="15F6AB70" w14:textId="116F680F" w:rsidR="00C64A87" w:rsidRPr="008E0D97" w:rsidRDefault="00C64A87" w:rsidP="00AC6201">
      <w:pPr>
        <w:pStyle w:val="Ttulo1"/>
        <w:spacing w:line="480" w:lineRule="auto"/>
      </w:pPr>
      <w:r w:rsidRPr="008E0D97">
        <w:t xml:space="preserve">Discussion and </w:t>
      </w:r>
      <w:r w:rsidR="00E62C73" w:rsidRPr="008E0D97">
        <w:t>conclusions</w:t>
      </w:r>
    </w:p>
    <w:p w14:paraId="331BA97A" w14:textId="77777777" w:rsidR="00C64A87" w:rsidRPr="008E0D97" w:rsidRDefault="00C64A87" w:rsidP="00AC6201">
      <w:pPr>
        <w:pStyle w:val="Newparagraph"/>
      </w:pPr>
      <w:r w:rsidRPr="008E0D97">
        <w:t xml:space="preserve">Considering that the current study aims to determine the DC level of the target population as input to formulate the design of a Web-Based Learning methodology, the following are relevant conclusions for this purpose:  </w:t>
      </w:r>
    </w:p>
    <w:p w14:paraId="34EE63F8" w14:textId="7CEE61D6" w:rsidR="00C64A87" w:rsidRPr="008E0D97" w:rsidRDefault="00C64A87" w:rsidP="00AC6201">
      <w:pPr>
        <w:pStyle w:val="Paragraph"/>
      </w:pPr>
      <w:r w:rsidRPr="008E0D97">
        <w:t>None or a few surveyed teachers are in the basic or advanced level of TDC. It implies that most teachers possess a base of knowledge that allows them to continue growing in their competence. Many teachers belong to the intermediate level (B1-B2), as in the studies carried out by (Paz et al., 2022</w:t>
      </w:r>
      <w:r w:rsidR="00C972A7">
        <w:t>;</w:t>
      </w:r>
      <w:r w:rsidRPr="008E0D97">
        <w:t xml:space="preserve"> </w:t>
      </w:r>
      <w:proofErr w:type="spellStart"/>
      <w:r w:rsidRPr="008E0D97">
        <w:t>Roa</w:t>
      </w:r>
      <w:proofErr w:type="spellEnd"/>
      <w:r w:rsidRPr="008E0D97">
        <w:t xml:space="preserve"> et al., 2021). According to the </w:t>
      </w:r>
      <w:proofErr w:type="spellStart"/>
      <w:r w:rsidRPr="008E0D97">
        <w:t>Digcompedu</w:t>
      </w:r>
      <w:proofErr w:type="spellEnd"/>
      <w:r w:rsidRPr="008E0D97">
        <w:t xml:space="preserve"> descriptors, it means that teachers take their time to select and incorporate digital tools into pedagogical strategies. A training methodology should provide them with criteria that enable them to make better decisions</w:t>
      </w:r>
      <w:r w:rsidR="00A72BF7">
        <w:t xml:space="preserve"> on this regard</w:t>
      </w:r>
      <w:r w:rsidRPr="008E0D97">
        <w:t>. The SAMR framework (</w:t>
      </w:r>
      <w:proofErr w:type="spellStart"/>
      <w:r w:rsidRPr="008E0D97">
        <w:t>Puentedura</w:t>
      </w:r>
      <w:proofErr w:type="spellEnd"/>
      <w:r w:rsidRPr="008E0D97">
        <w:t>, 2006)</w:t>
      </w:r>
      <w:r w:rsidR="00B563F1">
        <w:t>,</w:t>
      </w:r>
      <w:r w:rsidRPr="008E0D97">
        <w:t xml:space="preserve"> for integrating technology into education may serve as a reference because it defines levels in this incorporation process. Teachers may improve the use of digital tools by substituting or augmenting them. Other teachers may substitute activit</w:t>
      </w:r>
      <w:r w:rsidR="00A72BF7">
        <w:t>ies</w:t>
      </w:r>
      <w:r w:rsidRPr="008E0D97">
        <w:t xml:space="preserve"> in face-to-face instruction for one</w:t>
      </w:r>
      <w:r w:rsidR="00A72BF7">
        <w:t>s</w:t>
      </w:r>
      <w:r w:rsidRPr="008E0D97">
        <w:t xml:space="preserve"> in the virtual environment but with the same effects and intention and a better functional result.</w:t>
      </w:r>
      <w:r w:rsidR="00A72BF7">
        <w:t xml:space="preserve"> </w:t>
      </w:r>
      <w:bookmarkStart w:id="2" w:name="_Hlk138332239"/>
      <w:r w:rsidRPr="008E0D97">
        <w:t xml:space="preserve">On the other hand, teachers may transform digital tools by modifying and redefining them. Using TIC allows for redesigning and creating new learning activities, even inconceivable ones. Training programs and methodologies should incentive teamwork with </w:t>
      </w:r>
      <w:r w:rsidRPr="008E0D97">
        <w:lastRenderedPageBreak/>
        <w:t>colleagues to be updated with new developments and become a source of inspiration for other teachers.</w:t>
      </w:r>
    </w:p>
    <w:p w14:paraId="387DEA26" w14:textId="37026854" w:rsidR="00C64A87" w:rsidRPr="008E0D97" w:rsidRDefault="00C64A87" w:rsidP="00AC6201">
      <w:pPr>
        <w:pStyle w:val="Paragraph"/>
        <w:rPr>
          <w:rFonts w:eastAsiaTheme="minorHAnsi"/>
        </w:rPr>
      </w:pPr>
      <w:r w:rsidRPr="008E0D97">
        <w:rPr>
          <w:rFonts w:eastAsiaTheme="minorHAnsi"/>
        </w:rPr>
        <w:t>Although teachers recognize that they use digital technologies for collaborative learning (45%) and create digital resources (44%), they manifest that using online collaborative learning environments could</w:t>
      </w:r>
      <w:r w:rsidR="00A72BF7">
        <w:rPr>
          <w:rFonts w:eastAsiaTheme="minorHAnsi"/>
        </w:rPr>
        <w:t xml:space="preserve"> be</w:t>
      </w:r>
      <w:r w:rsidRPr="008E0D97">
        <w:rPr>
          <w:rFonts w:eastAsiaTheme="minorHAnsi"/>
        </w:rPr>
        <w:t xml:space="preserve"> enhance</w:t>
      </w:r>
      <w:r w:rsidR="00A72BF7">
        <w:rPr>
          <w:rFonts w:eastAsiaTheme="minorHAnsi"/>
        </w:rPr>
        <w:t>d</w:t>
      </w:r>
      <w:r w:rsidRPr="008E0D97">
        <w:rPr>
          <w:rFonts w:eastAsiaTheme="minorHAnsi"/>
        </w:rPr>
        <w:t xml:space="preserve">. Web-Based instruction </w:t>
      </w:r>
      <w:r w:rsidR="00A72BF7">
        <w:rPr>
          <w:rFonts w:eastAsiaTheme="minorHAnsi"/>
        </w:rPr>
        <w:t>seems to</w:t>
      </w:r>
      <w:r w:rsidRPr="008E0D97">
        <w:rPr>
          <w:rFonts w:eastAsiaTheme="minorHAnsi"/>
        </w:rPr>
        <w:t xml:space="preserve"> be </w:t>
      </w:r>
      <w:r w:rsidR="00A72BF7">
        <w:rPr>
          <w:rFonts w:eastAsiaTheme="minorHAnsi"/>
        </w:rPr>
        <w:t xml:space="preserve">better </w:t>
      </w:r>
      <w:r w:rsidRPr="008E0D97">
        <w:rPr>
          <w:rFonts w:eastAsiaTheme="minorHAnsi"/>
        </w:rPr>
        <w:t xml:space="preserve">administered using an LMS platform like Moodle and integrate other teamwork resources like blogs, wikis, and video conference tools where students may construct knowledge cooperatively. Numerous studies have proved the effectiveness of LMS platforms in fostering students' collaborative </w:t>
      </w:r>
      <w:r w:rsidRPr="00C972A7">
        <w:rPr>
          <w:rFonts w:eastAsiaTheme="minorHAnsi"/>
        </w:rPr>
        <w:t>learning and English Language Learning (</w:t>
      </w:r>
      <w:r w:rsidRPr="00C972A7">
        <w:rPr>
          <w:shd w:val="clear" w:color="auto" w:fill="FFFFFF"/>
        </w:rPr>
        <w:t>Kataoka</w:t>
      </w:r>
      <w:r w:rsidRPr="00C972A7">
        <w:rPr>
          <w:rFonts w:eastAsiaTheme="minorHAnsi"/>
        </w:rPr>
        <w:t xml:space="preserve"> et al., 2018; </w:t>
      </w:r>
      <w:proofErr w:type="spellStart"/>
      <w:r w:rsidRPr="00C972A7">
        <w:rPr>
          <w:rFonts w:eastAsiaTheme="minorHAnsi"/>
        </w:rPr>
        <w:t>Terzioğlu</w:t>
      </w:r>
      <w:proofErr w:type="spellEnd"/>
      <w:r w:rsidRPr="00C972A7">
        <w:rPr>
          <w:rFonts w:eastAsiaTheme="minorHAnsi"/>
        </w:rPr>
        <w:t xml:space="preserve"> &amp; </w:t>
      </w:r>
      <w:r w:rsidR="00C972A7" w:rsidRPr="00C972A7">
        <w:rPr>
          <w:shd w:val="clear" w:color="auto" w:fill="FFFFFF"/>
          <w:lang w:val="en-US"/>
        </w:rPr>
        <w:t>Kurt</w:t>
      </w:r>
      <w:r w:rsidRPr="00C972A7">
        <w:t>,</w:t>
      </w:r>
      <w:r w:rsidRPr="00C972A7">
        <w:rPr>
          <w:rFonts w:eastAsiaTheme="minorHAnsi"/>
        </w:rPr>
        <w:t xml:space="preserve"> 2022;</w:t>
      </w:r>
      <w:r w:rsidRPr="008E0D97">
        <w:rPr>
          <w:rFonts w:eastAsiaTheme="minorHAnsi"/>
        </w:rPr>
        <w:t xml:space="preserve"> Truong, 2021; Lyashenko &amp; Frolova, 2014). </w:t>
      </w:r>
    </w:p>
    <w:p w14:paraId="518C9177" w14:textId="77777777" w:rsidR="00C64A87" w:rsidRPr="008E0D97" w:rsidRDefault="00C64A87" w:rsidP="00AC6201">
      <w:pPr>
        <w:pStyle w:val="Paragraph"/>
        <w:rPr>
          <w:rFonts w:eastAsiaTheme="minorHAnsi"/>
        </w:rPr>
      </w:pPr>
      <w:r w:rsidRPr="008E0D97">
        <w:rPr>
          <w:rFonts w:eastAsiaTheme="minorHAnsi"/>
        </w:rPr>
        <w:t>Concerning the competencies in each of the areas, in the Teaching and Learning area, self-regulated Learning competence got the lowest score, while Teaching and Guidance was the highest. It implies that teachers use technology to guide and support students' learning outside the classroom. Still, they need to increase the use of technology to stimulate students' learning strategies dealing with planning, monitoring, and reflecting on their learning process.</w:t>
      </w:r>
      <w:r w:rsidRPr="008E0D97">
        <w:t xml:space="preserve"> A Web-based Learning methodology needs to provide spaces for students to self-assess their performance during the learning trajectory by addressing the strategies with weaknesses and strengthening those that are properly working.</w:t>
      </w:r>
      <w:r w:rsidRPr="008E0D97">
        <w:rPr>
          <w:rFonts w:eastAsiaTheme="minorHAnsi"/>
        </w:rPr>
        <w:t xml:space="preserve"> </w:t>
      </w:r>
    </w:p>
    <w:p w14:paraId="18B55E05" w14:textId="319495E1" w:rsidR="00C64A87" w:rsidRPr="008E0D97" w:rsidRDefault="00C64A87" w:rsidP="00AC6201">
      <w:pPr>
        <w:pStyle w:val="Paragraph"/>
        <w:rPr>
          <w:rFonts w:eastAsiaTheme="minorHAnsi"/>
        </w:rPr>
      </w:pPr>
      <w:r w:rsidRPr="008E0D97">
        <w:rPr>
          <w:rFonts w:eastAsiaTheme="minorHAnsi"/>
        </w:rPr>
        <w:t xml:space="preserve">In the Facilitating Learners' Digital Competence area, the Information and Media Literacy and Digital Communication and Collaboration competencies had the lowest average scores among all. It reveals that teachers need to </w:t>
      </w:r>
      <w:r w:rsidR="00A72BF7">
        <w:rPr>
          <w:rFonts w:eastAsiaTheme="minorHAnsi"/>
        </w:rPr>
        <w:t>stimulate</w:t>
      </w:r>
      <w:r w:rsidRPr="008E0D97">
        <w:rPr>
          <w:rFonts w:eastAsiaTheme="minorHAnsi"/>
        </w:rPr>
        <w:t xml:space="preserve"> students' abilities to find information in digital environments, organize, process, </w:t>
      </w:r>
      <w:proofErr w:type="spellStart"/>
      <w:r w:rsidRPr="008E0D97">
        <w:rPr>
          <w:rFonts w:eastAsiaTheme="minorHAnsi"/>
        </w:rPr>
        <w:t>analyze</w:t>
      </w:r>
      <w:proofErr w:type="spellEnd"/>
      <w:r w:rsidRPr="008E0D97">
        <w:rPr>
          <w:rFonts w:eastAsiaTheme="minorHAnsi"/>
        </w:rPr>
        <w:t xml:space="preserve"> and interpret it. It also demands creating a critical sense to evaluate the credibility and reliability of information sources. It implies that the intended methodology includes moments when students are instructed about strategies for </w:t>
      </w:r>
      <w:r w:rsidRPr="008E0D97">
        <w:rPr>
          <w:rFonts w:eastAsiaTheme="minorHAnsi"/>
        </w:rPr>
        <w:lastRenderedPageBreak/>
        <w:t xml:space="preserve">trustful searches and moments where students communicate the </w:t>
      </w:r>
      <w:proofErr w:type="gramStart"/>
      <w:r w:rsidRPr="008E0D97">
        <w:rPr>
          <w:rFonts w:eastAsiaTheme="minorHAnsi"/>
        </w:rPr>
        <w:t>sources</w:t>
      </w:r>
      <w:proofErr w:type="gramEnd"/>
      <w:r w:rsidRPr="008E0D97">
        <w:rPr>
          <w:rFonts w:eastAsiaTheme="minorHAnsi"/>
        </w:rPr>
        <w:t xml:space="preserve"> they used to assess the reliability and provide feedback for further inquiries. </w:t>
      </w:r>
    </w:p>
    <w:p w14:paraId="00E4ACDA" w14:textId="57DBB2E7" w:rsidR="00C64A87" w:rsidRPr="008E0D97" w:rsidRDefault="00C64A87" w:rsidP="00AC6201">
      <w:pPr>
        <w:pStyle w:val="Paragraph"/>
        <w:rPr>
          <w:rFonts w:eastAsiaTheme="minorHAnsi"/>
        </w:rPr>
      </w:pPr>
      <w:r w:rsidRPr="008E0D97">
        <w:rPr>
          <w:rFonts w:eastAsiaTheme="minorHAnsi"/>
        </w:rPr>
        <w:t xml:space="preserve">Regarding Digital Communication and Collaboration, English teachers must incorporate learning activities, assignments, and assessments that encourage students to use digital technologies wisely and consciously with communication, collaboration, and civic participation aims. The new Web-Learning methodology has to embrace these three objectives </w:t>
      </w:r>
      <w:r w:rsidRPr="008E0D97">
        <w:t xml:space="preserve">by creating opportunities for students to transcend </w:t>
      </w:r>
      <w:r w:rsidRPr="008E0D97">
        <w:rPr>
          <w:rFonts w:eastAsiaTheme="minorHAnsi"/>
        </w:rPr>
        <w:t xml:space="preserve">the mere information function of learning and move to make concrete links with their classmates and their nearest community. Emerging Community-Based Pedagogy principles in the Social Justice Teacher Education (SJTE) framework could be incorporated into the learning model, where students and teacher-learners plan their learning based on satisfying classroom and local community problems. </w:t>
      </w:r>
      <w:r w:rsidR="00A72BF7">
        <w:rPr>
          <w:rFonts w:eastAsiaTheme="minorHAnsi"/>
        </w:rPr>
        <w:t>T</w:t>
      </w:r>
      <w:r w:rsidRPr="008E0D97">
        <w:rPr>
          <w:rFonts w:eastAsiaTheme="minorHAnsi"/>
        </w:rPr>
        <w:t xml:space="preserve">eacher-learners need to decide which TDC to develop based on the realities of the context they want to transform. Sharkey et al. (2016) </w:t>
      </w:r>
      <w:r w:rsidRPr="008930FE">
        <w:rPr>
          <w:rFonts w:eastAsiaTheme="minorHAnsi"/>
        </w:rPr>
        <w:t xml:space="preserve">say that </w:t>
      </w:r>
      <w:r w:rsidR="00B563F1">
        <w:rPr>
          <w:rFonts w:eastAsiaTheme="minorHAnsi"/>
        </w:rPr>
        <w:t>“</w:t>
      </w:r>
      <w:r w:rsidRPr="008930FE">
        <w:rPr>
          <w:rFonts w:eastAsiaTheme="minorHAnsi"/>
        </w:rPr>
        <w:t>an illustration of teacher learning could be how they use a notion, as CBPs, to design and proclaim a social activity related to their working surroundings and how it might transform their activities in the school settings</w:t>
      </w:r>
      <w:r w:rsidR="00B563F1">
        <w:rPr>
          <w:rFonts w:eastAsiaTheme="minorHAnsi"/>
        </w:rPr>
        <w:t>”</w:t>
      </w:r>
      <w:r w:rsidRPr="008930FE">
        <w:rPr>
          <w:rFonts w:eastAsiaTheme="minorHAnsi"/>
        </w:rPr>
        <w:t xml:space="preserve"> (p. 2)</w:t>
      </w:r>
      <w:r w:rsidR="00B563F1">
        <w:rPr>
          <w:rFonts w:eastAsiaTheme="minorHAnsi"/>
        </w:rPr>
        <w:t>.</w:t>
      </w:r>
    </w:p>
    <w:p w14:paraId="5FC7E22A" w14:textId="77777777" w:rsidR="00C64A87" w:rsidRPr="008E0D97" w:rsidRDefault="00C64A87" w:rsidP="00AC6201">
      <w:pPr>
        <w:pStyle w:val="Paragraph"/>
        <w:rPr>
          <w:color w:val="000000" w:themeColor="text1"/>
        </w:rPr>
      </w:pPr>
      <w:r w:rsidRPr="008E0D97">
        <w:rPr>
          <w:color w:val="000000" w:themeColor="text1"/>
        </w:rPr>
        <w:t>Results show that no statistical evidence demonstrates that genre and time of expertise have an incidence on the level of DC. It denotes that participants engaging in the Web-Based Learning methodology implementation stage may be in the same groups. A proposed methodology should contribute to differentiated learning instruction, where each learner targets to develop specific competence goals according to their own levels and classroom needs.</w:t>
      </w:r>
    </w:p>
    <w:p w14:paraId="123C3D3A" w14:textId="77777777" w:rsidR="00C64A87" w:rsidRPr="008E0D97" w:rsidRDefault="00C64A87" w:rsidP="00AC6201">
      <w:pPr>
        <w:pStyle w:val="Paragraph"/>
      </w:pPr>
      <w:r w:rsidRPr="008E0D97">
        <w:t xml:space="preserve">Finally, some of this study's limitations have to do with the length of the questionnaire, which included, besides the Teachers' Digital Competence dimension, two others about the use of ICT and blogs for English Teaching. For further research, limiting the number of question </w:t>
      </w:r>
      <w:r w:rsidRPr="008E0D97">
        <w:lastRenderedPageBreak/>
        <w:t xml:space="preserve">items would be better. Besides, some teachers were reluctant to solve the online questionnaire via email. The researchers had to visit schools and approach teachers at ELT National events to make personal requests. The data analysis was time-consuming since studies in the area of Language Teaching that do interpretative analysis through multinomial portions of variables were not found. </w:t>
      </w:r>
    </w:p>
    <w:bookmarkEnd w:id="2"/>
    <w:p w14:paraId="2C05A274" w14:textId="77777777" w:rsidR="00C64A87" w:rsidRPr="00CF3C25" w:rsidRDefault="00C64A87" w:rsidP="00AC6201">
      <w:pPr>
        <w:pStyle w:val="References"/>
        <w:spacing w:line="480" w:lineRule="auto"/>
        <w:rPr>
          <w:b/>
          <w:bCs/>
          <w:i/>
          <w:iCs/>
          <w:lang w:val="es-MX"/>
        </w:rPr>
      </w:pPr>
      <w:r w:rsidRPr="00CF3C25">
        <w:rPr>
          <w:b/>
          <w:bCs/>
          <w:lang w:val="es-MX"/>
        </w:rPr>
        <w:t>References</w:t>
      </w:r>
    </w:p>
    <w:p w14:paraId="314BEE55" w14:textId="77777777" w:rsidR="00A577FF" w:rsidRPr="00BE45AA" w:rsidRDefault="00A577FF" w:rsidP="00AC6201">
      <w:pPr>
        <w:pStyle w:val="References"/>
        <w:spacing w:line="480" w:lineRule="auto"/>
        <w:rPr>
          <w:lang w:val="es-CO" w:eastAsia="es-ES"/>
        </w:rPr>
      </w:pPr>
      <w:r w:rsidRPr="00BE45AA">
        <w:rPr>
          <w:shd w:val="clear" w:color="auto" w:fill="FFFFFF"/>
          <w:lang w:val="es-CO"/>
        </w:rPr>
        <w:t>Acuña, E. (2004). Análisis de datos categóricos. </w:t>
      </w:r>
      <w:r w:rsidRPr="00BE45AA">
        <w:rPr>
          <w:i/>
          <w:iCs/>
          <w:shd w:val="clear" w:color="auto" w:fill="FFFFFF"/>
          <w:lang w:val="es-CO"/>
        </w:rPr>
        <w:t>Departamento de Matemáticas Universidad de Puerto Rico-Mayagüez</w:t>
      </w:r>
      <w:r w:rsidRPr="00BE45AA">
        <w:rPr>
          <w:shd w:val="clear" w:color="auto" w:fill="FFFFFF"/>
          <w:lang w:val="es-CO"/>
        </w:rPr>
        <w:t>.</w:t>
      </w:r>
      <w:r w:rsidRPr="00BE45AA">
        <w:rPr>
          <w:lang w:val="es-CO"/>
        </w:rPr>
        <w:t xml:space="preserve"> Obtenido de https://docplayer.es/15429797-8-analisis-de-datos-dr-edgar-acuna-http-math-uprm-edu-edgar-departmento-de-matematicas-universidad-de-puerto-rico-mayaguez.html</w:t>
      </w:r>
    </w:p>
    <w:p w14:paraId="490306F3" w14:textId="77C525D6" w:rsidR="00A577FF" w:rsidRPr="00BE45AA" w:rsidRDefault="00A577FF" w:rsidP="00AC6201">
      <w:pPr>
        <w:pStyle w:val="References"/>
        <w:spacing w:line="480" w:lineRule="auto"/>
        <w:rPr>
          <w:shd w:val="clear" w:color="auto" w:fill="FFFFFF"/>
          <w:lang w:val="en-US"/>
        </w:rPr>
      </w:pPr>
      <w:proofErr w:type="spellStart"/>
      <w:r w:rsidRPr="00BE45AA">
        <w:rPr>
          <w:color w:val="222222"/>
          <w:shd w:val="clear" w:color="auto" w:fill="FFFFFF"/>
          <w:lang w:val="es-CO"/>
        </w:rPr>
        <w:t>Aguaded</w:t>
      </w:r>
      <w:proofErr w:type="spellEnd"/>
      <w:r w:rsidRPr="00BE45AA">
        <w:rPr>
          <w:color w:val="222222"/>
          <w:shd w:val="clear" w:color="auto" w:fill="FFFFFF"/>
          <w:lang w:val="es-CO"/>
        </w:rPr>
        <w:t>, I., Jaramillo-</w:t>
      </w:r>
      <w:proofErr w:type="spellStart"/>
      <w:r w:rsidRPr="00BE45AA">
        <w:rPr>
          <w:color w:val="222222"/>
          <w:shd w:val="clear" w:color="auto" w:fill="FFFFFF"/>
          <w:lang w:val="es-CO"/>
        </w:rPr>
        <w:t>Dent</w:t>
      </w:r>
      <w:proofErr w:type="spellEnd"/>
      <w:r w:rsidRPr="00BE45AA">
        <w:rPr>
          <w:color w:val="222222"/>
          <w:shd w:val="clear" w:color="auto" w:fill="FFFFFF"/>
          <w:lang w:val="es-CO"/>
        </w:rPr>
        <w:t>, D., &amp; Ponce, Á. D. (2021). </w:t>
      </w:r>
      <w:r w:rsidRPr="00BE45AA">
        <w:rPr>
          <w:i/>
          <w:iCs/>
          <w:color w:val="222222"/>
          <w:shd w:val="clear" w:color="auto" w:fill="FFFFFF"/>
          <w:lang w:val="es-CO"/>
        </w:rPr>
        <w:t xml:space="preserve">Currículum </w:t>
      </w:r>
      <w:proofErr w:type="spellStart"/>
      <w:r w:rsidRPr="00BE45AA">
        <w:rPr>
          <w:i/>
          <w:iCs/>
          <w:color w:val="222222"/>
          <w:shd w:val="clear" w:color="auto" w:fill="FFFFFF"/>
          <w:lang w:val="es-CO"/>
        </w:rPr>
        <w:t>Alfamed</w:t>
      </w:r>
      <w:proofErr w:type="spellEnd"/>
      <w:r w:rsidRPr="00BE45AA">
        <w:rPr>
          <w:i/>
          <w:iCs/>
          <w:color w:val="222222"/>
          <w:shd w:val="clear" w:color="auto" w:fill="FFFFFF"/>
          <w:lang w:val="es-CO"/>
        </w:rPr>
        <w:t xml:space="preserve"> de formación de profesores en educación mediática: MIL (Media and </w:t>
      </w:r>
      <w:proofErr w:type="spellStart"/>
      <w:r w:rsidRPr="00BE45AA">
        <w:rPr>
          <w:i/>
          <w:iCs/>
          <w:color w:val="222222"/>
          <w:shd w:val="clear" w:color="auto" w:fill="FFFFFF"/>
          <w:lang w:val="es-CO"/>
        </w:rPr>
        <w:t>Information</w:t>
      </w:r>
      <w:proofErr w:type="spellEnd"/>
      <w:r w:rsidRPr="00BE45AA">
        <w:rPr>
          <w:i/>
          <w:iCs/>
          <w:color w:val="222222"/>
          <w:shd w:val="clear" w:color="auto" w:fill="FFFFFF"/>
          <w:lang w:val="es-CO"/>
        </w:rPr>
        <w:t xml:space="preserve"> </w:t>
      </w:r>
      <w:proofErr w:type="spellStart"/>
      <w:r w:rsidRPr="00BE45AA">
        <w:rPr>
          <w:i/>
          <w:iCs/>
          <w:color w:val="222222"/>
          <w:shd w:val="clear" w:color="auto" w:fill="FFFFFF"/>
          <w:lang w:val="es-CO"/>
        </w:rPr>
        <w:t>Literacy</w:t>
      </w:r>
      <w:proofErr w:type="spellEnd"/>
      <w:r w:rsidRPr="00BE45AA">
        <w:rPr>
          <w:i/>
          <w:iCs/>
          <w:color w:val="222222"/>
          <w:shd w:val="clear" w:color="auto" w:fill="FFFFFF"/>
          <w:lang w:val="es-CO"/>
        </w:rPr>
        <w:t>) en la era pos-COVID-19</w:t>
      </w:r>
      <w:r w:rsidRPr="00BE45AA">
        <w:rPr>
          <w:color w:val="222222"/>
          <w:shd w:val="clear" w:color="auto" w:fill="FFFFFF"/>
          <w:lang w:val="es-CO"/>
        </w:rPr>
        <w:t xml:space="preserve">. </w:t>
      </w:r>
      <w:proofErr w:type="spellStart"/>
      <w:r w:rsidRPr="00BE45AA">
        <w:rPr>
          <w:color w:val="222222"/>
          <w:shd w:val="clear" w:color="auto" w:fill="FFFFFF"/>
          <w:lang w:val="en-US"/>
        </w:rPr>
        <w:t>Ediciones</w:t>
      </w:r>
      <w:proofErr w:type="spellEnd"/>
      <w:r w:rsidRPr="00BE45AA">
        <w:rPr>
          <w:color w:val="222222"/>
          <w:shd w:val="clear" w:color="auto" w:fill="FFFFFF"/>
          <w:lang w:val="en-US"/>
        </w:rPr>
        <w:t xml:space="preserve"> </w:t>
      </w:r>
      <w:proofErr w:type="spellStart"/>
      <w:r w:rsidRPr="00BE45AA">
        <w:rPr>
          <w:color w:val="222222"/>
          <w:shd w:val="clear" w:color="auto" w:fill="FFFFFF"/>
          <w:lang w:val="en-US"/>
        </w:rPr>
        <w:t>Octaedro</w:t>
      </w:r>
      <w:proofErr w:type="spellEnd"/>
      <w:r w:rsidRPr="00BE45AA">
        <w:rPr>
          <w:color w:val="222222"/>
          <w:shd w:val="clear" w:color="auto" w:fill="FFFFFF"/>
          <w:lang w:val="en-US"/>
        </w:rPr>
        <w:t>.</w:t>
      </w:r>
      <w:r w:rsidRPr="00BE45AA">
        <w:rPr>
          <w:lang w:val="en-US"/>
        </w:rPr>
        <w:t xml:space="preserve"> </w:t>
      </w:r>
    </w:p>
    <w:p w14:paraId="142E75FA" w14:textId="56DAE4EE" w:rsidR="00A577FF" w:rsidRPr="00BE45AA" w:rsidRDefault="00A577FF" w:rsidP="00AC6201">
      <w:pPr>
        <w:pStyle w:val="References"/>
        <w:spacing w:line="480" w:lineRule="auto"/>
        <w:rPr>
          <w:shd w:val="clear" w:color="auto" w:fill="FFFFFF"/>
          <w:lang w:val="es-CO"/>
        </w:rPr>
      </w:pPr>
      <w:r w:rsidRPr="00BE45AA">
        <w:rPr>
          <w:shd w:val="clear" w:color="auto" w:fill="FFFFFF"/>
          <w:lang w:val="es-CO"/>
        </w:rPr>
        <w:t>Cabero-Almenara, J.</w:t>
      </w:r>
      <w:r w:rsidR="00A54452" w:rsidRPr="00BE45AA">
        <w:rPr>
          <w:shd w:val="clear" w:color="auto" w:fill="FFFFFF"/>
          <w:lang w:val="es-CO"/>
        </w:rPr>
        <w:t>,</w:t>
      </w:r>
      <w:r w:rsidRPr="00BE45AA">
        <w:rPr>
          <w:shd w:val="clear" w:color="auto" w:fill="FFFFFF"/>
          <w:lang w:val="es-CO"/>
        </w:rPr>
        <w:t xml:space="preserve"> y Palacios-Rodríguez, A. (2020). Marco Europeo de Competencia Digital Docente «</w:t>
      </w:r>
      <w:proofErr w:type="spellStart"/>
      <w:r w:rsidRPr="00BE45AA">
        <w:rPr>
          <w:shd w:val="clear" w:color="auto" w:fill="FFFFFF"/>
          <w:lang w:val="es-CO"/>
        </w:rPr>
        <w:t>DigCompEdu</w:t>
      </w:r>
      <w:proofErr w:type="spellEnd"/>
      <w:r w:rsidRPr="00BE45AA">
        <w:rPr>
          <w:shd w:val="clear" w:color="auto" w:fill="FFFFFF"/>
          <w:lang w:val="es-CO"/>
        </w:rPr>
        <w:t>». Traducción y adaptación del cuestionario «</w:t>
      </w:r>
      <w:proofErr w:type="spellStart"/>
      <w:r w:rsidRPr="00BE45AA">
        <w:rPr>
          <w:shd w:val="clear" w:color="auto" w:fill="FFFFFF"/>
          <w:lang w:val="es-CO"/>
        </w:rPr>
        <w:t>DigCompEdu</w:t>
      </w:r>
      <w:proofErr w:type="spellEnd"/>
      <w:r w:rsidRPr="00BE45AA">
        <w:rPr>
          <w:shd w:val="clear" w:color="auto" w:fill="FFFFFF"/>
          <w:lang w:val="es-CO"/>
        </w:rPr>
        <w:t xml:space="preserve"> </w:t>
      </w:r>
      <w:proofErr w:type="spellStart"/>
      <w:r w:rsidRPr="00BE45AA">
        <w:rPr>
          <w:shd w:val="clear" w:color="auto" w:fill="FFFFFF"/>
          <w:lang w:val="es-CO"/>
        </w:rPr>
        <w:t>Check</w:t>
      </w:r>
      <w:proofErr w:type="spellEnd"/>
      <w:r w:rsidRPr="00BE45AA">
        <w:rPr>
          <w:shd w:val="clear" w:color="auto" w:fill="FFFFFF"/>
          <w:lang w:val="es-CO"/>
        </w:rPr>
        <w:t>-In». </w:t>
      </w:r>
      <w:proofErr w:type="spellStart"/>
      <w:r w:rsidRPr="00BE45AA">
        <w:rPr>
          <w:i/>
          <w:iCs/>
          <w:shd w:val="clear" w:color="auto" w:fill="FFFFFF"/>
          <w:lang w:val="es-CO"/>
        </w:rPr>
        <w:t>Edmetic</w:t>
      </w:r>
      <w:proofErr w:type="spellEnd"/>
      <w:r w:rsidRPr="00BE45AA">
        <w:rPr>
          <w:shd w:val="clear" w:color="auto" w:fill="FFFFFF"/>
          <w:lang w:val="es-CO"/>
        </w:rPr>
        <w:t>, </w:t>
      </w:r>
      <w:r w:rsidRPr="00BE45AA">
        <w:rPr>
          <w:i/>
          <w:iCs/>
          <w:shd w:val="clear" w:color="auto" w:fill="FFFFFF"/>
          <w:lang w:val="es-CO"/>
        </w:rPr>
        <w:t>9</w:t>
      </w:r>
      <w:r w:rsidRPr="00BE45AA">
        <w:rPr>
          <w:shd w:val="clear" w:color="auto" w:fill="FFFFFF"/>
          <w:lang w:val="es-CO"/>
        </w:rPr>
        <w:t>(1), 213-234.</w:t>
      </w:r>
      <w:r w:rsidRPr="00BE45AA">
        <w:rPr>
          <w:lang w:val="es-CO"/>
        </w:rPr>
        <w:t xml:space="preserve"> </w:t>
      </w:r>
      <w:r w:rsidR="00A02533" w:rsidRPr="00BE45AA">
        <w:rPr>
          <w:lang w:val="es-CO"/>
        </w:rPr>
        <w:t>Obtenido de</w:t>
      </w:r>
      <w:r w:rsidRPr="00BE45AA">
        <w:rPr>
          <w:lang w:val="es-CO"/>
        </w:rPr>
        <w:t xml:space="preserve"> </w:t>
      </w:r>
      <w:hyperlink r:id="rId17" w:history="1">
        <w:r w:rsidRPr="00BE45AA">
          <w:rPr>
            <w:rStyle w:val="Hipervnculo"/>
            <w:color w:val="000000" w:themeColor="text1"/>
            <w:u w:val="none"/>
            <w:shd w:val="clear" w:color="auto" w:fill="FFFFFF"/>
            <w:lang w:val="es-CO"/>
          </w:rPr>
          <w:t>https://journals.uco.es/edmetic/article/view/12462/11154</w:t>
        </w:r>
      </w:hyperlink>
    </w:p>
    <w:p w14:paraId="5570C3F2" w14:textId="77777777" w:rsidR="00A577FF" w:rsidRPr="00BE45AA" w:rsidRDefault="00A577FF" w:rsidP="00AC6201">
      <w:pPr>
        <w:pStyle w:val="References"/>
        <w:spacing w:line="480" w:lineRule="auto"/>
      </w:pPr>
      <w:r w:rsidRPr="00BE45AA">
        <w:t xml:space="preserve">Gazca, L., Sánchez, G., Velasco, M., Otero, A., y Hernández, F. (2020). </w:t>
      </w:r>
      <w:r w:rsidRPr="002646AF">
        <w:rPr>
          <w:i/>
          <w:iCs/>
        </w:rPr>
        <w:t xml:space="preserve">Diagnóstico de competencias docentes en saberes digitales para profesores de educación superior. </w:t>
      </w:r>
      <w:r w:rsidRPr="00BE45AA">
        <w:t xml:space="preserve">México. Red iberoamericana de academias de investigación AC. RED IBAI. Obtenido de </w:t>
      </w:r>
      <w:hyperlink r:id="rId18" w:history="1">
        <w:r w:rsidRPr="00BE45AA">
          <w:rPr>
            <w:rStyle w:val="Hipervnculo"/>
            <w:color w:val="000000" w:themeColor="text1"/>
            <w:u w:val="none"/>
          </w:rPr>
          <w:t>http://redibaimyd.org/portal/wpcontent/uploads/2020/09/diagnostico.pdf</w:t>
        </w:r>
      </w:hyperlink>
    </w:p>
    <w:p w14:paraId="621A09BB" w14:textId="77777777" w:rsidR="00A577FF" w:rsidRPr="00BE45AA" w:rsidRDefault="00A577FF" w:rsidP="00AC6201">
      <w:pPr>
        <w:pStyle w:val="References"/>
        <w:spacing w:line="480" w:lineRule="auto"/>
        <w:rPr>
          <w:shd w:val="clear" w:color="auto" w:fill="FFFFFF"/>
        </w:rPr>
      </w:pPr>
      <w:r w:rsidRPr="00BE45AA">
        <w:rPr>
          <w:shd w:val="clear" w:color="auto" w:fill="FFFFFF"/>
        </w:rPr>
        <w:t>Gómez, A. O. (2017). Índice de competencias TIC en docentes de educación superior. </w:t>
      </w:r>
      <w:r w:rsidRPr="00BE45AA">
        <w:rPr>
          <w:i/>
          <w:iCs/>
          <w:shd w:val="clear" w:color="auto" w:fill="FFFFFF"/>
        </w:rPr>
        <w:t>Campus Virtuales</w:t>
      </w:r>
      <w:r w:rsidRPr="00BE45AA">
        <w:rPr>
          <w:shd w:val="clear" w:color="auto" w:fill="FFFFFF"/>
        </w:rPr>
        <w:t>, </w:t>
      </w:r>
      <w:r w:rsidRPr="00BE45AA">
        <w:rPr>
          <w:i/>
          <w:iCs/>
          <w:shd w:val="clear" w:color="auto" w:fill="FFFFFF"/>
        </w:rPr>
        <w:t>6</w:t>
      </w:r>
      <w:r w:rsidRPr="00BE45AA">
        <w:rPr>
          <w:shd w:val="clear" w:color="auto" w:fill="FFFFFF"/>
        </w:rPr>
        <w:t>(2), 113-125.</w:t>
      </w:r>
      <w:r w:rsidRPr="00BE45AA">
        <w:t xml:space="preserve"> Obtenido de </w:t>
      </w:r>
      <w:r w:rsidRPr="00BE45AA">
        <w:rPr>
          <w:shd w:val="clear" w:color="auto" w:fill="FFFFFF"/>
        </w:rPr>
        <w:t>http://www.uajournals.com/ojs/index.php/campusvirtuales/article/view/240/206</w:t>
      </w:r>
    </w:p>
    <w:p w14:paraId="1BF43D94" w14:textId="77777777" w:rsidR="00A577FF" w:rsidRPr="00BE45AA" w:rsidRDefault="00A577FF" w:rsidP="00AC6201">
      <w:pPr>
        <w:pStyle w:val="References"/>
        <w:spacing w:line="480" w:lineRule="auto"/>
        <w:rPr>
          <w:shd w:val="clear" w:color="auto" w:fill="FFFFFF"/>
          <w:lang w:val="en-US"/>
        </w:rPr>
      </w:pPr>
      <w:r w:rsidRPr="00BE45AA">
        <w:rPr>
          <w:shd w:val="clear" w:color="auto" w:fill="FFFFFF"/>
          <w:lang w:val="de-LI"/>
        </w:rPr>
        <w:lastRenderedPageBreak/>
        <w:t>Hollander, M., Wolfe, D. A., &amp; Chicken, E. (2013). </w:t>
      </w:r>
      <w:r w:rsidRPr="00BE45AA">
        <w:rPr>
          <w:i/>
          <w:iCs/>
          <w:shd w:val="clear" w:color="auto" w:fill="FFFFFF"/>
          <w:lang w:val="en-US"/>
        </w:rPr>
        <w:t>Nonparametric statistical methods</w:t>
      </w:r>
      <w:r w:rsidRPr="00BE45AA">
        <w:rPr>
          <w:shd w:val="clear" w:color="auto" w:fill="FFFFFF"/>
          <w:lang w:val="en-US"/>
        </w:rPr>
        <w:t>. John Wiley &amp; Sons.</w:t>
      </w:r>
      <w:r w:rsidRPr="00BE45AA">
        <w:rPr>
          <w:lang w:val="en-US"/>
        </w:rPr>
        <w:t xml:space="preserve"> (pp. 115-120). Third Edition. Retrieved from</w:t>
      </w:r>
      <w:r w:rsidRPr="00BE45AA">
        <w:rPr>
          <w:shd w:val="clear" w:color="auto" w:fill="FFFFFF"/>
          <w:lang w:val="en-US"/>
        </w:rPr>
        <w:t xml:space="preserve"> https://books.google.com.co/books?hl=es&amp;lr=&amp;id=Y5s3AgAAQBAJ&amp;oi=fnd&amp;pg=PP10&amp;dq=Hollander+and+Wolfe+1973+Nonparametric+Statistical+Methods.+New+York:+John+Wiley+%26+Sons&amp;ots=a_pXi06gvL&amp;sig=8Yrr6pfray-KEboF4KRoyQrR-6U&amp;redir_esc=y#v=onepage&amp;q=Hollander%20and%20Wolfe%201973%20Nonparametric%20Statistical%20Methods.%20New%20York%3A%20John%20Wiley%20%26%20Sons&amp;f=false</w:t>
      </w:r>
    </w:p>
    <w:p w14:paraId="03EB06CC" w14:textId="77777777" w:rsidR="00A577FF" w:rsidRPr="00BE45AA" w:rsidRDefault="00A577FF" w:rsidP="00AC6201">
      <w:pPr>
        <w:pStyle w:val="References"/>
        <w:spacing w:line="480" w:lineRule="auto"/>
        <w:rPr>
          <w:shd w:val="clear" w:color="auto" w:fill="FFFFFF"/>
          <w:lang w:val="en-US"/>
        </w:rPr>
      </w:pPr>
      <w:r w:rsidRPr="00BE45AA">
        <w:rPr>
          <w:shd w:val="clear" w:color="auto" w:fill="FFFFFF"/>
          <w:lang w:val="en-US"/>
        </w:rPr>
        <w:t>Kaiser, H. F. (1974). An index of factorial simplicity. </w:t>
      </w:r>
      <w:r w:rsidRPr="00BE45AA">
        <w:rPr>
          <w:i/>
          <w:iCs/>
          <w:shd w:val="clear" w:color="auto" w:fill="FFFFFF"/>
          <w:lang w:val="en-US"/>
        </w:rPr>
        <w:t>psychometrika</w:t>
      </w:r>
      <w:r w:rsidRPr="00BE45AA">
        <w:rPr>
          <w:shd w:val="clear" w:color="auto" w:fill="FFFFFF"/>
          <w:lang w:val="en-US"/>
        </w:rPr>
        <w:t>, </w:t>
      </w:r>
      <w:r w:rsidRPr="00BE45AA">
        <w:rPr>
          <w:i/>
          <w:iCs/>
          <w:shd w:val="clear" w:color="auto" w:fill="FFFFFF"/>
          <w:lang w:val="en-US"/>
        </w:rPr>
        <w:t>39</w:t>
      </w:r>
      <w:r w:rsidRPr="00BE45AA">
        <w:rPr>
          <w:shd w:val="clear" w:color="auto" w:fill="FFFFFF"/>
          <w:lang w:val="en-US"/>
        </w:rPr>
        <w:t xml:space="preserve">(1), 31-36. </w:t>
      </w:r>
      <w:r w:rsidRPr="00BE45AA">
        <w:rPr>
          <w:lang w:val="en-US"/>
        </w:rPr>
        <w:t xml:space="preserve">Retrieved from </w:t>
      </w:r>
      <w:hyperlink r:id="rId19" w:history="1">
        <w:r w:rsidRPr="00BE45AA">
          <w:rPr>
            <w:rStyle w:val="Hipervnculo"/>
            <w:color w:val="000000" w:themeColor="text1"/>
            <w:u w:val="none"/>
            <w:shd w:val="clear" w:color="auto" w:fill="FFFFFF"/>
            <w:lang w:val="en-US"/>
          </w:rPr>
          <w:t>https://doi.org/10.1007/BF02291575</w:t>
        </w:r>
      </w:hyperlink>
    </w:p>
    <w:p w14:paraId="6A708424" w14:textId="77777777" w:rsidR="00A577FF" w:rsidRPr="00BE45AA" w:rsidRDefault="00A577FF" w:rsidP="00AC6201">
      <w:pPr>
        <w:pStyle w:val="References"/>
        <w:spacing w:line="480" w:lineRule="auto"/>
        <w:rPr>
          <w:shd w:val="clear" w:color="auto" w:fill="FFFFFF"/>
          <w:lang w:val="en-US"/>
        </w:rPr>
      </w:pPr>
      <w:r w:rsidRPr="00BE45AA">
        <w:rPr>
          <w:shd w:val="clear" w:color="auto" w:fill="FFFFFF"/>
          <w:lang w:val="en-US"/>
        </w:rPr>
        <w:t>Kataoka, Y., Thamrin, A. H., Murai, J., &amp; Kataoka, K. (2018). Effective use of learning management system for large-scale Japanese language education. In </w:t>
      </w:r>
      <w:r w:rsidRPr="00BE45AA">
        <w:rPr>
          <w:i/>
          <w:iCs/>
          <w:shd w:val="clear" w:color="auto" w:fill="FFFFFF"/>
          <w:lang w:val="en-US"/>
        </w:rPr>
        <w:t>Proceedings of the 10th International Conference on Education Technology and Computers</w:t>
      </w:r>
      <w:r w:rsidRPr="00BE45AA">
        <w:rPr>
          <w:shd w:val="clear" w:color="auto" w:fill="FFFFFF"/>
          <w:lang w:val="en-US"/>
        </w:rPr>
        <w:t> (pp. 49-56)</w:t>
      </w:r>
      <w:proofErr w:type="gramStart"/>
      <w:r w:rsidRPr="00BE45AA">
        <w:rPr>
          <w:shd w:val="clear" w:color="auto" w:fill="FFFFFF"/>
          <w:lang w:val="en-US"/>
        </w:rPr>
        <w:t>.</w:t>
      </w:r>
      <w:r w:rsidRPr="00BE45AA">
        <w:rPr>
          <w:lang w:val="en-US"/>
        </w:rPr>
        <w:t xml:space="preserve"> </w:t>
      </w:r>
      <w:r w:rsidRPr="00BE45AA">
        <w:rPr>
          <w:shd w:val="clear" w:color="auto" w:fill="FFFFFF"/>
          <w:lang w:val="en-US"/>
        </w:rPr>
        <w:t>.</w:t>
      </w:r>
      <w:proofErr w:type="gramEnd"/>
      <w:r w:rsidRPr="00BE45AA">
        <w:rPr>
          <w:shd w:val="clear" w:color="auto" w:fill="FFFFFF"/>
          <w:lang w:val="en-US"/>
        </w:rPr>
        <w:t xml:space="preserve"> </w:t>
      </w:r>
      <w:r w:rsidRPr="00BE45AA">
        <w:rPr>
          <w:lang w:val="en-US"/>
        </w:rPr>
        <w:t>Retrieved from</w:t>
      </w:r>
      <w:r w:rsidRPr="00BE45AA">
        <w:rPr>
          <w:shd w:val="clear" w:color="auto" w:fill="FFFFFF"/>
          <w:lang w:val="en-US"/>
        </w:rPr>
        <w:t xml:space="preserve"> https://dl.acm.org/doi/abs/10.1145/3290511.3290564</w:t>
      </w:r>
    </w:p>
    <w:p w14:paraId="798A5694" w14:textId="77777777" w:rsidR="00A577FF" w:rsidRPr="00BE45AA" w:rsidRDefault="00A577FF" w:rsidP="00AC6201">
      <w:pPr>
        <w:pStyle w:val="References"/>
        <w:spacing w:line="480" w:lineRule="auto"/>
        <w:rPr>
          <w:shd w:val="clear" w:color="auto" w:fill="FFFFFF"/>
          <w:lang w:val="en-US"/>
        </w:rPr>
      </w:pPr>
      <w:r w:rsidRPr="00C81DD8">
        <w:rPr>
          <w:shd w:val="clear" w:color="auto" w:fill="FFFFFF"/>
          <w:lang w:val="en-US"/>
        </w:rPr>
        <w:t xml:space="preserve">Law, N. W. Y., Woo, D. J., de la Torre, J., &amp; Wong, K. W. G. (2018). </w:t>
      </w:r>
      <w:r w:rsidRPr="00BE45AA">
        <w:rPr>
          <w:shd w:val="clear" w:color="auto" w:fill="FFFFFF"/>
          <w:lang w:val="en-US"/>
        </w:rPr>
        <w:t>A global framework of reference on digital literacy skills for indicator 4.4. 2.</w:t>
      </w:r>
      <w:r w:rsidRPr="00BE45AA">
        <w:rPr>
          <w:lang w:val="en-US"/>
        </w:rPr>
        <w:t xml:space="preserve"> Retrieved from </w:t>
      </w:r>
      <w:r w:rsidRPr="00BE45AA">
        <w:rPr>
          <w:shd w:val="clear" w:color="auto" w:fill="FFFFFF"/>
          <w:lang w:val="en-US"/>
        </w:rPr>
        <w:t>https://hub.hku.hk/bitstream/10722/262055/1/Content.pdf?accept=1</w:t>
      </w:r>
    </w:p>
    <w:p w14:paraId="4B28757C" w14:textId="77777777" w:rsidR="00A577FF" w:rsidRPr="00BE45AA" w:rsidRDefault="00A577FF" w:rsidP="00AC6201">
      <w:pPr>
        <w:pStyle w:val="References"/>
        <w:spacing w:line="480" w:lineRule="auto"/>
        <w:rPr>
          <w:shd w:val="clear" w:color="auto" w:fill="FFFFFF"/>
        </w:rPr>
      </w:pPr>
      <w:r w:rsidRPr="00BE45AA">
        <w:rPr>
          <w:shd w:val="clear" w:color="auto" w:fill="FFFFFF"/>
        </w:rPr>
        <w:t>Lázaro, J. L., y Gisbert, M. (2015). Elaboración de una rúbrica para evaluar la competencia digital del docente. </w:t>
      </w:r>
      <w:r w:rsidRPr="00BE45AA">
        <w:rPr>
          <w:i/>
          <w:iCs/>
          <w:shd w:val="clear" w:color="auto" w:fill="FFFFFF"/>
        </w:rPr>
        <w:t xml:space="preserve">UT. Revista de </w:t>
      </w:r>
      <w:proofErr w:type="spellStart"/>
      <w:r w:rsidRPr="00BE45AA">
        <w:rPr>
          <w:i/>
          <w:iCs/>
          <w:shd w:val="clear" w:color="auto" w:fill="FFFFFF"/>
        </w:rPr>
        <w:t>Ciències</w:t>
      </w:r>
      <w:proofErr w:type="spellEnd"/>
      <w:r w:rsidRPr="00BE45AA">
        <w:rPr>
          <w:i/>
          <w:iCs/>
          <w:shd w:val="clear" w:color="auto" w:fill="FFFFFF"/>
        </w:rPr>
        <w:t xml:space="preserve"> de </w:t>
      </w:r>
      <w:proofErr w:type="spellStart"/>
      <w:r w:rsidRPr="00BE45AA">
        <w:rPr>
          <w:i/>
          <w:iCs/>
          <w:shd w:val="clear" w:color="auto" w:fill="FFFFFF"/>
        </w:rPr>
        <w:t>l’Educació</w:t>
      </w:r>
      <w:proofErr w:type="spellEnd"/>
      <w:r w:rsidRPr="00BE45AA">
        <w:rPr>
          <w:shd w:val="clear" w:color="auto" w:fill="FFFFFF"/>
        </w:rPr>
        <w:t>, </w:t>
      </w:r>
      <w:r w:rsidRPr="00BE45AA">
        <w:rPr>
          <w:i/>
          <w:iCs/>
          <w:shd w:val="clear" w:color="auto" w:fill="FFFFFF"/>
        </w:rPr>
        <w:t>1</w:t>
      </w:r>
      <w:r w:rsidRPr="00BE45AA">
        <w:rPr>
          <w:shd w:val="clear" w:color="auto" w:fill="FFFFFF"/>
        </w:rPr>
        <w:t>(1), 30-47.</w:t>
      </w:r>
      <w:r w:rsidRPr="00BE45AA">
        <w:t xml:space="preserve"> Obtenido de </w:t>
      </w:r>
      <w:r w:rsidRPr="00BE45AA">
        <w:rPr>
          <w:shd w:val="clear" w:color="auto" w:fill="FFFFFF"/>
        </w:rPr>
        <w:t>https://pedagogia.fcep.urv.cat/comdid/wp-content/uploads/2018/11/648-2858-1-PB.pdf</w:t>
      </w:r>
    </w:p>
    <w:p w14:paraId="6A2FEA7D" w14:textId="77777777" w:rsidR="00A577FF" w:rsidRPr="00BE45AA" w:rsidRDefault="00A577FF" w:rsidP="00AC6201">
      <w:pPr>
        <w:pStyle w:val="References"/>
        <w:spacing w:line="480" w:lineRule="auto"/>
        <w:rPr>
          <w:shd w:val="clear" w:color="auto" w:fill="FFFFFF"/>
          <w:lang w:val="en-US"/>
        </w:rPr>
      </w:pPr>
      <w:r w:rsidRPr="00BE45AA">
        <w:rPr>
          <w:shd w:val="clear" w:color="auto" w:fill="FFFFFF"/>
          <w:lang w:val="en-US"/>
        </w:rPr>
        <w:t>Lyashenko, M. S., &amp; Frolova, N. H. (2014). LMS projects: A platform for intergenerational e-learning collaboration. </w:t>
      </w:r>
      <w:r w:rsidRPr="00BE45AA">
        <w:rPr>
          <w:i/>
          <w:iCs/>
          <w:shd w:val="clear" w:color="auto" w:fill="FFFFFF"/>
          <w:lang w:val="en-US"/>
        </w:rPr>
        <w:t>Education and information technologies</w:t>
      </w:r>
      <w:r w:rsidRPr="00BE45AA">
        <w:rPr>
          <w:shd w:val="clear" w:color="auto" w:fill="FFFFFF"/>
          <w:lang w:val="en-US"/>
        </w:rPr>
        <w:t>, </w:t>
      </w:r>
      <w:r w:rsidRPr="00BE45AA">
        <w:rPr>
          <w:i/>
          <w:iCs/>
          <w:shd w:val="clear" w:color="auto" w:fill="FFFFFF"/>
          <w:lang w:val="en-US"/>
        </w:rPr>
        <w:t>19</w:t>
      </w:r>
      <w:r w:rsidRPr="00BE45AA">
        <w:rPr>
          <w:shd w:val="clear" w:color="auto" w:fill="FFFFFF"/>
          <w:lang w:val="en-US"/>
        </w:rPr>
        <w:t>, 495-513.</w:t>
      </w:r>
      <w:r w:rsidRPr="00BE45AA">
        <w:rPr>
          <w:lang w:val="en-US"/>
        </w:rPr>
        <w:t xml:space="preserve"> Retrieved from </w:t>
      </w:r>
      <w:r w:rsidRPr="00BE45AA">
        <w:rPr>
          <w:shd w:val="clear" w:color="auto" w:fill="FFFFFF"/>
          <w:lang w:val="en-US"/>
        </w:rPr>
        <w:t>https://link.springer.com/article/10.1007/s10639-014-9333-9</w:t>
      </w:r>
    </w:p>
    <w:p w14:paraId="4B43B273" w14:textId="77777777" w:rsidR="00A577FF" w:rsidRPr="00BE45AA" w:rsidRDefault="00A577FF" w:rsidP="00AC6201">
      <w:pPr>
        <w:pStyle w:val="References"/>
        <w:spacing w:line="480" w:lineRule="auto"/>
      </w:pPr>
      <w:r w:rsidRPr="00BE45AA">
        <w:lastRenderedPageBreak/>
        <w:t>Ministerio de Educación de Colombia. (2013</w:t>
      </w:r>
      <w:r w:rsidRPr="002646AF">
        <w:rPr>
          <w:i/>
          <w:iCs/>
        </w:rPr>
        <w:t>). Competencias TIC para el Desarrollo Profesional Docente.</w:t>
      </w:r>
      <w:r w:rsidRPr="00BE45AA">
        <w:t xml:space="preserve"> Obtenido de </w:t>
      </w:r>
      <w:hyperlink r:id="rId20" w:history="1">
        <w:r w:rsidRPr="00BE45AA">
          <w:rPr>
            <w:rStyle w:val="Hipervnculo"/>
            <w:color w:val="000000" w:themeColor="text1"/>
            <w:u w:val="none"/>
          </w:rPr>
          <w:t>https://www.mineducacion.gov.co/1759/articles-339097_archivo_pdf_competencias_tic.pdf</w:t>
        </w:r>
      </w:hyperlink>
    </w:p>
    <w:p w14:paraId="7F21B4F9" w14:textId="51F8B9A2" w:rsidR="00A577FF" w:rsidRPr="002646AF" w:rsidRDefault="00A577FF" w:rsidP="00AC6201">
      <w:pPr>
        <w:pStyle w:val="References"/>
        <w:spacing w:line="480" w:lineRule="auto"/>
        <w:rPr>
          <w:rStyle w:val="Hipervnculo"/>
          <w:color w:val="000000" w:themeColor="text1"/>
          <w:u w:val="none"/>
          <w:lang w:val="en-US"/>
        </w:rPr>
      </w:pPr>
      <w:r w:rsidRPr="00BE45AA">
        <w:rPr>
          <w:shd w:val="clear" w:color="auto" w:fill="FFFFFF"/>
          <w:lang w:val="es-CO"/>
        </w:rPr>
        <w:t xml:space="preserve">Ministerio de Educación. Gobierno de Chile. (2011). </w:t>
      </w:r>
      <w:r w:rsidRPr="002646AF">
        <w:rPr>
          <w:i/>
          <w:iCs/>
          <w:shd w:val="clear" w:color="auto" w:fill="FFFFFF"/>
          <w:lang w:val="es-CO"/>
        </w:rPr>
        <w:t xml:space="preserve">Competencias y Estándares TIC para la profesión docente. </w:t>
      </w:r>
      <w:r w:rsidRPr="002646AF">
        <w:rPr>
          <w:i/>
          <w:iCs/>
          <w:lang w:val="es-CO"/>
        </w:rPr>
        <w:t>Colecciones Tecnología Educativa – Formación Docente</w:t>
      </w:r>
      <w:r w:rsidRPr="00BE45AA">
        <w:rPr>
          <w:lang w:val="es-CO"/>
        </w:rPr>
        <w:t xml:space="preserve">. </w:t>
      </w:r>
      <w:r w:rsidR="002646AF" w:rsidRPr="002646AF">
        <w:rPr>
          <w:lang w:val="en-US"/>
        </w:rPr>
        <w:t xml:space="preserve">Retrieved </w:t>
      </w:r>
      <w:r w:rsidR="002646AF">
        <w:rPr>
          <w:lang w:val="en-US"/>
        </w:rPr>
        <w:t xml:space="preserve">from </w:t>
      </w:r>
      <w:hyperlink r:id="rId21" w:history="1">
        <w:r w:rsidR="002646AF" w:rsidRPr="00D41742">
          <w:rPr>
            <w:rStyle w:val="Hipervnculo"/>
            <w:lang w:val="en-US"/>
          </w:rPr>
          <w:t>https://bibliotecadigital.mineduc.cl/bitstream/handle/20.500.12365/2151/mono-964.pdf?sequence=1&amp;isAllowed=y</w:t>
        </w:r>
      </w:hyperlink>
    </w:p>
    <w:p w14:paraId="4B28B46F" w14:textId="4CD562D1" w:rsidR="00A577FF" w:rsidRPr="00BE45AA" w:rsidRDefault="00A577FF" w:rsidP="00AC6201">
      <w:pPr>
        <w:pStyle w:val="References"/>
        <w:spacing w:line="480" w:lineRule="auto"/>
        <w:rPr>
          <w:shd w:val="clear" w:color="auto" w:fill="FFFFFF"/>
          <w:lang w:val="en-US"/>
        </w:rPr>
      </w:pPr>
      <w:r w:rsidRPr="00BE45AA">
        <w:rPr>
          <w:lang w:val="en-US"/>
        </w:rPr>
        <w:t>Ministry of Education of the People’s Republic of China. (2012</w:t>
      </w:r>
      <w:r w:rsidRPr="002646AF">
        <w:rPr>
          <w:i/>
          <w:iCs/>
          <w:lang w:val="en-US"/>
        </w:rPr>
        <w:t>). Chinese teacher professional standards</w:t>
      </w:r>
      <w:r w:rsidRPr="00BE45AA">
        <w:rPr>
          <w:lang w:val="en-US"/>
        </w:rPr>
        <w:t>.</w:t>
      </w:r>
      <w:r w:rsidR="00A02533" w:rsidRPr="00BE45AA">
        <w:rPr>
          <w:lang w:val="en-US"/>
        </w:rPr>
        <w:t xml:space="preserve"> Retrieved from</w:t>
      </w:r>
      <w:r w:rsidRPr="00BE45AA">
        <w:rPr>
          <w:lang w:val="en-US"/>
        </w:rPr>
        <w:t xml:space="preserve"> http://www.moe.gov.cn/srcsite/A10/s6991/201209/t20120913_ 145603.html</w:t>
      </w:r>
    </w:p>
    <w:p w14:paraId="739EE974" w14:textId="77777777" w:rsidR="00A577FF" w:rsidRPr="00BE45AA" w:rsidRDefault="00A577FF" w:rsidP="00AC6201">
      <w:pPr>
        <w:pStyle w:val="References"/>
        <w:spacing w:line="480" w:lineRule="auto"/>
        <w:rPr>
          <w:shd w:val="clear" w:color="auto" w:fill="FFFFFF"/>
          <w:lang w:val="es-CO"/>
        </w:rPr>
      </w:pPr>
      <w:r w:rsidRPr="00BE45AA">
        <w:rPr>
          <w:shd w:val="clear" w:color="auto" w:fill="FFFFFF"/>
          <w:lang w:val="es-CO"/>
        </w:rPr>
        <w:t xml:space="preserve">Paz, L. E., Gisbert, M., y </w:t>
      </w:r>
      <w:proofErr w:type="spellStart"/>
      <w:r w:rsidRPr="00BE45AA">
        <w:rPr>
          <w:shd w:val="clear" w:color="auto" w:fill="FFFFFF"/>
          <w:lang w:val="es-CO"/>
        </w:rPr>
        <w:t>Usart</w:t>
      </w:r>
      <w:proofErr w:type="spellEnd"/>
      <w:r w:rsidRPr="00BE45AA">
        <w:rPr>
          <w:shd w:val="clear" w:color="auto" w:fill="FFFFFF"/>
          <w:lang w:val="es-CO"/>
        </w:rPr>
        <w:t>, M. (2022). Competencia digital docente, actitud y uso de tecnologías digitales por parte de profesores universitarios. </w:t>
      </w:r>
      <w:r w:rsidRPr="00BE45AA">
        <w:rPr>
          <w:i/>
          <w:iCs/>
          <w:shd w:val="clear" w:color="auto" w:fill="FFFFFF"/>
          <w:lang w:val="es-CO"/>
        </w:rPr>
        <w:t xml:space="preserve">Pixel-Bit. </w:t>
      </w:r>
      <w:r w:rsidRPr="00BE45AA">
        <w:rPr>
          <w:i/>
          <w:shd w:val="clear" w:color="auto" w:fill="FFFFFF"/>
          <w:lang w:val="es-CO"/>
        </w:rPr>
        <w:t xml:space="preserve">Revista de Medios y Educación, </w:t>
      </w:r>
      <w:r w:rsidRPr="00BE45AA">
        <w:rPr>
          <w:shd w:val="clear" w:color="auto" w:fill="FFFFFF"/>
          <w:lang w:val="es-CO"/>
        </w:rPr>
        <w:t>(63), 93-130. Obtenido de https://redined.educacion.gob.es/xmlui/bitstream/handle/11162/219850/Competencia.pdf?sequence=1&amp;isAllowed=y</w:t>
      </w:r>
    </w:p>
    <w:p w14:paraId="326EECE5" w14:textId="77777777" w:rsidR="00A577FF" w:rsidRPr="00BE45AA" w:rsidRDefault="00A577FF" w:rsidP="00AC6201">
      <w:pPr>
        <w:pStyle w:val="References"/>
        <w:spacing w:line="480" w:lineRule="auto"/>
        <w:rPr>
          <w:lang w:val="en-US"/>
        </w:rPr>
      </w:pPr>
      <w:r w:rsidRPr="00BE45AA">
        <w:rPr>
          <w:shd w:val="clear" w:color="auto" w:fill="FFFFFF"/>
        </w:rPr>
        <w:t xml:space="preserve">Pinto-Santos, A. R., Reyes, C. E. G., &amp; Cortés-Peña, O. F. (2022). </w:t>
      </w:r>
      <w:r w:rsidRPr="00BE45AA">
        <w:rPr>
          <w:shd w:val="clear" w:color="auto" w:fill="FFFFFF"/>
          <w:lang w:val="en-US"/>
        </w:rPr>
        <w:t>Training and Educational Innovation: An Evaluative Perspective of the Digital Teaching Competence. </w:t>
      </w:r>
      <w:r w:rsidRPr="00BE45AA">
        <w:rPr>
          <w:i/>
          <w:iCs/>
          <w:shd w:val="clear" w:color="auto" w:fill="FFFFFF"/>
          <w:lang w:val="en-US"/>
        </w:rPr>
        <w:t>International Journal of Emerging Technologies in Learning (Online)</w:t>
      </w:r>
      <w:r w:rsidRPr="00BE45AA">
        <w:rPr>
          <w:shd w:val="clear" w:color="auto" w:fill="FFFFFF"/>
          <w:lang w:val="en-US"/>
        </w:rPr>
        <w:t>, </w:t>
      </w:r>
      <w:r w:rsidRPr="00BE45AA">
        <w:rPr>
          <w:i/>
          <w:iCs/>
          <w:shd w:val="clear" w:color="auto" w:fill="FFFFFF"/>
          <w:lang w:val="en-US"/>
        </w:rPr>
        <w:t>17</w:t>
      </w:r>
      <w:r w:rsidRPr="00BE45AA">
        <w:rPr>
          <w:shd w:val="clear" w:color="auto" w:fill="FFFFFF"/>
          <w:lang w:val="en-US"/>
        </w:rPr>
        <w:t xml:space="preserve">(7), 38. </w:t>
      </w:r>
      <w:r w:rsidRPr="00BE45AA">
        <w:rPr>
          <w:lang w:val="en-US"/>
        </w:rPr>
        <w:t xml:space="preserve">Retrieved from </w:t>
      </w:r>
      <w:hyperlink r:id="rId22" w:history="1">
        <w:r w:rsidRPr="00BE45AA">
          <w:rPr>
            <w:rStyle w:val="Hipervnculo"/>
            <w:color w:val="000000" w:themeColor="text1"/>
            <w:u w:val="none"/>
            <w:shd w:val="clear" w:color="auto" w:fill="FFFFFF"/>
            <w:lang w:val="en-US"/>
          </w:rPr>
          <w:t>https://doi.org/10.3991/ijet.v17i07.28867</w:t>
        </w:r>
      </w:hyperlink>
    </w:p>
    <w:p w14:paraId="6482DA71" w14:textId="77777777" w:rsidR="00A577FF" w:rsidRPr="00BE45AA" w:rsidRDefault="00A577FF" w:rsidP="00AC6201">
      <w:pPr>
        <w:pStyle w:val="References"/>
        <w:spacing w:line="480" w:lineRule="auto"/>
      </w:pPr>
      <w:r w:rsidRPr="00BE45AA">
        <w:t xml:space="preserve">Prendes, M. P., Gutiérrez, I., y Martínez, F. </w:t>
      </w:r>
      <w:r w:rsidRPr="00BE45AA">
        <w:rPr>
          <w:shd w:val="clear" w:color="auto" w:fill="FFFFFF"/>
        </w:rPr>
        <w:t>(2018). Competencia digital: una necesidad del profesorado universitario en el siglo XXI. </w:t>
      </w:r>
      <w:r w:rsidRPr="00BE45AA">
        <w:rPr>
          <w:i/>
          <w:iCs/>
          <w:shd w:val="clear" w:color="auto" w:fill="FFFFFF"/>
        </w:rPr>
        <w:t>Revista de Educación a Distancia (RED)</w:t>
      </w:r>
      <w:r w:rsidRPr="00BE45AA">
        <w:rPr>
          <w:shd w:val="clear" w:color="auto" w:fill="FFFFFF"/>
        </w:rPr>
        <w:t>, (56), 2-26. Obtenido de https://revistas.um.es/red/article/view/321591/225661</w:t>
      </w:r>
    </w:p>
    <w:p w14:paraId="0B03054F" w14:textId="77777777" w:rsidR="00A577FF" w:rsidRPr="00BE45AA" w:rsidRDefault="00A577FF" w:rsidP="00AC6201">
      <w:pPr>
        <w:pStyle w:val="References"/>
        <w:spacing w:line="480" w:lineRule="auto"/>
        <w:rPr>
          <w:lang w:val="en-US"/>
        </w:rPr>
      </w:pPr>
      <w:proofErr w:type="spellStart"/>
      <w:r w:rsidRPr="00BE45AA">
        <w:rPr>
          <w:lang w:val="en-US"/>
        </w:rPr>
        <w:t>Puentedura</w:t>
      </w:r>
      <w:proofErr w:type="spellEnd"/>
      <w:r w:rsidRPr="00BE45AA">
        <w:rPr>
          <w:lang w:val="en-US"/>
        </w:rPr>
        <w:t xml:space="preserve">, R. (2006). </w:t>
      </w:r>
      <w:r w:rsidRPr="002646AF">
        <w:rPr>
          <w:i/>
          <w:iCs/>
          <w:lang w:val="en-US"/>
        </w:rPr>
        <w:t>Transformation, Technology, and Education</w:t>
      </w:r>
      <w:r w:rsidRPr="00BE45AA">
        <w:rPr>
          <w:lang w:val="en-US"/>
        </w:rPr>
        <w:t xml:space="preserve">. Retrieved from http://hippasus.com/resources/tte/ </w:t>
      </w:r>
    </w:p>
    <w:p w14:paraId="0DEF5C87" w14:textId="77777777" w:rsidR="00A577FF" w:rsidRPr="00BE45AA" w:rsidRDefault="00A577FF" w:rsidP="00AC6201">
      <w:pPr>
        <w:pStyle w:val="References"/>
        <w:spacing w:line="480" w:lineRule="auto"/>
        <w:rPr>
          <w:shd w:val="clear" w:color="auto" w:fill="FFFFFF"/>
          <w:lang w:val="en-US"/>
        </w:rPr>
      </w:pPr>
      <w:r w:rsidRPr="00BE45AA">
        <w:rPr>
          <w:shd w:val="clear" w:color="auto" w:fill="FFFFFF"/>
          <w:lang w:val="en-US"/>
        </w:rPr>
        <w:lastRenderedPageBreak/>
        <w:t>Quesenberry, C. P., &amp; Hurst, D. C. (1964). Large sample simultaneous confidence intervals for multinomial proportions. </w:t>
      </w:r>
      <w:proofErr w:type="spellStart"/>
      <w:r w:rsidRPr="00BE45AA">
        <w:rPr>
          <w:i/>
          <w:iCs/>
          <w:shd w:val="clear" w:color="auto" w:fill="FFFFFF"/>
          <w:lang w:val="en-US"/>
        </w:rPr>
        <w:t>Technometrics</w:t>
      </w:r>
      <w:proofErr w:type="spellEnd"/>
      <w:r w:rsidRPr="00BE45AA">
        <w:rPr>
          <w:shd w:val="clear" w:color="auto" w:fill="FFFFFF"/>
          <w:lang w:val="en-US"/>
        </w:rPr>
        <w:t>, </w:t>
      </w:r>
      <w:r w:rsidRPr="00BE45AA">
        <w:rPr>
          <w:i/>
          <w:iCs/>
          <w:shd w:val="clear" w:color="auto" w:fill="FFFFFF"/>
          <w:lang w:val="en-US"/>
        </w:rPr>
        <w:t>6</w:t>
      </w:r>
      <w:r w:rsidRPr="00BE45AA">
        <w:rPr>
          <w:shd w:val="clear" w:color="auto" w:fill="FFFFFF"/>
          <w:lang w:val="en-US"/>
        </w:rPr>
        <w:t>(2), 191–195.</w:t>
      </w:r>
      <w:r w:rsidRPr="00BE45AA">
        <w:rPr>
          <w:lang w:val="en-US"/>
        </w:rPr>
        <w:t xml:space="preserve"> Retrieved from </w:t>
      </w:r>
      <w:r w:rsidRPr="00BE45AA">
        <w:rPr>
          <w:shd w:val="clear" w:color="auto" w:fill="FFFFFF"/>
          <w:lang w:val="en-US"/>
        </w:rPr>
        <w:t>https://www.tandfonline.com/doi/abs/10.1080/00401706.1964.10490163</w:t>
      </w:r>
    </w:p>
    <w:p w14:paraId="32BD5CB1" w14:textId="77777777" w:rsidR="00A577FF" w:rsidRPr="00BE45AA" w:rsidRDefault="00A577FF" w:rsidP="00AC6201">
      <w:pPr>
        <w:pStyle w:val="References"/>
        <w:spacing w:line="480" w:lineRule="auto"/>
        <w:rPr>
          <w:shd w:val="clear" w:color="auto" w:fill="FFFFFF"/>
          <w:lang w:val="es-CO"/>
        </w:rPr>
      </w:pPr>
      <w:r w:rsidRPr="00BE45AA">
        <w:rPr>
          <w:shd w:val="clear" w:color="auto" w:fill="FFFFFF"/>
        </w:rPr>
        <w:t>Redecker, C., &amp; Punie, Y. (2017). Digital Competence of Educators. </w:t>
      </w:r>
      <w:r w:rsidRPr="00BE45AA">
        <w:rPr>
          <w:i/>
          <w:iCs/>
          <w:shd w:val="clear" w:color="auto" w:fill="FFFFFF"/>
        </w:rPr>
        <w:t>Edited by Yves Punie</w:t>
      </w:r>
      <w:r w:rsidRPr="00BE45AA">
        <w:rPr>
          <w:shd w:val="clear" w:color="auto" w:fill="FFFFFF"/>
        </w:rPr>
        <w:t>.</w:t>
      </w:r>
      <w:r w:rsidRPr="00BE45AA">
        <w:t xml:space="preserve"> </w:t>
      </w:r>
      <w:proofErr w:type="spellStart"/>
      <w:r w:rsidRPr="00BE45AA">
        <w:rPr>
          <w:lang w:val="es-CO"/>
        </w:rPr>
        <w:t>Retrieved</w:t>
      </w:r>
      <w:proofErr w:type="spellEnd"/>
      <w:r w:rsidRPr="00BE45AA">
        <w:rPr>
          <w:lang w:val="es-CO"/>
        </w:rPr>
        <w:t xml:space="preserve"> </w:t>
      </w:r>
      <w:proofErr w:type="spellStart"/>
      <w:r w:rsidRPr="00BE45AA">
        <w:rPr>
          <w:lang w:val="es-CO"/>
        </w:rPr>
        <w:t>from</w:t>
      </w:r>
      <w:proofErr w:type="spellEnd"/>
      <w:r w:rsidRPr="00BE45AA">
        <w:rPr>
          <w:lang w:val="es-CO"/>
        </w:rPr>
        <w:t xml:space="preserve"> </w:t>
      </w:r>
      <w:r w:rsidRPr="00BE45AA">
        <w:rPr>
          <w:shd w:val="clear" w:color="auto" w:fill="FFFFFF"/>
          <w:lang w:val="es-CO"/>
        </w:rPr>
        <w:t>https://core.ac.uk/download/pdf/132627227.pdf</w:t>
      </w:r>
    </w:p>
    <w:p w14:paraId="2599CE3D" w14:textId="77777777" w:rsidR="00A577FF" w:rsidRPr="00BE45AA" w:rsidRDefault="00A577FF" w:rsidP="00AC6201">
      <w:pPr>
        <w:pStyle w:val="References"/>
        <w:spacing w:line="480" w:lineRule="auto"/>
        <w:rPr>
          <w:shd w:val="clear" w:color="auto" w:fill="FFFFFF"/>
        </w:rPr>
      </w:pPr>
      <w:r w:rsidRPr="00BE45AA">
        <w:t xml:space="preserve">Roa, K., Rojas, C, González, L., y Ortiz, E. </w:t>
      </w:r>
      <w:r w:rsidRPr="00BE45AA">
        <w:rPr>
          <w:shd w:val="clear" w:color="auto" w:fill="FFFFFF"/>
        </w:rPr>
        <w:t>(2021). El docente en la era 4.0: una propuesta de formación digital que fortalezca el proceso de enseñanza y aprendizaje. </w:t>
      </w:r>
      <w:r w:rsidRPr="00BE45AA">
        <w:rPr>
          <w:i/>
          <w:iCs/>
          <w:shd w:val="clear" w:color="auto" w:fill="FFFFFF"/>
        </w:rPr>
        <w:t>Revista Virtual Universidad Católica del Norte</w:t>
      </w:r>
      <w:r w:rsidRPr="00BE45AA">
        <w:rPr>
          <w:shd w:val="clear" w:color="auto" w:fill="FFFFFF"/>
        </w:rPr>
        <w:t>, (63), 126-160.</w:t>
      </w:r>
      <w:r w:rsidRPr="00BE45AA">
        <w:t xml:space="preserve"> Obtenido de </w:t>
      </w:r>
      <w:r w:rsidRPr="00BE45AA">
        <w:rPr>
          <w:shd w:val="clear" w:color="auto" w:fill="FFFFFF"/>
        </w:rPr>
        <w:t>https://revistavirtual.ucn.edu.co/index.php/RevistaUCN/article/view/1262/1637</w:t>
      </w:r>
    </w:p>
    <w:p w14:paraId="1889CF22" w14:textId="77777777" w:rsidR="00A577FF" w:rsidRPr="00BE45AA" w:rsidRDefault="00A577FF" w:rsidP="00AC6201">
      <w:pPr>
        <w:pStyle w:val="References"/>
        <w:spacing w:line="480" w:lineRule="auto"/>
        <w:rPr>
          <w:lang w:val="en-US"/>
        </w:rPr>
      </w:pPr>
      <w:r w:rsidRPr="00BE45AA">
        <w:rPr>
          <w:shd w:val="clear" w:color="auto" w:fill="FFFFFF"/>
          <w:lang w:val="en-US"/>
        </w:rPr>
        <w:t>Sharkey, J., Clavijo, A., &amp; Ramirez, L. M. (2016). Developing a deeper understanding of community-based pedagogies with teachers: Learning with and from teachers in Colombia. </w:t>
      </w:r>
      <w:r w:rsidRPr="00BE45AA">
        <w:rPr>
          <w:i/>
          <w:iCs/>
          <w:shd w:val="clear" w:color="auto" w:fill="FFFFFF"/>
          <w:lang w:val="en-US"/>
        </w:rPr>
        <w:t>Journal of Teacher Education</w:t>
      </w:r>
      <w:r w:rsidRPr="00BE45AA">
        <w:rPr>
          <w:shd w:val="clear" w:color="auto" w:fill="FFFFFF"/>
          <w:lang w:val="en-US"/>
        </w:rPr>
        <w:t>, </w:t>
      </w:r>
      <w:r w:rsidRPr="00BE45AA">
        <w:rPr>
          <w:i/>
          <w:iCs/>
          <w:shd w:val="clear" w:color="auto" w:fill="FFFFFF"/>
          <w:lang w:val="en-US"/>
        </w:rPr>
        <w:t>67</w:t>
      </w:r>
      <w:r w:rsidRPr="00BE45AA">
        <w:rPr>
          <w:shd w:val="clear" w:color="auto" w:fill="FFFFFF"/>
          <w:lang w:val="en-US"/>
        </w:rPr>
        <w:t>(4), 306-319.</w:t>
      </w:r>
      <w:r w:rsidRPr="00BE45AA">
        <w:rPr>
          <w:lang w:val="en-US"/>
        </w:rPr>
        <w:t xml:space="preserve"> Retrieved from </w:t>
      </w:r>
      <w:hyperlink r:id="rId23" w:history="1">
        <w:r w:rsidRPr="00BE45AA">
          <w:rPr>
            <w:rStyle w:val="Hipervnculo"/>
            <w:color w:val="000000" w:themeColor="text1"/>
            <w:u w:val="none"/>
            <w:shd w:val="clear" w:color="auto" w:fill="FFFFFF"/>
            <w:lang w:val="en-US"/>
          </w:rPr>
          <w:t>https://doi.org/10.1177/0022487116654005</w:t>
        </w:r>
      </w:hyperlink>
    </w:p>
    <w:p w14:paraId="79DBFE13" w14:textId="77777777" w:rsidR="00A577FF" w:rsidRPr="00BE45AA" w:rsidRDefault="00A577FF" w:rsidP="00AC6201">
      <w:pPr>
        <w:pStyle w:val="References"/>
        <w:spacing w:line="480" w:lineRule="auto"/>
      </w:pPr>
      <w:r w:rsidRPr="00BE45AA">
        <w:rPr>
          <w:shd w:val="clear" w:color="auto" w:fill="FFFFFF"/>
          <w:lang w:val="en-US"/>
        </w:rPr>
        <w:t>Taquez, H., Rengifo, D., y Mejía, D. (2017</w:t>
      </w:r>
      <w:r w:rsidRPr="002646AF">
        <w:rPr>
          <w:i/>
          <w:iCs/>
          <w:shd w:val="clear" w:color="auto" w:fill="FFFFFF"/>
          <w:lang w:val="en-US"/>
        </w:rPr>
        <w:t xml:space="preserve">). </w:t>
      </w:r>
      <w:r w:rsidRPr="002646AF">
        <w:rPr>
          <w:i/>
          <w:iCs/>
          <w:shd w:val="clear" w:color="auto" w:fill="FFFFFF"/>
        </w:rPr>
        <w:t>Diseño de un instrumento para evaluar el nivel de uso y apropiación de las TIC en una institución de educación superior</w:t>
      </w:r>
      <w:r w:rsidRPr="00BE45AA">
        <w:rPr>
          <w:shd w:val="clear" w:color="auto" w:fill="FFFFFF"/>
        </w:rPr>
        <w:t>.</w:t>
      </w:r>
      <w:r w:rsidRPr="00BE45AA">
        <w:t xml:space="preserve"> Obtenido de </w:t>
      </w:r>
      <w:hyperlink r:id="rId24" w:history="1">
        <w:r w:rsidRPr="00BE45AA">
          <w:rPr>
            <w:rStyle w:val="Hipervnculo"/>
            <w:color w:val="000000" w:themeColor="text1"/>
            <w:u w:val="none"/>
            <w:shd w:val="clear" w:color="auto" w:fill="FFFFFF"/>
          </w:rPr>
          <w:t>http://hdl.handle.net/20.500.12579/5019</w:t>
        </w:r>
      </w:hyperlink>
    </w:p>
    <w:p w14:paraId="07AF1DFC" w14:textId="77777777" w:rsidR="00A577FF" w:rsidRPr="00BE45AA" w:rsidRDefault="00A577FF" w:rsidP="00AC6201">
      <w:pPr>
        <w:pStyle w:val="References"/>
        <w:spacing w:line="480" w:lineRule="auto"/>
        <w:rPr>
          <w:shd w:val="clear" w:color="auto" w:fill="FFFFFF"/>
          <w:lang w:val="en-US"/>
        </w:rPr>
      </w:pPr>
      <w:proofErr w:type="spellStart"/>
      <w:r w:rsidRPr="00C81DD8">
        <w:rPr>
          <w:shd w:val="clear" w:color="auto" w:fill="FFFFFF"/>
        </w:rPr>
        <w:t>Terzioğlu</w:t>
      </w:r>
      <w:proofErr w:type="spellEnd"/>
      <w:r w:rsidRPr="00C81DD8">
        <w:rPr>
          <w:shd w:val="clear" w:color="auto" w:fill="FFFFFF"/>
        </w:rPr>
        <w:t xml:space="preserve">, Y., &amp; Kurt, M. (2022). </w:t>
      </w:r>
      <w:r w:rsidRPr="00BE45AA">
        <w:rPr>
          <w:shd w:val="clear" w:color="auto" w:fill="FFFFFF"/>
          <w:lang w:val="en-US"/>
        </w:rPr>
        <w:t>Elevating English Language Learners’ Speaking Fluency and Listening Skill Through a Learning Management System. </w:t>
      </w:r>
      <w:r w:rsidRPr="00BE45AA">
        <w:rPr>
          <w:i/>
          <w:iCs/>
          <w:shd w:val="clear" w:color="auto" w:fill="FFFFFF"/>
          <w:lang w:val="en-US"/>
        </w:rPr>
        <w:t>SAGE Open</w:t>
      </w:r>
      <w:r w:rsidRPr="00BE45AA">
        <w:rPr>
          <w:shd w:val="clear" w:color="auto" w:fill="FFFFFF"/>
          <w:lang w:val="en-US"/>
        </w:rPr>
        <w:t>, </w:t>
      </w:r>
      <w:r w:rsidRPr="00BE45AA">
        <w:rPr>
          <w:i/>
          <w:iCs/>
          <w:shd w:val="clear" w:color="auto" w:fill="FFFFFF"/>
          <w:lang w:val="en-US"/>
        </w:rPr>
        <w:t>12</w:t>
      </w:r>
      <w:r w:rsidRPr="00BE45AA">
        <w:rPr>
          <w:shd w:val="clear" w:color="auto" w:fill="FFFFFF"/>
          <w:lang w:val="en-US"/>
        </w:rPr>
        <w:t>(2).</w:t>
      </w:r>
      <w:r w:rsidRPr="00BE45AA">
        <w:rPr>
          <w:lang w:val="en-US"/>
        </w:rPr>
        <w:t xml:space="preserve"> Retrieved from </w:t>
      </w:r>
      <w:r w:rsidRPr="00BE45AA">
        <w:rPr>
          <w:shd w:val="clear" w:color="auto" w:fill="FFFFFF"/>
          <w:lang w:val="en-US"/>
        </w:rPr>
        <w:t>https://journals.sagepub.com/doi/full/10.1177/21582440221099937</w:t>
      </w:r>
    </w:p>
    <w:p w14:paraId="641E026B" w14:textId="77777777" w:rsidR="00A577FF" w:rsidRPr="00BE45AA" w:rsidRDefault="00A577FF" w:rsidP="00AC6201">
      <w:pPr>
        <w:pStyle w:val="References"/>
        <w:spacing w:line="480" w:lineRule="auto"/>
        <w:rPr>
          <w:shd w:val="clear" w:color="auto" w:fill="FFFFFF"/>
        </w:rPr>
      </w:pPr>
      <w:r w:rsidRPr="00BE45AA">
        <w:t>Torres-Flórez</w:t>
      </w:r>
      <w:r w:rsidRPr="00BE45AA">
        <w:rPr>
          <w:shd w:val="clear" w:color="auto" w:fill="FFFFFF"/>
        </w:rPr>
        <w:t>, D., y Díaz-</w:t>
      </w:r>
      <w:proofErr w:type="spellStart"/>
      <w:r w:rsidRPr="00BE45AA">
        <w:rPr>
          <w:shd w:val="clear" w:color="auto" w:fill="FFFFFF"/>
        </w:rPr>
        <w:t>Betancour</w:t>
      </w:r>
      <w:proofErr w:type="spellEnd"/>
      <w:r w:rsidRPr="00BE45AA">
        <w:rPr>
          <w:shd w:val="clear" w:color="auto" w:fill="FFFFFF"/>
        </w:rPr>
        <w:t>, D. (2021). El panorama de los profesores universitarios en Colombia respecto a sus competencias digitales. </w:t>
      </w:r>
      <w:r w:rsidRPr="00BE45AA">
        <w:rPr>
          <w:i/>
          <w:iCs/>
          <w:shd w:val="clear" w:color="auto" w:fill="FFFFFF"/>
        </w:rPr>
        <w:t>Clío América</w:t>
      </w:r>
      <w:r w:rsidRPr="00BE45AA">
        <w:rPr>
          <w:shd w:val="clear" w:color="auto" w:fill="FFFFFF"/>
        </w:rPr>
        <w:t>, </w:t>
      </w:r>
      <w:r w:rsidRPr="00BE45AA">
        <w:rPr>
          <w:i/>
          <w:iCs/>
          <w:shd w:val="clear" w:color="auto" w:fill="FFFFFF"/>
        </w:rPr>
        <w:t>15</w:t>
      </w:r>
      <w:r w:rsidRPr="00BE45AA">
        <w:rPr>
          <w:shd w:val="clear" w:color="auto" w:fill="FFFFFF"/>
        </w:rPr>
        <w:t>(29), 666-675.</w:t>
      </w:r>
      <w:r w:rsidRPr="00BE45AA">
        <w:t xml:space="preserve"> Obtenido de </w:t>
      </w:r>
      <w:hyperlink r:id="rId25" w:history="1">
        <w:r w:rsidRPr="00BE45AA">
          <w:rPr>
            <w:rStyle w:val="Hipervnculo"/>
            <w:color w:val="000000" w:themeColor="text1"/>
            <w:u w:val="none"/>
          </w:rPr>
          <w:t>http://dx.doi.org/10.21676/23897848.4375</w:t>
        </w:r>
      </w:hyperlink>
    </w:p>
    <w:p w14:paraId="6E4FB3B6" w14:textId="286B8A28" w:rsidR="00A577FF" w:rsidRPr="00BE45AA" w:rsidRDefault="00A577FF" w:rsidP="00AC6201">
      <w:pPr>
        <w:pStyle w:val="References"/>
        <w:spacing w:line="480" w:lineRule="auto"/>
        <w:rPr>
          <w:shd w:val="clear" w:color="auto" w:fill="FFFFFF"/>
          <w:lang w:val="en-US"/>
        </w:rPr>
      </w:pPr>
      <w:proofErr w:type="spellStart"/>
      <w:r w:rsidRPr="00C81DD8">
        <w:rPr>
          <w:shd w:val="clear" w:color="auto" w:fill="FFFFFF"/>
        </w:rPr>
        <w:t>Truong</w:t>
      </w:r>
      <w:proofErr w:type="spellEnd"/>
      <w:r w:rsidRPr="00C81DD8">
        <w:rPr>
          <w:shd w:val="clear" w:color="auto" w:fill="FFFFFF"/>
        </w:rPr>
        <w:t xml:space="preserve">, H. N. (2021). </w:t>
      </w:r>
      <w:r w:rsidRPr="00BE45AA">
        <w:rPr>
          <w:shd w:val="clear" w:color="auto" w:fill="FFFFFF"/>
          <w:lang w:val="en-US"/>
        </w:rPr>
        <w:t xml:space="preserve">Students’ Perception Towards the Use of Moodle-Based LMS in Learning Speaking Skill at Tertiary Level. </w:t>
      </w:r>
      <w:r w:rsidRPr="00BE45AA">
        <w:rPr>
          <w:i/>
          <w:iCs/>
          <w:shd w:val="clear" w:color="auto" w:fill="FFFFFF"/>
          <w:lang w:val="en-US"/>
        </w:rPr>
        <w:t>17th International Conference of the Asia Association of Computer-Assisted Language Learning (</w:t>
      </w:r>
      <w:proofErr w:type="spellStart"/>
      <w:r w:rsidRPr="00BE45AA">
        <w:rPr>
          <w:i/>
          <w:iCs/>
          <w:shd w:val="clear" w:color="auto" w:fill="FFFFFF"/>
          <w:lang w:val="en-US"/>
        </w:rPr>
        <w:t>AsiaCALL</w:t>
      </w:r>
      <w:proofErr w:type="spellEnd"/>
      <w:r w:rsidRPr="00BE45AA">
        <w:rPr>
          <w:i/>
          <w:iCs/>
          <w:shd w:val="clear" w:color="auto" w:fill="FFFFFF"/>
          <w:lang w:val="en-US"/>
        </w:rPr>
        <w:t>, 2021)</w:t>
      </w:r>
      <w:r w:rsidRPr="00BE45AA">
        <w:rPr>
          <w:shd w:val="clear" w:color="auto" w:fill="FFFFFF"/>
          <w:lang w:val="en-US"/>
        </w:rPr>
        <w:t> (pp. 128-</w:t>
      </w:r>
      <w:r w:rsidRPr="00BE45AA">
        <w:rPr>
          <w:shd w:val="clear" w:color="auto" w:fill="FFFFFF"/>
          <w:lang w:val="en-US"/>
        </w:rPr>
        <w:lastRenderedPageBreak/>
        <w:t xml:space="preserve">134). </w:t>
      </w:r>
      <w:r w:rsidRPr="00BE45AA">
        <w:rPr>
          <w:lang w:val="en-US"/>
        </w:rPr>
        <w:t>Retrieved from</w:t>
      </w:r>
      <w:r w:rsidRPr="00BE45AA">
        <w:rPr>
          <w:shd w:val="clear" w:color="auto" w:fill="FFFFFF"/>
          <w:lang w:val="en-US"/>
        </w:rPr>
        <w:t xml:space="preserve"> Atlantis Press.</w:t>
      </w:r>
      <w:r w:rsidRPr="00BE45AA">
        <w:rPr>
          <w:lang w:val="en-US"/>
        </w:rPr>
        <w:t xml:space="preserve"> </w:t>
      </w:r>
      <w:hyperlink r:id="rId26" w:history="1">
        <w:r w:rsidRPr="00BE45AA">
          <w:rPr>
            <w:rStyle w:val="Hipervnculo"/>
            <w:color w:val="000000" w:themeColor="text1"/>
            <w:u w:val="none"/>
            <w:shd w:val="clear" w:color="auto" w:fill="FFFFFF"/>
            <w:lang w:val="en-US"/>
          </w:rPr>
          <w:t>https://www.atlantis-press.com/proceedings/asiacall-21/125953313</w:t>
        </w:r>
      </w:hyperlink>
    </w:p>
    <w:p w14:paraId="02AE3C17" w14:textId="77777777" w:rsidR="00A577FF" w:rsidRPr="00BE45AA" w:rsidRDefault="00A577FF" w:rsidP="00AC6201">
      <w:pPr>
        <w:pStyle w:val="References"/>
        <w:spacing w:line="480" w:lineRule="auto"/>
        <w:rPr>
          <w:shd w:val="clear" w:color="auto" w:fill="FFFFFF"/>
        </w:rPr>
      </w:pPr>
      <w:r w:rsidRPr="00BE45AA">
        <w:t>United Nations Educational, Scientific and Cultural Organization</w:t>
      </w:r>
      <w:r w:rsidRPr="00BE45AA">
        <w:rPr>
          <w:shd w:val="clear" w:color="auto" w:fill="FFFFFF"/>
        </w:rPr>
        <w:t xml:space="preserve">. UNESCO. (15 March 2018). </w:t>
      </w:r>
      <w:r w:rsidRPr="002646AF">
        <w:rPr>
          <w:i/>
          <w:iCs/>
          <w:shd w:val="clear" w:color="auto" w:fill="FFFFFF"/>
        </w:rPr>
        <w:t>Digital skills critical for jobs and social inclusion</w:t>
      </w:r>
      <w:r w:rsidRPr="00BE45AA">
        <w:rPr>
          <w:shd w:val="clear" w:color="auto" w:fill="FFFFFF"/>
        </w:rPr>
        <w:t xml:space="preserve">. </w:t>
      </w:r>
      <w:r w:rsidRPr="00BE45AA">
        <w:t xml:space="preserve">Retrieved from </w:t>
      </w:r>
      <w:r w:rsidRPr="00BE45AA">
        <w:rPr>
          <w:shd w:val="clear" w:color="auto" w:fill="FFFFFF"/>
        </w:rPr>
        <w:t xml:space="preserve">https://www.unesco.org/en/articles/digital-skills-critical-jobs-and-social-inclusion </w:t>
      </w:r>
    </w:p>
    <w:p w14:paraId="7143F247" w14:textId="77777777" w:rsidR="00A577FF" w:rsidRPr="00BE45AA" w:rsidRDefault="00A577FF" w:rsidP="00AC6201">
      <w:pPr>
        <w:pStyle w:val="References"/>
        <w:spacing w:line="480" w:lineRule="auto"/>
        <w:rPr>
          <w:lang w:val="en-US"/>
        </w:rPr>
      </w:pPr>
      <w:r w:rsidRPr="00BE45AA">
        <w:rPr>
          <w:shd w:val="clear" w:color="auto" w:fill="FFFFFF"/>
        </w:rPr>
        <w:t xml:space="preserve">Yang, L., García-Holgado, A., &amp; Martínez-Abad, F. (2021). </w:t>
      </w:r>
      <w:r w:rsidRPr="00BE45AA">
        <w:rPr>
          <w:shd w:val="clear" w:color="auto" w:fill="FFFFFF"/>
          <w:lang w:val="en-US"/>
        </w:rPr>
        <w:t>A review and comparative study of teacher's digital competence frameworks: Lessons learned. </w:t>
      </w:r>
      <w:r w:rsidRPr="00BE45AA">
        <w:rPr>
          <w:i/>
          <w:iCs/>
          <w:shd w:val="clear" w:color="auto" w:fill="FFFFFF"/>
          <w:lang w:val="en-US"/>
        </w:rPr>
        <w:t>Information technology trends for a global and interdisciplinary research community</w:t>
      </w:r>
      <w:r w:rsidRPr="00BE45AA">
        <w:rPr>
          <w:shd w:val="clear" w:color="auto" w:fill="FFFFFF"/>
          <w:lang w:val="en-US"/>
        </w:rPr>
        <w:t>, 51-71.</w:t>
      </w:r>
      <w:r w:rsidRPr="00BE45AA">
        <w:rPr>
          <w:lang w:val="en-US"/>
        </w:rPr>
        <w:t xml:space="preserve"> Retrieved from </w:t>
      </w:r>
      <w:r w:rsidRPr="00BE45AA">
        <w:rPr>
          <w:shd w:val="clear" w:color="auto" w:fill="FFFFFF"/>
          <w:lang w:val="en-US"/>
        </w:rPr>
        <w:t>https://www.igi-global.com/chapter/a-review-and-comparative-study-of-teachers-digital-competence-frameworks/269999</w:t>
      </w:r>
    </w:p>
    <w:p w14:paraId="56B28947" w14:textId="77777777" w:rsidR="00A577FF" w:rsidRPr="00BE45AA" w:rsidRDefault="00A577FF" w:rsidP="00AC6201">
      <w:pPr>
        <w:pStyle w:val="References"/>
        <w:spacing w:line="480" w:lineRule="auto"/>
        <w:rPr>
          <w:lang w:val="en-US"/>
        </w:rPr>
      </w:pPr>
    </w:p>
    <w:p w14:paraId="010B8076" w14:textId="77777777" w:rsidR="00A577FF" w:rsidRPr="00BE45AA" w:rsidRDefault="00A577FF" w:rsidP="00AC6201">
      <w:pPr>
        <w:pStyle w:val="Paragraph"/>
        <w:ind w:left="709" w:hanging="709"/>
        <w:rPr>
          <w:lang w:val="en-US"/>
        </w:rPr>
      </w:pPr>
    </w:p>
    <w:sectPr w:rsidR="00A577FF" w:rsidRPr="00BE45AA" w:rsidSect="008E0D97">
      <w:headerReference w:type="default" r:id="rId27"/>
      <w:pgSz w:w="11901"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3E68A" w14:textId="77777777" w:rsidR="00D759BF" w:rsidRDefault="00D759BF" w:rsidP="00AF2C92">
      <w:r>
        <w:separator/>
      </w:r>
    </w:p>
  </w:endnote>
  <w:endnote w:type="continuationSeparator" w:id="0">
    <w:p w14:paraId="100083DA" w14:textId="77777777" w:rsidR="00D759BF" w:rsidRDefault="00D759BF"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TIXGeneral-Regular">
    <w:altName w:val="Yu Gothic"/>
    <w:panose1 w:val="00000000000000000000"/>
    <w:charset w:val="80"/>
    <w:family w:val="roman"/>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9A65E" w14:textId="77777777" w:rsidR="00D759BF" w:rsidRDefault="00D759BF" w:rsidP="00AF2C92">
      <w:r>
        <w:separator/>
      </w:r>
    </w:p>
  </w:footnote>
  <w:footnote w:type="continuationSeparator" w:id="0">
    <w:p w14:paraId="11C1F217" w14:textId="77777777" w:rsidR="00D759BF" w:rsidRDefault="00D759BF" w:rsidP="00AF2C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98257"/>
      <w:docPartObj>
        <w:docPartGallery w:val="Page Numbers (Top of Page)"/>
        <w:docPartUnique/>
      </w:docPartObj>
    </w:sdtPr>
    <w:sdtContent>
      <w:p w14:paraId="5D695413" w14:textId="0CB4D50B" w:rsidR="00B563F1" w:rsidRDefault="00B563F1">
        <w:pPr>
          <w:pStyle w:val="Encabezado"/>
          <w:jc w:val="right"/>
        </w:pPr>
        <w:r>
          <w:fldChar w:fldCharType="begin"/>
        </w:r>
        <w:r>
          <w:instrText>PAGE   \* MERGEFORMAT</w:instrText>
        </w:r>
        <w:r>
          <w:fldChar w:fldCharType="separate"/>
        </w:r>
        <w:r w:rsidRPr="00B563F1">
          <w:rPr>
            <w:noProof/>
            <w:lang w:val="es-ES"/>
          </w:rPr>
          <w:t>18</w:t>
        </w:r>
        <w:r>
          <w:fldChar w:fldCharType="end"/>
        </w:r>
      </w:p>
    </w:sdtContent>
  </w:sdt>
  <w:p w14:paraId="7BB1120C" w14:textId="77777777" w:rsidR="00B563F1" w:rsidRDefault="00B563F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66769987">
    <w:abstractNumId w:val="15"/>
  </w:num>
  <w:num w:numId="2" w16cid:durableId="1490560617">
    <w:abstractNumId w:val="19"/>
  </w:num>
  <w:num w:numId="3" w16cid:durableId="1618563915">
    <w:abstractNumId w:val="1"/>
  </w:num>
  <w:num w:numId="4" w16cid:durableId="660892630">
    <w:abstractNumId w:val="2"/>
  </w:num>
  <w:num w:numId="5" w16cid:durableId="1778522782">
    <w:abstractNumId w:val="3"/>
  </w:num>
  <w:num w:numId="6" w16cid:durableId="1298343695">
    <w:abstractNumId w:val="4"/>
  </w:num>
  <w:num w:numId="7" w16cid:durableId="1279801472">
    <w:abstractNumId w:val="9"/>
  </w:num>
  <w:num w:numId="8" w16cid:durableId="2122411646">
    <w:abstractNumId w:val="5"/>
  </w:num>
  <w:num w:numId="9" w16cid:durableId="648095837">
    <w:abstractNumId w:val="7"/>
  </w:num>
  <w:num w:numId="10" w16cid:durableId="1039815222">
    <w:abstractNumId w:val="6"/>
  </w:num>
  <w:num w:numId="11" w16cid:durableId="59906758">
    <w:abstractNumId w:val="10"/>
  </w:num>
  <w:num w:numId="12" w16cid:durableId="1721662634">
    <w:abstractNumId w:val="8"/>
  </w:num>
  <w:num w:numId="13" w16cid:durableId="12727686">
    <w:abstractNumId w:val="17"/>
  </w:num>
  <w:num w:numId="14" w16cid:durableId="1248928827">
    <w:abstractNumId w:val="20"/>
  </w:num>
  <w:num w:numId="15" w16cid:durableId="1845317030">
    <w:abstractNumId w:val="14"/>
  </w:num>
  <w:num w:numId="16" w16cid:durableId="263391425">
    <w:abstractNumId w:val="16"/>
  </w:num>
  <w:num w:numId="17" w16cid:durableId="1441879902">
    <w:abstractNumId w:val="11"/>
  </w:num>
  <w:num w:numId="18" w16cid:durableId="1268584875">
    <w:abstractNumId w:val="0"/>
  </w:num>
  <w:num w:numId="19" w16cid:durableId="380134949">
    <w:abstractNumId w:val="12"/>
  </w:num>
  <w:num w:numId="20" w16cid:durableId="2018728472">
    <w:abstractNumId w:val="20"/>
  </w:num>
  <w:num w:numId="21" w16cid:durableId="914585352">
    <w:abstractNumId w:val="20"/>
  </w:num>
  <w:num w:numId="22" w16cid:durableId="1178538588">
    <w:abstractNumId w:val="20"/>
  </w:num>
  <w:num w:numId="23" w16cid:durableId="313991613">
    <w:abstractNumId w:val="20"/>
  </w:num>
  <w:num w:numId="24" w16cid:durableId="977496534">
    <w:abstractNumId w:val="17"/>
  </w:num>
  <w:num w:numId="25" w16cid:durableId="1999117605">
    <w:abstractNumId w:val="18"/>
  </w:num>
  <w:num w:numId="26" w16cid:durableId="2004044685">
    <w:abstractNumId w:val="21"/>
  </w:num>
  <w:num w:numId="27" w16cid:durableId="633221543">
    <w:abstractNumId w:val="22"/>
  </w:num>
  <w:num w:numId="28" w16cid:durableId="1066300350">
    <w:abstractNumId w:val="20"/>
  </w:num>
  <w:num w:numId="29" w16cid:durableId="1640452960">
    <w:abstractNumId w:val="13"/>
  </w:num>
  <w:num w:numId="30" w16cid:durableId="41663666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6F9"/>
    <w:rsid w:val="00001899"/>
    <w:rsid w:val="000049AD"/>
    <w:rsid w:val="0000681B"/>
    <w:rsid w:val="000133C0"/>
    <w:rsid w:val="00014C4E"/>
    <w:rsid w:val="00017107"/>
    <w:rsid w:val="000174D6"/>
    <w:rsid w:val="000202E2"/>
    <w:rsid w:val="00022441"/>
    <w:rsid w:val="0002261E"/>
    <w:rsid w:val="00024839"/>
    <w:rsid w:val="00026871"/>
    <w:rsid w:val="000273AE"/>
    <w:rsid w:val="00037A98"/>
    <w:rsid w:val="000427FB"/>
    <w:rsid w:val="0004455E"/>
    <w:rsid w:val="00047CB5"/>
    <w:rsid w:val="00051FAA"/>
    <w:rsid w:val="000572A9"/>
    <w:rsid w:val="00061325"/>
    <w:rsid w:val="00072453"/>
    <w:rsid w:val="000733AC"/>
    <w:rsid w:val="00074B81"/>
    <w:rsid w:val="00074D22"/>
    <w:rsid w:val="00075081"/>
    <w:rsid w:val="0007528A"/>
    <w:rsid w:val="000811AB"/>
    <w:rsid w:val="00083C5F"/>
    <w:rsid w:val="000906F9"/>
    <w:rsid w:val="0009172C"/>
    <w:rsid w:val="000930EC"/>
    <w:rsid w:val="00095E61"/>
    <w:rsid w:val="000966C1"/>
    <w:rsid w:val="000970AC"/>
    <w:rsid w:val="000A1167"/>
    <w:rsid w:val="000A3DAD"/>
    <w:rsid w:val="000A4428"/>
    <w:rsid w:val="000A5F91"/>
    <w:rsid w:val="000A6D40"/>
    <w:rsid w:val="000A7BC3"/>
    <w:rsid w:val="000B1661"/>
    <w:rsid w:val="000B2E88"/>
    <w:rsid w:val="000B4603"/>
    <w:rsid w:val="000C09BE"/>
    <w:rsid w:val="000C1380"/>
    <w:rsid w:val="000C554F"/>
    <w:rsid w:val="000D0DC5"/>
    <w:rsid w:val="000D15FF"/>
    <w:rsid w:val="000D28DF"/>
    <w:rsid w:val="000D488B"/>
    <w:rsid w:val="000D68DF"/>
    <w:rsid w:val="000E138D"/>
    <w:rsid w:val="000E187A"/>
    <w:rsid w:val="000E2D61"/>
    <w:rsid w:val="000E450E"/>
    <w:rsid w:val="000E6259"/>
    <w:rsid w:val="000F146C"/>
    <w:rsid w:val="000F4677"/>
    <w:rsid w:val="000F5BE0"/>
    <w:rsid w:val="00100587"/>
    <w:rsid w:val="0010284E"/>
    <w:rsid w:val="00103122"/>
    <w:rsid w:val="0010336A"/>
    <w:rsid w:val="001050F1"/>
    <w:rsid w:val="00105AEA"/>
    <w:rsid w:val="00106DAF"/>
    <w:rsid w:val="00114ABE"/>
    <w:rsid w:val="00116023"/>
    <w:rsid w:val="001176BF"/>
    <w:rsid w:val="00132409"/>
    <w:rsid w:val="00134A51"/>
    <w:rsid w:val="00140727"/>
    <w:rsid w:val="00144C50"/>
    <w:rsid w:val="00160628"/>
    <w:rsid w:val="00161344"/>
    <w:rsid w:val="00162195"/>
    <w:rsid w:val="0016322A"/>
    <w:rsid w:val="00165A21"/>
    <w:rsid w:val="001705CE"/>
    <w:rsid w:val="0017714B"/>
    <w:rsid w:val="001804DF"/>
    <w:rsid w:val="00181BDC"/>
    <w:rsid w:val="00181DB0"/>
    <w:rsid w:val="001829E3"/>
    <w:rsid w:val="00186271"/>
    <w:rsid w:val="001924C0"/>
    <w:rsid w:val="0019731E"/>
    <w:rsid w:val="001A09FE"/>
    <w:rsid w:val="001A67C9"/>
    <w:rsid w:val="001A69DE"/>
    <w:rsid w:val="001A713C"/>
    <w:rsid w:val="001B1C7C"/>
    <w:rsid w:val="001B398F"/>
    <w:rsid w:val="001B46C6"/>
    <w:rsid w:val="001B4B48"/>
    <w:rsid w:val="001B4D1F"/>
    <w:rsid w:val="001B7681"/>
    <w:rsid w:val="001B7CAE"/>
    <w:rsid w:val="001C0772"/>
    <w:rsid w:val="001C0D4F"/>
    <w:rsid w:val="001C0FCC"/>
    <w:rsid w:val="001C1BA3"/>
    <w:rsid w:val="001C1DEC"/>
    <w:rsid w:val="001C28B2"/>
    <w:rsid w:val="001C5736"/>
    <w:rsid w:val="001D647F"/>
    <w:rsid w:val="001D6857"/>
    <w:rsid w:val="001E0572"/>
    <w:rsid w:val="001E0A67"/>
    <w:rsid w:val="001E1028"/>
    <w:rsid w:val="001E14E2"/>
    <w:rsid w:val="001E6302"/>
    <w:rsid w:val="001E7DCB"/>
    <w:rsid w:val="001F3411"/>
    <w:rsid w:val="001F380E"/>
    <w:rsid w:val="001F4287"/>
    <w:rsid w:val="001F4DBA"/>
    <w:rsid w:val="0020415E"/>
    <w:rsid w:val="00204FF4"/>
    <w:rsid w:val="0021056E"/>
    <w:rsid w:val="0021075D"/>
    <w:rsid w:val="0021165A"/>
    <w:rsid w:val="00211BC9"/>
    <w:rsid w:val="0021620C"/>
    <w:rsid w:val="00216E78"/>
    <w:rsid w:val="00217275"/>
    <w:rsid w:val="00236F4B"/>
    <w:rsid w:val="00242B0D"/>
    <w:rsid w:val="002467C6"/>
    <w:rsid w:val="0024692A"/>
    <w:rsid w:val="00252BBA"/>
    <w:rsid w:val="00253123"/>
    <w:rsid w:val="00262FD5"/>
    <w:rsid w:val="00264001"/>
    <w:rsid w:val="002646AF"/>
    <w:rsid w:val="00266354"/>
    <w:rsid w:val="00267A18"/>
    <w:rsid w:val="00273462"/>
    <w:rsid w:val="0027395B"/>
    <w:rsid w:val="00275854"/>
    <w:rsid w:val="00283B41"/>
    <w:rsid w:val="00285F28"/>
    <w:rsid w:val="00286398"/>
    <w:rsid w:val="002A3C42"/>
    <w:rsid w:val="002A5D75"/>
    <w:rsid w:val="002B1B1A"/>
    <w:rsid w:val="002B35B8"/>
    <w:rsid w:val="002B4880"/>
    <w:rsid w:val="002B7228"/>
    <w:rsid w:val="002C53EE"/>
    <w:rsid w:val="002D24F7"/>
    <w:rsid w:val="002D2799"/>
    <w:rsid w:val="002D2CD7"/>
    <w:rsid w:val="002D4DDC"/>
    <w:rsid w:val="002D4F75"/>
    <w:rsid w:val="002D6493"/>
    <w:rsid w:val="002D7AB6"/>
    <w:rsid w:val="002E06D0"/>
    <w:rsid w:val="002E3C27"/>
    <w:rsid w:val="002E403A"/>
    <w:rsid w:val="002E7F3A"/>
    <w:rsid w:val="002F4EDB"/>
    <w:rsid w:val="002F6054"/>
    <w:rsid w:val="00315713"/>
    <w:rsid w:val="0031686C"/>
    <w:rsid w:val="00316FE0"/>
    <w:rsid w:val="003204D2"/>
    <w:rsid w:val="0032605E"/>
    <w:rsid w:val="003275D1"/>
    <w:rsid w:val="00330B2A"/>
    <w:rsid w:val="00331E17"/>
    <w:rsid w:val="00333063"/>
    <w:rsid w:val="003408E3"/>
    <w:rsid w:val="00343480"/>
    <w:rsid w:val="00345E89"/>
    <w:rsid w:val="003522A1"/>
    <w:rsid w:val="0035254B"/>
    <w:rsid w:val="00353555"/>
    <w:rsid w:val="003565D4"/>
    <w:rsid w:val="003607FB"/>
    <w:rsid w:val="00360FD5"/>
    <w:rsid w:val="0036340D"/>
    <w:rsid w:val="003634A5"/>
    <w:rsid w:val="00366868"/>
    <w:rsid w:val="00367506"/>
    <w:rsid w:val="00370085"/>
    <w:rsid w:val="003744A7"/>
    <w:rsid w:val="00376235"/>
    <w:rsid w:val="00381FB6"/>
    <w:rsid w:val="003836D3"/>
    <w:rsid w:val="00383A52"/>
    <w:rsid w:val="00391652"/>
    <w:rsid w:val="003930A8"/>
    <w:rsid w:val="0039507F"/>
    <w:rsid w:val="00396563"/>
    <w:rsid w:val="003A1260"/>
    <w:rsid w:val="003A295F"/>
    <w:rsid w:val="003A41DD"/>
    <w:rsid w:val="003A7033"/>
    <w:rsid w:val="003B3D31"/>
    <w:rsid w:val="003B47FE"/>
    <w:rsid w:val="003B5673"/>
    <w:rsid w:val="003B62C9"/>
    <w:rsid w:val="003C7176"/>
    <w:rsid w:val="003D0929"/>
    <w:rsid w:val="003D4729"/>
    <w:rsid w:val="003D7DD6"/>
    <w:rsid w:val="003E5AAF"/>
    <w:rsid w:val="003E600D"/>
    <w:rsid w:val="003E64DF"/>
    <w:rsid w:val="003E6A5D"/>
    <w:rsid w:val="003F193A"/>
    <w:rsid w:val="003F4207"/>
    <w:rsid w:val="003F5C46"/>
    <w:rsid w:val="003F7CBB"/>
    <w:rsid w:val="003F7D34"/>
    <w:rsid w:val="00412C8E"/>
    <w:rsid w:val="0041518D"/>
    <w:rsid w:val="0042221D"/>
    <w:rsid w:val="00424DD3"/>
    <w:rsid w:val="004269C5"/>
    <w:rsid w:val="00435939"/>
    <w:rsid w:val="00437CC7"/>
    <w:rsid w:val="00442B9C"/>
    <w:rsid w:val="00445EFA"/>
    <w:rsid w:val="0044738A"/>
    <w:rsid w:val="004473D3"/>
    <w:rsid w:val="00452231"/>
    <w:rsid w:val="00460C13"/>
    <w:rsid w:val="00463228"/>
    <w:rsid w:val="00463782"/>
    <w:rsid w:val="004667E0"/>
    <w:rsid w:val="0046760E"/>
    <w:rsid w:val="00470E10"/>
    <w:rsid w:val="00477A97"/>
    <w:rsid w:val="00481343"/>
    <w:rsid w:val="0048549E"/>
    <w:rsid w:val="0049073D"/>
    <w:rsid w:val="00493347"/>
    <w:rsid w:val="00496092"/>
    <w:rsid w:val="004A08DB"/>
    <w:rsid w:val="004A25D0"/>
    <w:rsid w:val="004A37E8"/>
    <w:rsid w:val="004A7549"/>
    <w:rsid w:val="004B09D4"/>
    <w:rsid w:val="004B309D"/>
    <w:rsid w:val="004B330A"/>
    <w:rsid w:val="004B3CB5"/>
    <w:rsid w:val="004B7C8E"/>
    <w:rsid w:val="004C3D3C"/>
    <w:rsid w:val="004D0EDC"/>
    <w:rsid w:val="004D1220"/>
    <w:rsid w:val="004D14B3"/>
    <w:rsid w:val="004D1529"/>
    <w:rsid w:val="004D2253"/>
    <w:rsid w:val="004D5514"/>
    <w:rsid w:val="004D56C3"/>
    <w:rsid w:val="004E0338"/>
    <w:rsid w:val="004E4FF3"/>
    <w:rsid w:val="004E56A8"/>
    <w:rsid w:val="004F3B55"/>
    <w:rsid w:val="004F4E46"/>
    <w:rsid w:val="004F6B7D"/>
    <w:rsid w:val="005015F6"/>
    <w:rsid w:val="005030C4"/>
    <w:rsid w:val="005031C5"/>
    <w:rsid w:val="00504FDC"/>
    <w:rsid w:val="00506BBC"/>
    <w:rsid w:val="005120CC"/>
    <w:rsid w:val="00512B7B"/>
    <w:rsid w:val="00514EA1"/>
    <w:rsid w:val="0051798B"/>
    <w:rsid w:val="00521F5A"/>
    <w:rsid w:val="00525E06"/>
    <w:rsid w:val="00526454"/>
    <w:rsid w:val="00531823"/>
    <w:rsid w:val="00533092"/>
    <w:rsid w:val="00534ECC"/>
    <w:rsid w:val="0053720D"/>
    <w:rsid w:val="00540EF5"/>
    <w:rsid w:val="00541BF3"/>
    <w:rsid w:val="00541CD3"/>
    <w:rsid w:val="005476FA"/>
    <w:rsid w:val="0055595E"/>
    <w:rsid w:val="00557988"/>
    <w:rsid w:val="00562C49"/>
    <w:rsid w:val="00562DEF"/>
    <w:rsid w:val="0056321A"/>
    <w:rsid w:val="00563A35"/>
    <w:rsid w:val="00566596"/>
    <w:rsid w:val="005741E9"/>
    <w:rsid w:val="005748CF"/>
    <w:rsid w:val="005772CB"/>
    <w:rsid w:val="00584270"/>
    <w:rsid w:val="00584738"/>
    <w:rsid w:val="005920B0"/>
    <w:rsid w:val="0059380D"/>
    <w:rsid w:val="00595A8F"/>
    <w:rsid w:val="005977C2"/>
    <w:rsid w:val="00597BF2"/>
    <w:rsid w:val="005B134E"/>
    <w:rsid w:val="005B2039"/>
    <w:rsid w:val="005B344F"/>
    <w:rsid w:val="005B3FBA"/>
    <w:rsid w:val="005B4A1D"/>
    <w:rsid w:val="005B674D"/>
    <w:rsid w:val="005C0CBE"/>
    <w:rsid w:val="005C1FCF"/>
    <w:rsid w:val="005D1885"/>
    <w:rsid w:val="005D4A38"/>
    <w:rsid w:val="005E2EEA"/>
    <w:rsid w:val="005E3708"/>
    <w:rsid w:val="005E3CCD"/>
    <w:rsid w:val="005E3D6B"/>
    <w:rsid w:val="005E5B55"/>
    <w:rsid w:val="005E5E4A"/>
    <w:rsid w:val="005E693D"/>
    <w:rsid w:val="005E75BF"/>
    <w:rsid w:val="005F57BA"/>
    <w:rsid w:val="005F61E6"/>
    <w:rsid w:val="005F6C45"/>
    <w:rsid w:val="00605A69"/>
    <w:rsid w:val="00606C54"/>
    <w:rsid w:val="00614375"/>
    <w:rsid w:val="00615B0A"/>
    <w:rsid w:val="006168CF"/>
    <w:rsid w:val="0062011B"/>
    <w:rsid w:val="00626DE0"/>
    <w:rsid w:val="00630901"/>
    <w:rsid w:val="00631F8E"/>
    <w:rsid w:val="00636EE9"/>
    <w:rsid w:val="00640660"/>
    <w:rsid w:val="00640950"/>
    <w:rsid w:val="00641AE7"/>
    <w:rsid w:val="00642629"/>
    <w:rsid w:val="0065293D"/>
    <w:rsid w:val="00653EFC"/>
    <w:rsid w:val="00654021"/>
    <w:rsid w:val="00661045"/>
    <w:rsid w:val="00666DA8"/>
    <w:rsid w:val="00671057"/>
    <w:rsid w:val="00675AAF"/>
    <w:rsid w:val="0068031A"/>
    <w:rsid w:val="00681B2F"/>
    <w:rsid w:val="0068335F"/>
    <w:rsid w:val="00687217"/>
    <w:rsid w:val="00693302"/>
    <w:rsid w:val="0069640B"/>
    <w:rsid w:val="006A1B83"/>
    <w:rsid w:val="006A21CD"/>
    <w:rsid w:val="006A5918"/>
    <w:rsid w:val="006B21B2"/>
    <w:rsid w:val="006B4A4A"/>
    <w:rsid w:val="006C19B2"/>
    <w:rsid w:val="006C2A5C"/>
    <w:rsid w:val="006C5BB8"/>
    <w:rsid w:val="006C6936"/>
    <w:rsid w:val="006C7B01"/>
    <w:rsid w:val="006D0FE8"/>
    <w:rsid w:val="006D4B2B"/>
    <w:rsid w:val="006D4F3C"/>
    <w:rsid w:val="006D5C66"/>
    <w:rsid w:val="006E1B3C"/>
    <w:rsid w:val="006E23FB"/>
    <w:rsid w:val="006E325A"/>
    <w:rsid w:val="006E33EC"/>
    <w:rsid w:val="006E3802"/>
    <w:rsid w:val="006E6C02"/>
    <w:rsid w:val="006F231A"/>
    <w:rsid w:val="006F6B55"/>
    <w:rsid w:val="006F788D"/>
    <w:rsid w:val="006F78E1"/>
    <w:rsid w:val="00701072"/>
    <w:rsid w:val="00702054"/>
    <w:rsid w:val="007035A4"/>
    <w:rsid w:val="00711799"/>
    <w:rsid w:val="00712B78"/>
    <w:rsid w:val="0071393B"/>
    <w:rsid w:val="00713EE2"/>
    <w:rsid w:val="007177FC"/>
    <w:rsid w:val="00720C5E"/>
    <w:rsid w:val="00721701"/>
    <w:rsid w:val="00731835"/>
    <w:rsid w:val="007341F8"/>
    <w:rsid w:val="00734372"/>
    <w:rsid w:val="00734EB8"/>
    <w:rsid w:val="00735F8B"/>
    <w:rsid w:val="00742D1F"/>
    <w:rsid w:val="00743EBA"/>
    <w:rsid w:val="00744C8E"/>
    <w:rsid w:val="00746B0E"/>
    <w:rsid w:val="0074707E"/>
    <w:rsid w:val="007516DC"/>
    <w:rsid w:val="00754B80"/>
    <w:rsid w:val="00761918"/>
    <w:rsid w:val="00762F03"/>
    <w:rsid w:val="0076413B"/>
    <w:rsid w:val="007648AE"/>
    <w:rsid w:val="00764BF8"/>
    <w:rsid w:val="0076514D"/>
    <w:rsid w:val="00773D59"/>
    <w:rsid w:val="00781003"/>
    <w:rsid w:val="007911FD"/>
    <w:rsid w:val="00793930"/>
    <w:rsid w:val="00793DD1"/>
    <w:rsid w:val="00794FEC"/>
    <w:rsid w:val="007A003E"/>
    <w:rsid w:val="007A1965"/>
    <w:rsid w:val="007A2ED1"/>
    <w:rsid w:val="007A4BE6"/>
    <w:rsid w:val="007B0DC6"/>
    <w:rsid w:val="007B1094"/>
    <w:rsid w:val="007B1762"/>
    <w:rsid w:val="007B3320"/>
    <w:rsid w:val="007C301F"/>
    <w:rsid w:val="007C4540"/>
    <w:rsid w:val="007C65AF"/>
    <w:rsid w:val="007D135D"/>
    <w:rsid w:val="007D40F4"/>
    <w:rsid w:val="007D730F"/>
    <w:rsid w:val="007D7CD8"/>
    <w:rsid w:val="007E3AA7"/>
    <w:rsid w:val="007F737D"/>
    <w:rsid w:val="0080308E"/>
    <w:rsid w:val="00805303"/>
    <w:rsid w:val="00806705"/>
    <w:rsid w:val="00806738"/>
    <w:rsid w:val="00815E66"/>
    <w:rsid w:val="008216D5"/>
    <w:rsid w:val="008249CE"/>
    <w:rsid w:val="00831A50"/>
    <w:rsid w:val="00831B3C"/>
    <w:rsid w:val="00831C89"/>
    <w:rsid w:val="00832114"/>
    <w:rsid w:val="00834590"/>
    <w:rsid w:val="00834C46"/>
    <w:rsid w:val="0084093E"/>
    <w:rsid w:val="00841CE1"/>
    <w:rsid w:val="008473D8"/>
    <w:rsid w:val="008528DC"/>
    <w:rsid w:val="00852B8C"/>
    <w:rsid w:val="00853582"/>
    <w:rsid w:val="00854981"/>
    <w:rsid w:val="00864B2E"/>
    <w:rsid w:val="00865963"/>
    <w:rsid w:val="00871C1D"/>
    <w:rsid w:val="0087450E"/>
    <w:rsid w:val="00875A82"/>
    <w:rsid w:val="00876CA3"/>
    <w:rsid w:val="008772FE"/>
    <w:rsid w:val="008775F1"/>
    <w:rsid w:val="008821AE"/>
    <w:rsid w:val="00883D3A"/>
    <w:rsid w:val="008854F7"/>
    <w:rsid w:val="00885A9D"/>
    <w:rsid w:val="008929D2"/>
    <w:rsid w:val="008930FE"/>
    <w:rsid w:val="00893636"/>
    <w:rsid w:val="00893B94"/>
    <w:rsid w:val="00896E9D"/>
    <w:rsid w:val="00896F11"/>
    <w:rsid w:val="008A1049"/>
    <w:rsid w:val="008A1C98"/>
    <w:rsid w:val="008A322D"/>
    <w:rsid w:val="008A4D72"/>
    <w:rsid w:val="008A6285"/>
    <w:rsid w:val="008A63B2"/>
    <w:rsid w:val="008B345D"/>
    <w:rsid w:val="008C1FC2"/>
    <w:rsid w:val="008C2980"/>
    <w:rsid w:val="008C4DD6"/>
    <w:rsid w:val="008C5AFB"/>
    <w:rsid w:val="008D07FB"/>
    <w:rsid w:val="008D0C02"/>
    <w:rsid w:val="008D357D"/>
    <w:rsid w:val="008D435A"/>
    <w:rsid w:val="008E0D97"/>
    <w:rsid w:val="008E387B"/>
    <w:rsid w:val="008E6087"/>
    <w:rsid w:val="008E758D"/>
    <w:rsid w:val="008F10A7"/>
    <w:rsid w:val="008F755D"/>
    <w:rsid w:val="008F7A39"/>
    <w:rsid w:val="009021E8"/>
    <w:rsid w:val="00904677"/>
    <w:rsid w:val="00905EE2"/>
    <w:rsid w:val="00911440"/>
    <w:rsid w:val="00911712"/>
    <w:rsid w:val="00911B27"/>
    <w:rsid w:val="00912EBE"/>
    <w:rsid w:val="009170BE"/>
    <w:rsid w:val="00920B55"/>
    <w:rsid w:val="009262C9"/>
    <w:rsid w:val="00930EB9"/>
    <w:rsid w:val="00933DC7"/>
    <w:rsid w:val="00940860"/>
    <w:rsid w:val="009418F4"/>
    <w:rsid w:val="00942BBC"/>
    <w:rsid w:val="00944180"/>
    <w:rsid w:val="00944AA0"/>
    <w:rsid w:val="00947DA2"/>
    <w:rsid w:val="00951177"/>
    <w:rsid w:val="00955FB5"/>
    <w:rsid w:val="009673E8"/>
    <w:rsid w:val="00974DB8"/>
    <w:rsid w:val="00980661"/>
    <w:rsid w:val="0098093B"/>
    <w:rsid w:val="009876D4"/>
    <w:rsid w:val="009914A5"/>
    <w:rsid w:val="0099548E"/>
    <w:rsid w:val="00996456"/>
    <w:rsid w:val="00996A12"/>
    <w:rsid w:val="00997B0F"/>
    <w:rsid w:val="009A1CAD"/>
    <w:rsid w:val="009A3440"/>
    <w:rsid w:val="009A5832"/>
    <w:rsid w:val="009A6838"/>
    <w:rsid w:val="009B24B5"/>
    <w:rsid w:val="009B4EBC"/>
    <w:rsid w:val="009B5ABB"/>
    <w:rsid w:val="009B6F01"/>
    <w:rsid w:val="009B73CE"/>
    <w:rsid w:val="009C2461"/>
    <w:rsid w:val="009C6FE2"/>
    <w:rsid w:val="009C7674"/>
    <w:rsid w:val="009D004A"/>
    <w:rsid w:val="009D5880"/>
    <w:rsid w:val="009E1FD4"/>
    <w:rsid w:val="009E3B07"/>
    <w:rsid w:val="009E51D1"/>
    <w:rsid w:val="009E5531"/>
    <w:rsid w:val="009F171E"/>
    <w:rsid w:val="009F1B5C"/>
    <w:rsid w:val="009F27AB"/>
    <w:rsid w:val="009F3D2F"/>
    <w:rsid w:val="009F7052"/>
    <w:rsid w:val="00A02533"/>
    <w:rsid w:val="00A02668"/>
    <w:rsid w:val="00A02801"/>
    <w:rsid w:val="00A06A39"/>
    <w:rsid w:val="00A07F58"/>
    <w:rsid w:val="00A131CB"/>
    <w:rsid w:val="00A14847"/>
    <w:rsid w:val="00A16D6D"/>
    <w:rsid w:val="00A21383"/>
    <w:rsid w:val="00A2199F"/>
    <w:rsid w:val="00A21B31"/>
    <w:rsid w:val="00A2360E"/>
    <w:rsid w:val="00A26E0C"/>
    <w:rsid w:val="00A32FCB"/>
    <w:rsid w:val="00A34C25"/>
    <w:rsid w:val="00A3507D"/>
    <w:rsid w:val="00A3717A"/>
    <w:rsid w:val="00A4088C"/>
    <w:rsid w:val="00A4456B"/>
    <w:rsid w:val="00A448D4"/>
    <w:rsid w:val="00A452E0"/>
    <w:rsid w:val="00A51EA5"/>
    <w:rsid w:val="00A52325"/>
    <w:rsid w:val="00A53742"/>
    <w:rsid w:val="00A54452"/>
    <w:rsid w:val="00A557A1"/>
    <w:rsid w:val="00A577FF"/>
    <w:rsid w:val="00A63059"/>
    <w:rsid w:val="00A63AE3"/>
    <w:rsid w:val="00A651A4"/>
    <w:rsid w:val="00A65CF1"/>
    <w:rsid w:val="00A71361"/>
    <w:rsid w:val="00A72BF7"/>
    <w:rsid w:val="00A746E2"/>
    <w:rsid w:val="00A81FF2"/>
    <w:rsid w:val="00A83904"/>
    <w:rsid w:val="00A90A79"/>
    <w:rsid w:val="00A96B30"/>
    <w:rsid w:val="00AA59B5"/>
    <w:rsid w:val="00AA7777"/>
    <w:rsid w:val="00AA7B84"/>
    <w:rsid w:val="00AC0B4C"/>
    <w:rsid w:val="00AC1164"/>
    <w:rsid w:val="00AC2296"/>
    <w:rsid w:val="00AC2754"/>
    <w:rsid w:val="00AC48B0"/>
    <w:rsid w:val="00AC4ACD"/>
    <w:rsid w:val="00AC5DFB"/>
    <w:rsid w:val="00AC6201"/>
    <w:rsid w:val="00AD13DC"/>
    <w:rsid w:val="00AD6DE2"/>
    <w:rsid w:val="00AE0A40"/>
    <w:rsid w:val="00AE1ED4"/>
    <w:rsid w:val="00AE21E1"/>
    <w:rsid w:val="00AE2F8D"/>
    <w:rsid w:val="00AE3BAE"/>
    <w:rsid w:val="00AE6A21"/>
    <w:rsid w:val="00AF1C8F"/>
    <w:rsid w:val="00AF2B68"/>
    <w:rsid w:val="00AF2C92"/>
    <w:rsid w:val="00AF3EC1"/>
    <w:rsid w:val="00AF5025"/>
    <w:rsid w:val="00AF519F"/>
    <w:rsid w:val="00AF5387"/>
    <w:rsid w:val="00AF55F5"/>
    <w:rsid w:val="00AF7E86"/>
    <w:rsid w:val="00B024B9"/>
    <w:rsid w:val="00B077FA"/>
    <w:rsid w:val="00B127D7"/>
    <w:rsid w:val="00B13B0C"/>
    <w:rsid w:val="00B1453A"/>
    <w:rsid w:val="00B20F82"/>
    <w:rsid w:val="00B23C83"/>
    <w:rsid w:val="00B25BD5"/>
    <w:rsid w:val="00B30785"/>
    <w:rsid w:val="00B34079"/>
    <w:rsid w:val="00B350D3"/>
    <w:rsid w:val="00B3793A"/>
    <w:rsid w:val="00B401BA"/>
    <w:rsid w:val="00B407E4"/>
    <w:rsid w:val="00B425B6"/>
    <w:rsid w:val="00B42777"/>
    <w:rsid w:val="00B42A72"/>
    <w:rsid w:val="00B441AE"/>
    <w:rsid w:val="00B45A65"/>
    <w:rsid w:val="00B45F33"/>
    <w:rsid w:val="00B46D50"/>
    <w:rsid w:val="00B53170"/>
    <w:rsid w:val="00B54200"/>
    <w:rsid w:val="00B548B9"/>
    <w:rsid w:val="00B563F1"/>
    <w:rsid w:val="00B56DBE"/>
    <w:rsid w:val="00B62999"/>
    <w:rsid w:val="00B63BE3"/>
    <w:rsid w:val="00B64885"/>
    <w:rsid w:val="00B66810"/>
    <w:rsid w:val="00B72BE3"/>
    <w:rsid w:val="00B73B80"/>
    <w:rsid w:val="00B770C7"/>
    <w:rsid w:val="00B80F26"/>
    <w:rsid w:val="00B822BD"/>
    <w:rsid w:val="00B842F4"/>
    <w:rsid w:val="00B91A7B"/>
    <w:rsid w:val="00B929DD"/>
    <w:rsid w:val="00B93AF6"/>
    <w:rsid w:val="00B95405"/>
    <w:rsid w:val="00B963F1"/>
    <w:rsid w:val="00BA020A"/>
    <w:rsid w:val="00BB02A4"/>
    <w:rsid w:val="00BB1270"/>
    <w:rsid w:val="00BB1E44"/>
    <w:rsid w:val="00BB5267"/>
    <w:rsid w:val="00BB52B8"/>
    <w:rsid w:val="00BB59D8"/>
    <w:rsid w:val="00BB763E"/>
    <w:rsid w:val="00BB7E69"/>
    <w:rsid w:val="00BC0E51"/>
    <w:rsid w:val="00BC3C1F"/>
    <w:rsid w:val="00BC7CE7"/>
    <w:rsid w:val="00BD295E"/>
    <w:rsid w:val="00BD4664"/>
    <w:rsid w:val="00BE1193"/>
    <w:rsid w:val="00BE45AA"/>
    <w:rsid w:val="00BF4849"/>
    <w:rsid w:val="00BF4EA7"/>
    <w:rsid w:val="00C00EDB"/>
    <w:rsid w:val="00C02863"/>
    <w:rsid w:val="00C0383A"/>
    <w:rsid w:val="00C067FF"/>
    <w:rsid w:val="00C12862"/>
    <w:rsid w:val="00C13D28"/>
    <w:rsid w:val="00C14585"/>
    <w:rsid w:val="00C165A0"/>
    <w:rsid w:val="00C216CE"/>
    <w:rsid w:val="00C2184F"/>
    <w:rsid w:val="00C22A78"/>
    <w:rsid w:val="00C23C7E"/>
    <w:rsid w:val="00C246C5"/>
    <w:rsid w:val="00C25A82"/>
    <w:rsid w:val="00C30A2A"/>
    <w:rsid w:val="00C30AF3"/>
    <w:rsid w:val="00C33993"/>
    <w:rsid w:val="00C34778"/>
    <w:rsid w:val="00C4069E"/>
    <w:rsid w:val="00C41ADC"/>
    <w:rsid w:val="00C44149"/>
    <w:rsid w:val="00C44410"/>
    <w:rsid w:val="00C44A15"/>
    <w:rsid w:val="00C4630A"/>
    <w:rsid w:val="00C523F0"/>
    <w:rsid w:val="00C526D2"/>
    <w:rsid w:val="00C53A91"/>
    <w:rsid w:val="00C5794E"/>
    <w:rsid w:val="00C60968"/>
    <w:rsid w:val="00C63D39"/>
    <w:rsid w:val="00C63EDD"/>
    <w:rsid w:val="00C64A87"/>
    <w:rsid w:val="00C65B36"/>
    <w:rsid w:val="00C7292E"/>
    <w:rsid w:val="00C74E88"/>
    <w:rsid w:val="00C80924"/>
    <w:rsid w:val="00C81DD8"/>
    <w:rsid w:val="00C8286B"/>
    <w:rsid w:val="00C947F8"/>
    <w:rsid w:val="00C9515F"/>
    <w:rsid w:val="00C963C5"/>
    <w:rsid w:val="00C972A7"/>
    <w:rsid w:val="00CA030C"/>
    <w:rsid w:val="00CA1F41"/>
    <w:rsid w:val="00CA32EE"/>
    <w:rsid w:val="00CA5771"/>
    <w:rsid w:val="00CA6A1A"/>
    <w:rsid w:val="00CC1CDB"/>
    <w:rsid w:val="00CC1E75"/>
    <w:rsid w:val="00CC2E0E"/>
    <w:rsid w:val="00CC361C"/>
    <w:rsid w:val="00CC474B"/>
    <w:rsid w:val="00CC658C"/>
    <w:rsid w:val="00CC67BF"/>
    <w:rsid w:val="00CD0843"/>
    <w:rsid w:val="00CD5A78"/>
    <w:rsid w:val="00CD7345"/>
    <w:rsid w:val="00CE372E"/>
    <w:rsid w:val="00CF0A1B"/>
    <w:rsid w:val="00CF19F6"/>
    <w:rsid w:val="00CF2F4F"/>
    <w:rsid w:val="00CF3C25"/>
    <w:rsid w:val="00CF536D"/>
    <w:rsid w:val="00D02E9D"/>
    <w:rsid w:val="00D10CB8"/>
    <w:rsid w:val="00D12806"/>
    <w:rsid w:val="00D12D44"/>
    <w:rsid w:val="00D15018"/>
    <w:rsid w:val="00D158AC"/>
    <w:rsid w:val="00D1694C"/>
    <w:rsid w:val="00D20F5E"/>
    <w:rsid w:val="00D23B76"/>
    <w:rsid w:val="00D24B4A"/>
    <w:rsid w:val="00D379A3"/>
    <w:rsid w:val="00D435D3"/>
    <w:rsid w:val="00D45FF3"/>
    <w:rsid w:val="00D512CF"/>
    <w:rsid w:val="00D528B9"/>
    <w:rsid w:val="00D53186"/>
    <w:rsid w:val="00D5487D"/>
    <w:rsid w:val="00D60140"/>
    <w:rsid w:val="00D6024A"/>
    <w:rsid w:val="00D608B5"/>
    <w:rsid w:val="00D64739"/>
    <w:rsid w:val="00D71F99"/>
    <w:rsid w:val="00D73CA4"/>
    <w:rsid w:val="00D73D71"/>
    <w:rsid w:val="00D74396"/>
    <w:rsid w:val="00D759BF"/>
    <w:rsid w:val="00D80284"/>
    <w:rsid w:val="00D81F71"/>
    <w:rsid w:val="00D8642D"/>
    <w:rsid w:val="00D90A5E"/>
    <w:rsid w:val="00D91A68"/>
    <w:rsid w:val="00D95A68"/>
    <w:rsid w:val="00DA17C7"/>
    <w:rsid w:val="00DA6A9A"/>
    <w:rsid w:val="00DB1EFD"/>
    <w:rsid w:val="00DB3EAF"/>
    <w:rsid w:val="00DB46C6"/>
    <w:rsid w:val="00DC2701"/>
    <w:rsid w:val="00DC3203"/>
    <w:rsid w:val="00DC3C99"/>
    <w:rsid w:val="00DC52F5"/>
    <w:rsid w:val="00DC5FD0"/>
    <w:rsid w:val="00DD0354"/>
    <w:rsid w:val="00DD27D7"/>
    <w:rsid w:val="00DD458C"/>
    <w:rsid w:val="00DD72E9"/>
    <w:rsid w:val="00DD7605"/>
    <w:rsid w:val="00DE2020"/>
    <w:rsid w:val="00DE3476"/>
    <w:rsid w:val="00DE7BEA"/>
    <w:rsid w:val="00DF5B84"/>
    <w:rsid w:val="00DF6D5B"/>
    <w:rsid w:val="00DF771B"/>
    <w:rsid w:val="00DF7EE2"/>
    <w:rsid w:val="00E01BAA"/>
    <w:rsid w:val="00E0282A"/>
    <w:rsid w:val="00E02F9B"/>
    <w:rsid w:val="00E07E14"/>
    <w:rsid w:val="00E14F94"/>
    <w:rsid w:val="00E17336"/>
    <w:rsid w:val="00E17D15"/>
    <w:rsid w:val="00E218CF"/>
    <w:rsid w:val="00E22B95"/>
    <w:rsid w:val="00E30331"/>
    <w:rsid w:val="00E30BB8"/>
    <w:rsid w:val="00E31F9C"/>
    <w:rsid w:val="00E40488"/>
    <w:rsid w:val="00E46760"/>
    <w:rsid w:val="00E50367"/>
    <w:rsid w:val="00E51ABA"/>
    <w:rsid w:val="00E524CB"/>
    <w:rsid w:val="00E62C73"/>
    <w:rsid w:val="00E65456"/>
    <w:rsid w:val="00E65A91"/>
    <w:rsid w:val="00E66188"/>
    <w:rsid w:val="00E664FB"/>
    <w:rsid w:val="00E672F0"/>
    <w:rsid w:val="00E70373"/>
    <w:rsid w:val="00E72E40"/>
    <w:rsid w:val="00E73665"/>
    <w:rsid w:val="00E73999"/>
    <w:rsid w:val="00E73BDC"/>
    <w:rsid w:val="00E73E9E"/>
    <w:rsid w:val="00E81660"/>
    <w:rsid w:val="00E854FE"/>
    <w:rsid w:val="00E906CC"/>
    <w:rsid w:val="00E939A0"/>
    <w:rsid w:val="00E97E4E"/>
    <w:rsid w:val="00EA1CC2"/>
    <w:rsid w:val="00EA2D76"/>
    <w:rsid w:val="00EA4644"/>
    <w:rsid w:val="00EA758A"/>
    <w:rsid w:val="00EB0294"/>
    <w:rsid w:val="00EB096F"/>
    <w:rsid w:val="00EB199F"/>
    <w:rsid w:val="00EB27C4"/>
    <w:rsid w:val="00EB5387"/>
    <w:rsid w:val="00EB5C10"/>
    <w:rsid w:val="00EB7322"/>
    <w:rsid w:val="00EC0FE9"/>
    <w:rsid w:val="00EC198B"/>
    <w:rsid w:val="00EC426D"/>
    <w:rsid w:val="00EC571B"/>
    <w:rsid w:val="00EC57D7"/>
    <w:rsid w:val="00EC6385"/>
    <w:rsid w:val="00ED1DE9"/>
    <w:rsid w:val="00ED23D4"/>
    <w:rsid w:val="00ED5E0B"/>
    <w:rsid w:val="00EE37B6"/>
    <w:rsid w:val="00EF0F45"/>
    <w:rsid w:val="00EF7463"/>
    <w:rsid w:val="00EF7971"/>
    <w:rsid w:val="00F002EF"/>
    <w:rsid w:val="00F01EE9"/>
    <w:rsid w:val="00F04900"/>
    <w:rsid w:val="00F065A4"/>
    <w:rsid w:val="00F126B9"/>
    <w:rsid w:val="00F12715"/>
    <w:rsid w:val="00F144D5"/>
    <w:rsid w:val="00F146F0"/>
    <w:rsid w:val="00F15039"/>
    <w:rsid w:val="00F20FF3"/>
    <w:rsid w:val="00F2190B"/>
    <w:rsid w:val="00F228B5"/>
    <w:rsid w:val="00F2389C"/>
    <w:rsid w:val="00F25C67"/>
    <w:rsid w:val="00F26AB7"/>
    <w:rsid w:val="00F30DFF"/>
    <w:rsid w:val="00F32B80"/>
    <w:rsid w:val="00F340EB"/>
    <w:rsid w:val="00F35285"/>
    <w:rsid w:val="00F43B9D"/>
    <w:rsid w:val="00F44D5E"/>
    <w:rsid w:val="00F53A35"/>
    <w:rsid w:val="00F55A3D"/>
    <w:rsid w:val="00F5744B"/>
    <w:rsid w:val="00F61209"/>
    <w:rsid w:val="00F6259E"/>
    <w:rsid w:val="00F65DD4"/>
    <w:rsid w:val="00F672B2"/>
    <w:rsid w:val="00F7565C"/>
    <w:rsid w:val="00F83973"/>
    <w:rsid w:val="00F87FA3"/>
    <w:rsid w:val="00F93D8C"/>
    <w:rsid w:val="00FA3102"/>
    <w:rsid w:val="00FA48D4"/>
    <w:rsid w:val="00FA54FA"/>
    <w:rsid w:val="00FA6D39"/>
    <w:rsid w:val="00FB227E"/>
    <w:rsid w:val="00FB3D61"/>
    <w:rsid w:val="00FB44CE"/>
    <w:rsid w:val="00FB5009"/>
    <w:rsid w:val="00FB5BA7"/>
    <w:rsid w:val="00FB76AB"/>
    <w:rsid w:val="00FD03FE"/>
    <w:rsid w:val="00FD0B07"/>
    <w:rsid w:val="00FD126E"/>
    <w:rsid w:val="00FD3C36"/>
    <w:rsid w:val="00FD4D81"/>
    <w:rsid w:val="00FD7498"/>
    <w:rsid w:val="00FD7FB3"/>
    <w:rsid w:val="00FE30E8"/>
    <w:rsid w:val="00FE4713"/>
    <w:rsid w:val="00FF1F44"/>
    <w:rsid w:val="00FF225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E78D"/>
  <w15:docId w15:val="{DC59A4A6-FF39-4566-A961-C340B4FFB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96F"/>
    <w:pPr>
      <w:spacing w:line="480" w:lineRule="auto"/>
    </w:pPr>
    <w:rPr>
      <w:sz w:val="24"/>
      <w:szCs w:val="24"/>
    </w:rPr>
  </w:style>
  <w:style w:type="paragraph" w:styleId="Ttulo1">
    <w:name w:val="heading 1"/>
    <w:basedOn w:val="Normal"/>
    <w:next w:val="Paragraph"/>
    <w:link w:val="Ttulo1Car"/>
    <w:qFormat/>
    <w:rsid w:val="00AE1ED4"/>
    <w:pPr>
      <w:keepNext/>
      <w:spacing w:before="360" w:after="60" w:line="360" w:lineRule="auto"/>
      <w:ind w:right="567"/>
      <w:contextualSpacing/>
      <w:outlineLvl w:val="0"/>
    </w:pPr>
    <w:rPr>
      <w:rFonts w:cs="Arial"/>
      <w:b/>
      <w:bCs/>
      <w:kern w:val="32"/>
      <w:szCs w:val="32"/>
    </w:rPr>
  </w:style>
  <w:style w:type="paragraph" w:styleId="Ttulo2">
    <w:name w:val="heading 2"/>
    <w:basedOn w:val="Normal"/>
    <w:next w:val="Paragraph"/>
    <w:link w:val="Ttulo2Car"/>
    <w:qFormat/>
    <w:rsid w:val="008D07FB"/>
    <w:pPr>
      <w:keepNext/>
      <w:spacing w:before="360" w:after="60" w:line="360" w:lineRule="auto"/>
      <w:ind w:right="567"/>
      <w:contextualSpacing/>
      <w:outlineLvl w:val="1"/>
    </w:pPr>
    <w:rPr>
      <w:rFonts w:cs="Arial"/>
      <w:b/>
      <w:bCs/>
      <w:i/>
      <w:iCs/>
      <w:szCs w:val="28"/>
    </w:rPr>
  </w:style>
  <w:style w:type="paragraph" w:styleId="Ttulo3">
    <w:name w:val="heading 3"/>
    <w:basedOn w:val="Normal"/>
    <w:next w:val="Paragraph"/>
    <w:link w:val="Ttulo3Car"/>
    <w:qFormat/>
    <w:rsid w:val="00DF7EE2"/>
    <w:pPr>
      <w:keepNext/>
      <w:spacing w:before="360" w:after="60" w:line="360" w:lineRule="auto"/>
      <w:ind w:right="567"/>
      <w:contextualSpacing/>
      <w:outlineLvl w:val="2"/>
    </w:pPr>
    <w:rPr>
      <w:rFonts w:cs="Arial"/>
      <w:bCs/>
      <w:i/>
      <w:szCs w:val="26"/>
    </w:rPr>
  </w:style>
  <w:style w:type="paragraph" w:styleId="Ttulo4">
    <w:name w:val="heading 4"/>
    <w:basedOn w:val="Paragraph"/>
    <w:next w:val="Newparagraph"/>
    <w:link w:val="Ttulo4Car"/>
    <w:rsid w:val="00F43B9D"/>
    <w:pPr>
      <w:spacing w:before="360"/>
      <w:outlineLvl w:val="3"/>
    </w:pPr>
    <w:rPr>
      <w:bCs/>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C22A78"/>
    <w:pPr>
      <w:spacing w:before="360" w:after="300" w:line="360" w:lineRule="auto"/>
      <w:ind w:left="720" w:right="567"/>
      <w:contextualSpacing/>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1176BF"/>
    <w:pPr>
      <w:spacing w:before="240" w:line="360" w:lineRule="auto"/>
      <w:jc w:val="center"/>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Sangranormal">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Ttulo2Car">
    <w:name w:val="Título 2 Car"/>
    <w:basedOn w:val="Fuentedeprrafopredeter"/>
    <w:link w:val="Ttulo2"/>
    <w:rsid w:val="008D07FB"/>
    <w:rPr>
      <w:rFonts w:cs="Arial"/>
      <w:b/>
      <w:bCs/>
      <w:i/>
      <w:iCs/>
      <w:sz w:val="24"/>
      <w:szCs w:val="28"/>
    </w:rPr>
  </w:style>
  <w:style w:type="character" w:customStyle="1" w:styleId="Ttulo1Car">
    <w:name w:val="Título 1 Car"/>
    <w:basedOn w:val="Fuentedeprrafopredeter"/>
    <w:link w:val="Ttulo1"/>
    <w:rsid w:val="00AE1ED4"/>
    <w:rPr>
      <w:rFonts w:cs="Arial"/>
      <w:b/>
      <w:bCs/>
      <w:kern w:val="32"/>
      <w:sz w:val="24"/>
      <w:szCs w:val="32"/>
    </w:rPr>
  </w:style>
  <w:style w:type="character" w:customStyle="1" w:styleId="Ttulo3Car">
    <w:name w:val="Título 3 Car"/>
    <w:basedOn w:val="Fuentedeprrafopredeter"/>
    <w:link w:val="Ttulo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Textonotapie">
    <w:name w:val="footnote text"/>
    <w:basedOn w:val="Normal"/>
    <w:link w:val="TextonotapieCar"/>
    <w:autoRedefine/>
    <w:rsid w:val="006C19B2"/>
    <w:pPr>
      <w:ind w:left="284" w:hanging="284"/>
    </w:pPr>
    <w:rPr>
      <w:sz w:val="22"/>
      <w:szCs w:val="20"/>
    </w:rPr>
  </w:style>
  <w:style w:type="character" w:customStyle="1" w:styleId="TextonotapieCar">
    <w:name w:val="Texto nota pie Car"/>
    <w:basedOn w:val="Fuentedeprrafopredeter"/>
    <w:link w:val="Textonotapie"/>
    <w:rsid w:val="006C19B2"/>
    <w:rPr>
      <w:sz w:val="22"/>
    </w:rPr>
  </w:style>
  <w:style w:type="character" w:styleId="Refdenotaalpie">
    <w:name w:val="footnote reference"/>
    <w:basedOn w:val="Fuentedeprrafopredeter"/>
    <w:rsid w:val="00AF2C92"/>
    <w:rPr>
      <w:vertAlign w:val="superscript"/>
    </w:rPr>
  </w:style>
  <w:style w:type="paragraph" w:styleId="Textonotaalfinal">
    <w:name w:val="endnote text"/>
    <w:basedOn w:val="Normal"/>
    <w:link w:val="TextonotaalfinalCar"/>
    <w:autoRedefine/>
    <w:rsid w:val="006C19B2"/>
    <w:pPr>
      <w:ind w:left="284" w:hanging="284"/>
    </w:pPr>
    <w:rPr>
      <w:sz w:val="22"/>
      <w:szCs w:val="20"/>
    </w:rPr>
  </w:style>
  <w:style w:type="character" w:customStyle="1" w:styleId="TextonotaalfinalCar">
    <w:name w:val="Texto nota al final Car"/>
    <w:basedOn w:val="Fuentedeprrafopredeter"/>
    <w:link w:val="Textonotaalfinal"/>
    <w:rsid w:val="006C19B2"/>
    <w:rPr>
      <w:sz w:val="22"/>
    </w:rPr>
  </w:style>
  <w:style w:type="character" w:styleId="Refdenotaalfinal">
    <w:name w:val="endnote reference"/>
    <w:basedOn w:val="Fuentedeprrafopredeter"/>
    <w:rsid w:val="00EC571B"/>
    <w:rPr>
      <w:vertAlign w:val="superscript"/>
    </w:rPr>
  </w:style>
  <w:style w:type="character" w:customStyle="1" w:styleId="Ttulo4Car">
    <w:name w:val="Título 4 Car"/>
    <w:basedOn w:val="Fuentedeprrafopredeter"/>
    <w:link w:val="Ttulo4"/>
    <w:rsid w:val="00F43B9D"/>
    <w:rPr>
      <w:bCs/>
      <w:sz w:val="24"/>
      <w:szCs w:val="28"/>
    </w:rPr>
  </w:style>
  <w:style w:type="paragraph" w:styleId="Encabezado">
    <w:name w:val="header"/>
    <w:basedOn w:val="Normal"/>
    <w:link w:val="EncabezadoCar"/>
    <w:uiPriority w:val="99"/>
    <w:rsid w:val="003F193A"/>
    <w:pPr>
      <w:tabs>
        <w:tab w:val="center" w:pos="4320"/>
        <w:tab w:val="right" w:pos="8640"/>
      </w:tabs>
      <w:spacing w:after="120" w:line="240" w:lineRule="auto"/>
      <w:contextualSpacing/>
    </w:pPr>
  </w:style>
  <w:style w:type="character" w:customStyle="1" w:styleId="EncabezadoCar">
    <w:name w:val="Encabezado Car"/>
    <w:basedOn w:val="Fuentedeprrafopredeter"/>
    <w:link w:val="Encabezado"/>
    <w:uiPriority w:val="99"/>
    <w:rsid w:val="003F193A"/>
    <w:rPr>
      <w:rFonts w:eastAsia="Times New Roman"/>
      <w:sz w:val="24"/>
      <w:szCs w:val="24"/>
      <w:lang w:eastAsia="en-GB"/>
    </w:rPr>
  </w:style>
  <w:style w:type="paragraph" w:styleId="Piedepgina">
    <w:name w:val="footer"/>
    <w:basedOn w:val="Normal"/>
    <w:link w:val="PiedepginaCar"/>
    <w:rsid w:val="00AE6A21"/>
    <w:pPr>
      <w:tabs>
        <w:tab w:val="center" w:pos="4320"/>
        <w:tab w:val="right" w:pos="8640"/>
      </w:tabs>
      <w:spacing w:before="240" w:line="240" w:lineRule="auto"/>
      <w:contextualSpacing/>
    </w:pPr>
  </w:style>
  <w:style w:type="character" w:customStyle="1" w:styleId="PiedepginaCar">
    <w:name w:val="Pie de página Car"/>
    <w:basedOn w:val="Fuentedeprrafopredeter"/>
    <w:link w:val="Piedepgina"/>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table" w:customStyle="1" w:styleId="Tabladecuadrcula21">
    <w:name w:val="Tabla de cuadrícula 21"/>
    <w:basedOn w:val="Tablanormal"/>
    <w:uiPriority w:val="47"/>
    <w:rsid w:val="00C64A87"/>
    <w:rPr>
      <w:rFonts w:asciiTheme="minorHAnsi" w:eastAsiaTheme="minorEastAsia" w:hAnsiTheme="minorHAnsi" w:cstheme="minorBidi"/>
      <w:sz w:val="24"/>
      <w:szCs w:val="24"/>
      <w:lang w:val="en-US"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rsid w:val="00C64A87"/>
    <w:pPr>
      <w:spacing w:before="100" w:beforeAutospacing="1" w:after="100" w:afterAutospacing="1" w:line="240" w:lineRule="auto"/>
    </w:pPr>
    <w:rPr>
      <w:lang w:val="es-CO" w:eastAsia="es-CO"/>
    </w:rPr>
  </w:style>
  <w:style w:type="character" w:styleId="Hipervnculo">
    <w:name w:val="Hyperlink"/>
    <w:basedOn w:val="Fuentedeprrafopredeter"/>
    <w:uiPriority w:val="99"/>
    <w:unhideWhenUsed/>
    <w:rsid w:val="00C64A87"/>
    <w:rPr>
      <w:color w:val="0000FF" w:themeColor="hyperlink"/>
      <w:u w:val="single"/>
    </w:rPr>
  </w:style>
  <w:style w:type="paragraph" w:styleId="Textodeglobo">
    <w:name w:val="Balloon Text"/>
    <w:basedOn w:val="Normal"/>
    <w:link w:val="TextodegloboCar"/>
    <w:rsid w:val="00EB0294"/>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EB0294"/>
    <w:rPr>
      <w:rFonts w:ascii="Tahoma" w:hAnsi="Tahoma" w:cs="Tahoma"/>
      <w:sz w:val="16"/>
      <w:szCs w:val="16"/>
    </w:rPr>
  </w:style>
  <w:style w:type="character" w:styleId="Hipervnculovisitado">
    <w:name w:val="FollowedHyperlink"/>
    <w:basedOn w:val="Fuentedeprrafopredeter"/>
    <w:semiHidden/>
    <w:unhideWhenUsed/>
    <w:rsid w:val="00A577FF"/>
    <w:rPr>
      <w:color w:val="800080" w:themeColor="followedHyperlink"/>
      <w:u w:val="single"/>
    </w:rPr>
  </w:style>
  <w:style w:type="paragraph" w:styleId="Prrafodelista">
    <w:name w:val="List Paragraph"/>
    <w:basedOn w:val="Normal"/>
    <w:rsid w:val="00BE45AA"/>
    <w:pPr>
      <w:ind w:left="720"/>
      <w:contextualSpacing/>
    </w:pPr>
  </w:style>
  <w:style w:type="character" w:styleId="Refdecomentario">
    <w:name w:val="annotation reference"/>
    <w:basedOn w:val="Fuentedeprrafopredeter"/>
    <w:semiHidden/>
    <w:unhideWhenUsed/>
    <w:rsid w:val="00072453"/>
    <w:rPr>
      <w:sz w:val="16"/>
      <w:szCs w:val="16"/>
    </w:rPr>
  </w:style>
  <w:style w:type="paragraph" w:styleId="Textocomentario">
    <w:name w:val="annotation text"/>
    <w:basedOn w:val="Normal"/>
    <w:link w:val="TextocomentarioCar"/>
    <w:semiHidden/>
    <w:unhideWhenUsed/>
    <w:rsid w:val="00072453"/>
    <w:pPr>
      <w:spacing w:line="240" w:lineRule="auto"/>
    </w:pPr>
    <w:rPr>
      <w:sz w:val="20"/>
      <w:szCs w:val="20"/>
    </w:rPr>
  </w:style>
  <w:style w:type="character" w:customStyle="1" w:styleId="TextocomentarioCar">
    <w:name w:val="Texto comentario Car"/>
    <w:basedOn w:val="Fuentedeprrafopredeter"/>
    <w:link w:val="Textocomentario"/>
    <w:semiHidden/>
    <w:rsid w:val="00072453"/>
  </w:style>
  <w:style w:type="paragraph" w:styleId="Asuntodelcomentario">
    <w:name w:val="annotation subject"/>
    <w:basedOn w:val="Textocomentario"/>
    <w:next w:val="Textocomentario"/>
    <w:link w:val="AsuntodelcomentarioCar"/>
    <w:semiHidden/>
    <w:unhideWhenUsed/>
    <w:rsid w:val="00072453"/>
    <w:rPr>
      <w:b/>
      <w:bCs/>
    </w:rPr>
  </w:style>
  <w:style w:type="character" w:customStyle="1" w:styleId="AsuntodelcomentarioCar">
    <w:name w:val="Asunto del comentario Car"/>
    <w:basedOn w:val="TextocomentarioCar"/>
    <w:link w:val="Asuntodelcomentario"/>
    <w:semiHidden/>
    <w:rsid w:val="00072453"/>
    <w:rPr>
      <w:b/>
      <w:bCs/>
    </w:rPr>
  </w:style>
  <w:style w:type="character" w:styleId="Mencinsinresolver">
    <w:name w:val="Unresolved Mention"/>
    <w:basedOn w:val="Fuentedeprrafopredeter"/>
    <w:uiPriority w:val="99"/>
    <w:semiHidden/>
    <w:unhideWhenUsed/>
    <w:rsid w:val="002646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redibaimyd.org/portal/wpcontent/uploads/2020/09/diagnostico.pdf" TargetMode="External"/><Relationship Id="rId26" Type="http://schemas.openxmlformats.org/officeDocument/2006/relationships/hyperlink" Target="https://www.atlantis-press.com/proceedings/asiacall-21/125953313" TargetMode="External"/><Relationship Id="rId3" Type="http://schemas.openxmlformats.org/officeDocument/2006/relationships/styles" Target="styles.xml"/><Relationship Id="rId21" Type="http://schemas.openxmlformats.org/officeDocument/2006/relationships/hyperlink" Target="https://bibliotecadigital.mineduc.cl/bitstream/handle/20.500.12365/2151/mono-964.pdf?sequence=1&amp;isAllowed=y"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journals.uco.es/edmetic/article/view/12462/11154" TargetMode="External"/><Relationship Id="rId25" Type="http://schemas.openxmlformats.org/officeDocument/2006/relationships/hyperlink" Target="http://dx.doi.org/10.21676/23897848.4375"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mineducacion.gov.co/1759/articles-339097_archivo_pdf_competencias_tic.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hdl.handle.net/20.500.12579/5019"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i.org/10.1177/0022487116654005"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i.org/10.1007/BF02291575"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1.wdp"/><Relationship Id="rId22" Type="http://schemas.openxmlformats.org/officeDocument/2006/relationships/hyperlink" Target="https://doi.org/10.3991/ijet.v17i07.28867"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88A308-A92C-4FCE-8AF4-9CEC0E076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24</Pages>
  <Words>5903</Words>
  <Characters>32467</Characters>
  <Application>Microsoft Office Word</Application>
  <DocSecurity>0</DocSecurity>
  <Lines>270</Lines>
  <Paragraphs>76</Paragraphs>
  <ScaleCrop>false</ScaleCrop>
  <HeadingPairs>
    <vt:vector size="6" baseType="variant">
      <vt:variant>
        <vt:lpstr>Título</vt:lpstr>
      </vt:variant>
      <vt:variant>
        <vt:i4>1</vt:i4>
      </vt:variant>
      <vt:variant>
        <vt:lpstr>Konu Başlığı</vt:lpstr>
      </vt:variant>
      <vt:variant>
        <vt:i4>1</vt:i4>
      </vt:variant>
      <vt:variant>
        <vt:lpstr>Title</vt:lpstr>
      </vt:variant>
      <vt:variant>
        <vt:i4>1</vt:i4>
      </vt:variant>
    </vt:vector>
  </HeadingPairs>
  <TitlesOfParts>
    <vt:vector size="3" baseType="lpstr">
      <vt:lpstr>TF_Template_Word_Windows_2007</vt:lpstr>
      <vt:lpstr>TF_Template_Word_Windows_2007</vt:lpstr>
      <vt:lpstr>TF_Template_Word_Mac_2008</vt:lpstr>
    </vt:vector>
  </TitlesOfParts>
  <Company/>
  <LinksUpToDate>false</LinksUpToDate>
  <CharactersWithSpaces>38294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TF_Template_Word_Windows_2007</dc:title>
  <dc:creator>Microsoft Office User</dc:creator>
  <cp:lastModifiedBy>GONZALO CAMACHO VASQUEZ</cp:lastModifiedBy>
  <cp:revision>6</cp:revision>
  <cp:lastPrinted>2011-07-22T14:54:00Z</cp:lastPrinted>
  <dcterms:created xsi:type="dcterms:W3CDTF">2023-09-09T17:36:00Z</dcterms:created>
  <dcterms:modified xsi:type="dcterms:W3CDTF">2023-09-13T18:28:00Z</dcterms:modified>
</cp:coreProperties>
</file>