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Руководство пользователя</w:t>
      </w:r>
    </w:p>
    <w:p w14:paraId="02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</w:p>
    <w:p w14:paraId="03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</w:p>
    <w:p w14:paraId="04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Введение</w:t>
      </w:r>
    </w:p>
    <w:p w14:paraId="05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06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Настоящий документ является Руководством по использованию системы «УправлениеITФирмой». Данное руководство предназначено как для пользователей, ответственных за работу с системой – бухгалтеров, кадровиков-расчетчиков, менеджеров так и для пользователей, работающих с набором функций программы. </w:t>
      </w:r>
    </w:p>
    <w:p w14:paraId="07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Так как работа системы во многом определяется используемой конфигурацией, для ознакомления с особенностями работы конкретных документов, отчетов и других элементов конфигурации необходимо изучить описание конфигурации, которая используется при работе с данной конфигурацией.</w:t>
      </w:r>
    </w:p>
    <w:p w14:paraId="08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09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Структура Руководства:</w:t>
      </w:r>
    </w:p>
    <w:p w14:paraId="0A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0B000000">
      <w:pPr>
        <w:pStyle w:val="Style_1"/>
        <w:numPr>
          <w:numId w:val="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Подготовка системы;</w:t>
      </w:r>
    </w:p>
    <w:p w14:paraId="0C000000">
      <w:pPr>
        <w:pStyle w:val="Style_1"/>
        <w:numPr>
          <w:numId w:val="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Описание ролей пользователей;</w:t>
      </w:r>
    </w:p>
    <w:p w14:paraId="0D000000">
      <w:pPr>
        <w:pStyle w:val="Style_1"/>
        <w:numPr>
          <w:numId w:val="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Описание работы подсистемы «Обслуживание клиентов»;</w:t>
      </w:r>
    </w:p>
    <w:p w14:paraId="0E000000">
      <w:pPr>
        <w:pStyle w:val="Style_1"/>
        <w:numPr>
          <w:numId w:val="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Описание работы </w:t>
      </w:r>
      <w:r>
        <w:rPr>
          <w:rFonts w:ascii="Arial" w:hAnsi="Arial"/>
          <w:sz w:val="24"/>
        </w:rPr>
        <w:t>подсистемы</w:t>
      </w:r>
      <w:r>
        <w:rPr>
          <w:rFonts w:ascii="Arial" w:hAnsi="Arial"/>
          <w:sz w:val="24"/>
        </w:rPr>
        <w:t xml:space="preserve"> «Расчет зарплаты»;</w:t>
      </w:r>
    </w:p>
    <w:p w14:paraId="0F000000">
      <w:pPr>
        <w:pStyle w:val="Style_1"/>
        <w:numPr>
          <w:numId w:val="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Описание работы с отчетами;</w:t>
      </w:r>
    </w:p>
    <w:p w14:paraId="10000000">
      <w:pPr>
        <w:pStyle w:val="Style_1"/>
        <w:numPr>
          <w:numId w:val="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Автоматизированное тестирование системы</w:t>
      </w:r>
    </w:p>
    <w:p w14:paraId="11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12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Раздел 1. Подготовка системы</w:t>
      </w:r>
    </w:p>
    <w:p w14:paraId="13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14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1.1. При первоначальном запуске системы необходимо подготовить будущих пользователей, назначить им соответствующие роли. В разделе </w:t>
      </w:r>
      <w:r>
        <w:rPr>
          <w:rFonts w:ascii="Arial" w:hAnsi="Arial"/>
          <w:sz w:val="24"/>
          <w:u w:val="single"/>
        </w:rPr>
        <w:t>Администрирование</w:t>
      </w:r>
      <w:r>
        <w:rPr>
          <w:rFonts w:ascii="Arial" w:hAnsi="Arial"/>
          <w:sz w:val="24"/>
        </w:rPr>
        <w:t xml:space="preserve"> перейти в </w:t>
      </w:r>
      <w:r>
        <w:rPr>
          <w:rFonts w:ascii="Arial" w:hAnsi="Arial"/>
          <w:sz w:val="24"/>
          <w:u w:val="single"/>
        </w:rPr>
        <w:t>Настройки пользователей и прав</w:t>
      </w:r>
      <w:r>
        <w:rPr>
          <w:rFonts w:ascii="Arial" w:hAnsi="Arial"/>
          <w:sz w:val="24"/>
        </w:rPr>
        <w:t>:</w:t>
      </w:r>
    </w:p>
    <w:p w14:paraId="15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drawing>
          <wp:inline>
            <wp:extent cx="5212080" cy="247650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21208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В поставляемой конфигурац</w:t>
      </w:r>
      <w:r>
        <w:rPr>
          <w:rFonts w:ascii="Arial" w:hAnsi="Arial"/>
          <w:sz w:val="24"/>
        </w:rPr>
        <w:t xml:space="preserve">ии уже добавлены от разработчика следующие поставляемые профили групп. Далее зайти в раздел </w:t>
      </w:r>
      <w:r>
        <w:rPr>
          <w:rFonts w:ascii="Arial" w:hAnsi="Arial"/>
          <w:sz w:val="24"/>
          <w:u w:val="single"/>
        </w:rPr>
        <w:t>Профили групп доступа</w:t>
      </w:r>
      <w:r>
        <w:rPr>
          <w:rFonts w:ascii="Arial" w:hAnsi="Arial"/>
          <w:sz w:val="24"/>
        </w:rPr>
        <w:t>:</w:t>
      </w:r>
    </w:p>
    <w:p w14:paraId="17000000">
      <w:pPr>
        <w:pStyle w:val="Style_1"/>
        <w:spacing w:line="276" w:lineRule="auto"/>
        <w:ind w:firstLine="567" w:left="0"/>
        <w:jc w:val="center"/>
        <w:rPr>
          <w:rFonts w:ascii="Arial" w:hAnsi="Arial"/>
          <w:sz w:val="24"/>
        </w:rPr>
      </w:pPr>
      <w:r>
        <w:drawing>
          <wp:inline>
            <wp:extent cx="5516881" cy="2522220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516881" cy="25222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000000">
      <w:pPr>
        <w:pStyle w:val="Style_1"/>
        <w:spacing w:line="276" w:lineRule="auto"/>
        <w:ind w:firstLine="567" w:left="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При необходимости пользователь с правами Администратора может добавить дополнительные профили групп доступа.</w:t>
      </w:r>
    </w:p>
    <w:p w14:paraId="19000000">
      <w:pPr>
        <w:pStyle w:val="Style_1"/>
        <w:spacing w:line="276" w:lineRule="auto"/>
        <w:ind w:firstLine="567" w:left="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Далее необходимо создать пользователей, которые будут в системе:</w:t>
      </w:r>
    </w:p>
    <w:p w14:paraId="1A000000">
      <w:pPr>
        <w:pStyle w:val="Style_1"/>
        <w:spacing w:line="276" w:lineRule="auto"/>
        <w:ind w:firstLine="567" w:left="0"/>
        <w:jc w:val="center"/>
        <w:rPr>
          <w:rFonts w:ascii="Arial" w:hAnsi="Arial"/>
          <w:sz w:val="24"/>
        </w:rPr>
      </w:pPr>
      <w:r>
        <w:drawing>
          <wp:inline>
            <wp:extent cx="5402581" cy="2903220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402581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Каждому пользователю необходимо установить параметры (пароль, контактные данные и прочее):</w:t>
      </w:r>
    </w:p>
    <w:p w14:paraId="1C000000">
      <w:pPr>
        <w:pStyle w:val="Style_1"/>
        <w:spacing w:line="276" w:lineRule="auto"/>
        <w:ind w:firstLine="567" w:left="0"/>
        <w:jc w:val="center"/>
        <w:rPr>
          <w:rFonts w:ascii="Arial" w:hAnsi="Arial"/>
          <w:sz w:val="24"/>
        </w:rPr>
      </w:pPr>
      <w:r>
        <w:drawing>
          <wp:inline>
            <wp:extent cx="5181600" cy="2522220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181600" cy="25222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1E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Кроме того, необходимо установить </w:t>
      </w:r>
      <w:r>
        <w:rPr>
          <w:rFonts w:ascii="Arial" w:hAnsi="Arial"/>
          <w:sz w:val="24"/>
          <w:u w:val="single"/>
        </w:rPr>
        <w:t>Права доступа</w:t>
      </w:r>
      <w:r>
        <w:rPr>
          <w:rFonts w:ascii="Arial" w:hAnsi="Arial"/>
          <w:sz w:val="24"/>
        </w:rPr>
        <w:t xml:space="preserve"> для пользователя:</w:t>
      </w:r>
      <w:r>
        <w:drawing>
          <wp:inline>
            <wp:extent cx="6264372" cy="3335419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264372" cy="33354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В дальнейшем для каждого пользователя необходимо повторить вышеуказанные шаги.</w:t>
      </w:r>
    </w:p>
    <w:p w14:paraId="20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2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1.2. Для работы с системой требуется заполнить значения следующих констант под ролью Администратора:</w:t>
      </w:r>
    </w:p>
    <w:p w14:paraId="22000000">
      <w:pPr>
        <w:pStyle w:val="Style_1"/>
        <w:numPr>
          <w:numId w:val="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Номенклатура абонентская плата. Из справочника номенклатура выбрать соответствующее значение «Абонентская плата»;</w:t>
      </w:r>
    </w:p>
    <w:p w14:paraId="23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4236720" cy="1234440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423672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000000">
      <w:pPr>
        <w:pStyle w:val="Style_1"/>
        <w:numPr>
          <w:numId w:val="3"/>
        </w:numPr>
        <w:spacing w:line="276" w:lineRule="auto"/>
        <w:ind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Номенклатура Работы специалиста. </w:t>
      </w:r>
      <w:r>
        <w:rPr>
          <w:rFonts w:ascii="Arial" w:hAnsi="Arial"/>
          <w:sz w:val="24"/>
        </w:rPr>
        <w:t xml:space="preserve"> Из справочника номенклатура выбрать соответствующее значение «Работы специалиста»;</w:t>
      </w:r>
    </w:p>
    <w:p w14:paraId="25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4251960" cy="116586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4251960" cy="1165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000000">
      <w:pPr>
        <w:pStyle w:val="Style_1"/>
        <w:numPr>
          <w:numId w:val="4"/>
        </w:numPr>
        <w:spacing w:line="276" w:lineRule="auto"/>
        <w:ind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Токен телеграм бота для работы функций уведомлений в телеграм чат.</w:t>
      </w:r>
    </w:p>
    <w:p w14:paraId="27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4472940" cy="1005839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4472940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00000">
      <w:pPr>
        <w:pStyle w:val="Style_1"/>
        <w:numPr>
          <w:numId w:val="4"/>
        </w:numPr>
        <w:spacing w:line="276" w:lineRule="auto"/>
        <w:ind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Идентификатор чата </w:t>
      </w:r>
      <w:r>
        <w:rPr>
          <w:rFonts w:ascii="Arial" w:hAnsi="Arial"/>
          <w:sz w:val="24"/>
        </w:rPr>
        <w:t>для работы функций уведомлений в телеграм чат.</w:t>
      </w:r>
    </w:p>
    <w:p w14:paraId="29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3787141" cy="1303020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3787141" cy="13030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000000">
      <w:pPr>
        <w:pStyle w:val="Style_1"/>
        <w:spacing w:line="276" w:lineRule="auto"/>
        <w:ind/>
        <w:jc w:val="both"/>
        <w:rPr>
          <w:rFonts w:ascii="Arial" w:hAnsi="Arial"/>
          <w:sz w:val="24"/>
        </w:rPr>
      </w:pPr>
    </w:p>
    <w:p w14:paraId="2B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</w:p>
    <w:p w14:paraId="2C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Раздел 2. Описание ролей пользователей</w:t>
      </w:r>
    </w:p>
    <w:p w14:paraId="2D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2E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Настоящая конфигурация предусматривает работу различных пользователей в системе. </w:t>
      </w:r>
    </w:p>
    <w:p w14:paraId="2F000000">
      <w:pPr>
        <w:pStyle w:val="Style_1"/>
        <w:numPr>
          <w:numId w:val="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Менеджер – осуществляет создание документов, подтверждающих работу специалистов, оказанию услуг клиентам и закрытию данных документов для подтверждения оказанных работ, выставления счетов оказания услуг. Также данные документы являются основание для начисления зарплаты специалистам. </w:t>
      </w:r>
    </w:p>
    <w:p w14:paraId="30000000">
      <w:pPr>
        <w:pStyle w:val="Style_1"/>
        <w:numPr>
          <w:numId w:val="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Специалист – также может создавать документы по оказанию услуг клиентам. Этому пользователю доступен отчет по выработке специалистов.</w:t>
      </w:r>
    </w:p>
    <w:p w14:paraId="31000000">
      <w:pPr>
        <w:pStyle w:val="Style_1"/>
        <w:numPr>
          <w:numId w:val="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Кадровик-расчетчик – осуществляет начисление заработной платы и фиксированных премий сотрудникам, а также формирует документы на выплату заработной платы. </w:t>
      </w:r>
      <w:r>
        <w:rPr>
          <w:rFonts w:ascii="Arial" w:hAnsi="Arial"/>
          <w:sz w:val="24"/>
        </w:rPr>
        <w:t>Этому пользователю доступен отчет по выработке специалистов.</w:t>
      </w:r>
    </w:p>
    <w:p w14:paraId="32000000">
      <w:pPr>
        <w:pStyle w:val="Style_1"/>
        <w:numPr>
          <w:numId w:val="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Бухгалтер – формирует документы «Реализация товаров и услуг» по всем абонентским договорам. Этому пользователю доступен отчет по анализу выставленных актов, а также отчеты по зарплате и отпускам.</w:t>
      </w:r>
    </w:p>
    <w:p w14:paraId="33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34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</w:p>
    <w:p w14:paraId="35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 xml:space="preserve">Раздел 3. Описание </w:t>
      </w:r>
      <w:r>
        <w:rPr>
          <w:rFonts w:ascii="Arial" w:hAnsi="Arial"/>
          <w:b w:val="1"/>
          <w:sz w:val="24"/>
        </w:rPr>
        <w:t>работы подсистемы «Обслуживание клиентов»</w:t>
      </w:r>
    </w:p>
    <w:p w14:paraId="36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37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3.1. В подсистему входят следующие объекты:</w:t>
      </w:r>
    </w:p>
    <w:p w14:paraId="38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39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Справочники:</w:t>
      </w:r>
    </w:p>
    <w:p w14:paraId="3A000000">
      <w:pPr>
        <w:pStyle w:val="Style_1"/>
        <w:numPr>
          <w:numId w:val="6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Договоры контрагентов;</w:t>
      </w:r>
    </w:p>
    <w:p w14:paraId="3B000000">
      <w:pPr>
        <w:pStyle w:val="Style_1"/>
        <w:numPr>
          <w:numId w:val="6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Уведомления;</w:t>
      </w:r>
    </w:p>
    <w:p w14:paraId="3C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3D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Документы:</w:t>
      </w:r>
    </w:p>
    <w:p w14:paraId="3E000000">
      <w:pPr>
        <w:pStyle w:val="Style_1"/>
        <w:numPr>
          <w:numId w:val="7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Реализация товаров и услуг;</w:t>
      </w:r>
    </w:p>
    <w:p w14:paraId="3F000000">
      <w:pPr>
        <w:pStyle w:val="Style_1"/>
        <w:numPr>
          <w:numId w:val="7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Обслуживание клиента;</w:t>
      </w:r>
    </w:p>
    <w:p w14:paraId="40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4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Отчеты:</w:t>
      </w:r>
    </w:p>
    <w:p w14:paraId="42000000">
      <w:pPr>
        <w:pStyle w:val="Style_1"/>
        <w:numPr>
          <w:numId w:val="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Анализ выставленных актов;</w:t>
      </w:r>
    </w:p>
    <w:p w14:paraId="43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44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Обработки:</w:t>
      </w:r>
    </w:p>
    <w:p w14:paraId="45000000">
      <w:pPr>
        <w:pStyle w:val="Style_1"/>
        <w:numPr>
          <w:numId w:val="9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Массовое создание актов;</w:t>
      </w:r>
    </w:p>
    <w:p w14:paraId="46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47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3.2. Справочник договоры контрагентов позволяет пользователю заводить договор контрагентов со следующими данными:</w:t>
      </w:r>
    </w:p>
    <w:p w14:paraId="48000000">
      <w:pPr>
        <w:pStyle w:val="Style_1"/>
        <w:numPr>
          <w:numId w:val="1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Организация;</w:t>
      </w:r>
    </w:p>
    <w:p w14:paraId="49000000">
      <w:pPr>
        <w:pStyle w:val="Style_1"/>
        <w:numPr>
          <w:numId w:val="1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Вид договора (с выбором – абонентская плата, поставщик, покупатель)</w:t>
      </w:r>
    </w:p>
    <w:p w14:paraId="4A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Если вид договора – абонентская плата, то пользователь модет ввести также следующие данные:</w:t>
      </w:r>
    </w:p>
    <w:p w14:paraId="4B000000">
      <w:pPr>
        <w:pStyle w:val="Style_1"/>
        <w:numPr>
          <w:numId w:val="1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начала договора;</w:t>
      </w:r>
    </w:p>
    <w:p w14:paraId="4C000000">
      <w:pPr>
        <w:pStyle w:val="Style_1"/>
        <w:numPr>
          <w:numId w:val="1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окончания договора;</w:t>
      </w:r>
    </w:p>
    <w:p w14:paraId="4D000000">
      <w:pPr>
        <w:pStyle w:val="Style_1"/>
        <w:numPr>
          <w:numId w:val="1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Часовая ставка</w:t>
      </w:r>
    </w:p>
    <w:p w14:paraId="4E000000">
      <w:pPr>
        <w:pStyle w:val="Style_1"/>
        <w:numPr>
          <w:numId w:val="1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Сумма абонентской платы</w:t>
      </w:r>
    </w:p>
    <w:p w14:paraId="4F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4907280" cy="3230880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490728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5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3.3. Справочник уведомления позволяет осуществлять уведомления специалистов о созданных заявках на обслуживание клиентов.</w:t>
      </w:r>
    </w:p>
    <w:p w14:paraId="52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53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3.4. Документ «Обслуживание клиента»  позволяет пользователю создавать отчетный документ о заявке на обслуживание клиента специалистом.</w:t>
      </w:r>
    </w:p>
    <w:p w14:paraId="54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В документе пользователь вводит следующие данные:</w:t>
      </w:r>
    </w:p>
    <w:p w14:paraId="55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документа;</w:t>
      </w:r>
    </w:p>
    <w:p w14:paraId="56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Клиент;</w:t>
      </w:r>
    </w:p>
    <w:p w14:paraId="57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Договор;</w:t>
      </w:r>
    </w:p>
    <w:p w14:paraId="58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Ответственный специалист за оказание услуг;</w:t>
      </w:r>
    </w:p>
    <w:p w14:paraId="59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проведения работ;</w:t>
      </w:r>
    </w:p>
    <w:p w14:paraId="5A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Время начала работ;</w:t>
      </w:r>
    </w:p>
    <w:p w14:paraId="5B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Время окончания работ;</w:t>
      </w:r>
    </w:p>
    <w:p w14:paraId="5C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Описание проблемы;</w:t>
      </w:r>
    </w:p>
    <w:p w14:paraId="5D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Комментарий;</w:t>
      </w:r>
    </w:p>
    <w:p w14:paraId="5E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Табличная часть «Товары» с указанием номенклатуры, количества, стоимости и суммы за поставленные клиенту товары;</w:t>
      </w:r>
    </w:p>
    <w:p w14:paraId="5F000000">
      <w:pPr>
        <w:pStyle w:val="Style_1"/>
        <w:numPr>
          <w:numId w:val="1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Табличная часть «Услуги» с указанием описания работ, количества фактически потраченных часов и количества часов к оплате.</w:t>
      </w:r>
    </w:p>
    <w:p w14:paraId="60000000">
      <w:pPr>
        <w:pStyle w:val="Style_1"/>
        <w:spacing w:line="276" w:lineRule="auto"/>
        <w:ind w:firstLine="0" w:left="0"/>
        <w:jc w:val="center"/>
        <w:rPr>
          <w:rFonts w:ascii="Arial" w:hAnsi="Arial"/>
          <w:sz w:val="24"/>
        </w:rPr>
      </w:pPr>
      <w:r>
        <w:drawing>
          <wp:inline>
            <wp:extent cx="6743700" cy="3619500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7437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62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3.5. Документ Реализация товаров и услуг  позволяет пользователю создавать отчетный документ об оказании услуг специалистом клиенту.</w:t>
      </w:r>
    </w:p>
    <w:p w14:paraId="63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В документе пользователь вводит следующие данные:</w:t>
      </w:r>
    </w:p>
    <w:p w14:paraId="64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документа;</w:t>
      </w:r>
    </w:p>
    <w:p w14:paraId="65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Контрагент;</w:t>
      </w:r>
    </w:p>
    <w:p w14:paraId="66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Организация;</w:t>
      </w:r>
    </w:p>
    <w:p w14:paraId="67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Договор;</w:t>
      </w:r>
    </w:p>
    <w:p w14:paraId="68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Табличная часть «Товары» с указанием номенклатуры, количества, стоимости и суммы за поставленные клиенту товары;</w:t>
      </w:r>
    </w:p>
    <w:p w14:paraId="69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Табличная часть «Услуги» с указанием вида услуги, количества часов и стоимости услуг;</w:t>
      </w:r>
    </w:p>
    <w:p w14:paraId="6A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Может быть указано основание – заказ покупателя;</w:t>
      </w:r>
    </w:p>
    <w:p w14:paraId="6B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Ответственный специалист за оказание услуг;</w:t>
      </w:r>
    </w:p>
    <w:p w14:paraId="6C000000">
      <w:pPr>
        <w:pStyle w:val="Style_1"/>
        <w:numPr>
          <w:numId w:val="1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Комментарий.</w:t>
      </w:r>
    </w:p>
    <w:p w14:paraId="6D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6E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6264372" cy="1104904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264372" cy="11049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</w:p>
    <w:p w14:paraId="70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6492240" cy="2575559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492240" cy="25755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</w:p>
    <w:p w14:paraId="72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  <w:r>
        <w:drawing>
          <wp:inline>
            <wp:extent cx="6264372" cy="2469838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264372" cy="24698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000000">
      <w:pPr>
        <w:pStyle w:val="Style_1"/>
        <w:spacing w:line="276" w:lineRule="auto"/>
        <w:ind/>
        <w:jc w:val="center"/>
        <w:rPr>
          <w:rFonts w:ascii="Arial" w:hAnsi="Arial"/>
          <w:sz w:val="24"/>
        </w:rPr>
      </w:pPr>
    </w:p>
    <w:p w14:paraId="74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75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3.6. Описание отчетов см. в разделе 4 настоящего Руководства.</w:t>
      </w:r>
    </w:p>
    <w:p w14:paraId="76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77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78000000">
      <w:pPr>
        <w:pStyle w:val="Style_1"/>
        <w:spacing w:line="276" w:lineRule="auto"/>
        <w:ind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 xml:space="preserve">Раздел 4. Описание </w:t>
      </w:r>
      <w:r>
        <w:rPr>
          <w:rFonts w:ascii="Arial" w:hAnsi="Arial"/>
          <w:b w:val="1"/>
          <w:sz w:val="24"/>
        </w:rPr>
        <w:t>работы подсистемы «Расчет зарплаты»</w:t>
      </w:r>
    </w:p>
    <w:p w14:paraId="79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7A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4.1. В подсистему входят следующие объекты:</w:t>
      </w:r>
    </w:p>
    <w:p w14:paraId="7B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7C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Справочники:</w:t>
      </w:r>
    </w:p>
    <w:p w14:paraId="7D000000">
      <w:pPr>
        <w:pStyle w:val="Style_1"/>
        <w:numPr>
          <w:numId w:val="13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Графики работы</w:t>
      </w:r>
    </w:p>
    <w:p w14:paraId="7E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7F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Документы:</w:t>
      </w:r>
    </w:p>
    <w:p w14:paraId="80000000">
      <w:pPr>
        <w:pStyle w:val="Style_1"/>
        <w:numPr>
          <w:numId w:val="14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Начисление заработной платы</w:t>
      </w:r>
    </w:p>
    <w:p w14:paraId="81000000">
      <w:pPr>
        <w:pStyle w:val="Style_1"/>
        <w:numPr>
          <w:numId w:val="14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Начисление фиксированных премий</w:t>
      </w:r>
    </w:p>
    <w:p w14:paraId="82000000">
      <w:pPr>
        <w:pStyle w:val="Style_1"/>
        <w:numPr>
          <w:numId w:val="14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Выплата зарплаты</w:t>
      </w:r>
    </w:p>
    <w:p w14:paraId="83000000">
      <w:pPr>
        <w:pStyle w:val="Style_1"/>
        <w:numPr>
          <w:numId w:val="14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График отпусков</w:t>
      </w:r>
    </w:p>
    <w:p w14:paraId="84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85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Отчеты:</w:t>
      </w:r>
    </w:p>
    <w:p w14:paraId="86000000">
      <w:pPr>
        <w:pStyle w:val="Style_1"/>
        <w:numPr>
          <w:numId w:val="1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Выработка специалистов</w:t>
      </w:r>
    </w:p>
    <w:p w14:paraId="87000000">
      <w:pPr>
        <w:pStyle w:val="Style_1"/>
        <w:numPr>
          <w:numId w:val="1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Расчеты с сотрудниками</w:t>
      </w:r>
    </w:p>
    <w:p w14:paraId="88000000">
      <w:pPr>
        <w:pStyle w:val="Style_1"/>
        <w:numPr>
          <w:numId w:val="15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Расход запланированных отпусков</w:t>
      </w:r>
    </w:p>
    <w:p w14:paraId="89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8A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Обработки:</w:t>
      </w:r>
    </w:p>
    <w:p w14:paraId="8B000000">
      <w:pPr>
        <w:pStyle w:val="Style_1"/>
        <w:numPr>
          <w:numId w:val="16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Заполнение отпусков</w:t>
      </w:r>
    </w:p>
    <w:p w14:paraId="8C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8D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Регистры сведений:</w:t>
      </w:r>
    </w:p>
    <w:p w14:paraId="8E000000">
      <w:pPr>
        <w:pStyle w:val="Style_1"/>
        <w:numPr>
          <w:numId w:val="17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Условия оплаты сотрудников</w:t>
      </w:r>
    </w:p>
    <w:p w14:paraId="8F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90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4.2. Справочник Графики работы позволяет создать варианты графиков работы сотрудников – Пятидневка, Шестидневка и т.д.</w:t>
      </w:r>
    </w:p>
    <w:p w14:paraId="9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92000000">
      <w:pPr>
        <w:pStyle w:val="Style_1"/>
        <w:spacing w:line="276" w:lineRule="auto"/>
        <w:ind w:firstLine="567" w:left="0"/>
        <w:jc w:val="center"/>
        <w:rPr>
          <w:rFonts w:ascii="Arial" w:hAnsi="Arial"/>
          <w:sz w:val="24"/>
        </w:rPr>
      </w:pPr>
      <w:r>
        <w:drawing>
          <wp:inline>
            <wp:extent cx="6087327" cy="1933845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6087327" cy="19338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3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94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4.3. Документ </w:t>
      </w:r>
      <w:r>
        <w:rPr>
          <w:rFonts w:ascii="Arial" w:hAnsi="Arial"/>
          <w:sz w:val="24"/>
        </w:rPr>
        <w:t>Начисление заработной платы служит для осуществления начислений сотрудникам за выбранный период в соответствии количеству отработанных дней, графику работ и виду начислений (оклад или отпуск). В документе пользователь вводит следующие данные:</w:t>
      </w:r>
    </w:p>
    <w:p w14:paraId="95000000">
      <w:pPr>
        <w:pStyle w:val="Style_1"/>
        <w:numPr>
          <w:numId w:val="1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начисления;</w:t>
      </w:r>
    </w:p>
    <w:p w14:paraId="96000000">
      <w:pPr>
        <w:pStyle w:val="Style_1"/>
        <w:numPr>
          <w:numId w:val="1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Сотрудник;</w:t>
      </w:r>
    </w:p>
    <w:p w14:paraId="97000000">
      <w:pPr>
        <w:pStyle w:val="Style_1"/>
        <w:numPr>
          <w:numId w:val="1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Вид расчета;</w:t>
      </w:r>
    </w:p>
    <w:p w14:paraId="98000000">
      <w:pPr>
        <w:pStyle w:val="Style_1"/>
        <w:numPr>
          <w:numId w:val="1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начала;</w:t>
      </w:r>
    </w:p>
    <w:p w14:paraId="99000000">
      <w:pPr>
        <w:pStyle w:val="Style_1"/>
        <w:numPr>
          <w:numId w:val="1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окончания;</w:t>
      </w:r>
    </w:p>
    <w:p w14:paraId="9A000000">
      <w:pPr>
        <w:pStyle w:val="Style_1"/>
        <w:numPr>
          <w:numId w:val="18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График работы;</w:t>
      </w:r>
    </w:p>
    <w:p w14:paraId="9B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При выборе вида начислений Отпуск указывать график работы необязательно.</w:t>
      </w:r>
    </w:p>
    <w:p w14:paraId="9C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9D000000">
      <w:pPr>
        <w:pStyle w:val="Style_1"/>
        <w:spacing w:line="276" w:lineRule="auto"/>
        <w:ind/>
        <w:rPr>
          <w:rFonts w:ascii="Arial" w:hAnsi="Arial"/>
          <w:sz w:val="24"/>
        </w:rPr>
      </w:pPr>
      <w:r>
        <w:drawing>
          <wp:inline>
            <wp:extent cx="5905500" cy="1828800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59055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E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9F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A0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4.4. Документ </w:t>
      </w:r>
      <w:r>
        <w:rPr>
          <w:rFonts w:ascii="Arial" w:hAnsi="Arial"/>
          <w:sz w:val="24"/>
        </w:rPr>
        <w:t xml:space="preserve">Начисление фиксированной премии служит для осуществления начислений сотрудникам премии за указанный период. В документ пользователь вводит следующие данные: </w:t>
      </w:r>
    </w:p>
    <w:p w14:paraId="A1000000">
      <w:pPr>
        <w:pStyle w:val="Style_1"/>
        <w:numPr>
          <w:numId w:val="19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начисления;</w:t>
      </w:r>
    </w:p>
    <w:p w14:paraId="A2000000">
      <w:pPr>
        <w:pStyle w:val="Style_1"/>
        <w:numPr>
          <w:numId w:val="19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Сотрудник;</w:t>
      </w:r>
    </w:p>
    <w:p w14:paraId="A3000000">
      <w:pPr>
        <w:pStyle w:val="Style_1"/>
        <w:numPr>
          <w:numId w:val="19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Размер премии;</w:t>
      </w:r>
    </w:p>
    <w:p w14:paraId="A4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A5000000">
      <w:pPr>
        <w:pStyle w:val="Style_1"/>
        <w:spacing w:line="276" w:lineRule="auto"/>
        <w:ind/>
        <w:rPr>
          <w:rFonts w:ascii="Arial" w:hAnsi="Arial"/>
          <w:sz w:val="24"/>
        </w:rPr>
      </w:pPr>
      <w:r>
        <w:drawing>
          <wp:inline>
            <wp:extent cx="6264372" cy="1940960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6264372" cy="19409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6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A7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4.5. Документ Выплата зарплаты, соответственно, реализует расчет всех начислений указанным в табличной части сотрудникам на указанный период. Для автоматического заполнения табличной части достаточно нажать кнопку Заполнить, и будет выполнено заполнение таблицы.</w:t>
      </w:r>
    </w:p>
    <w:p w14:paraId="A8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A9000000">
      <w:pPr>
        <w:pStyle w:val="Style_1"/>
        <w:spacing w:line="276" w:lineRule="auto"/>
        <w:ind/>
        <w:rPr>
          <w:rFonts w:ascii="Arial" w:hAnsi="Arial"/>
          <w:sz w:val="24"/>
        </w:rPr>
      </w:pPr>
      <w:r>
        <w:drawing>
          <wp:inline>
            <wp:extent cx="6065520" cy="2590800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60655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A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AB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4.6. В документе график отпусков за выбранный год пользователь осуществляет планирование отпусков для указанных сотрудников. В</w:t>
      </w:r>
      <w:r>
        <w:rPr>
          <w:rFonts w:ascii="Arial" w:hAnsi="Arial"/>
          <w:sz w:val="24"/>
        </w:rPr>
        <w:t xml:space="preserve"> документ пользователь вводит следующие данные: </w:t>
      </w:r>
    </w:p>
    <w:p w14:paraId="AC000000">
      <w:pPr>
        <w:pStyle w:val="Style_1"/>
        <w:numPr>
          <w:numId w:val="2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;</w:t>
      </w:r>
    </w:p>
    <w:p w14:paraId="AD000000">
      <w:pPr>
        <w:pStyle w:val="Style_1"/>
        <w:numPr>
          <w:numId w:val="2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Год;</w:t>
      </w:r>
    </w:p>
    <w:p w14:paraId="AE000000">
      <w:pPr>
        <w:pStyle w:val="Style_1"/>
        <w:numPr>
          <w:numId w:val="2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Сотрудник;</w:t>
      </w:r>
    </w:p>
    <w:p w14:paraId="AF000000">
      <w:pPr>
        <w:pStyle w:val="Style_1"/>
        <w:numPr>
          <w:numId w:val="2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начала отпуска;</w:t>
      </w:r>
    </w:p>
    <w:p w14:paraId="B0000000">
      <w:pPr>
        <w:pStyle w:val="Style_1"/>
        <w:numPr>
          <w:numId w:val="2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 окончания отпуска;</w:t>
      </w:r>
    </w:p>
    <w:p w14:paraId="B1000000">
      <w:pPr>
        <w:pStyle w:val="Style_1"/>
        <w:numPr>
          <w:numId w:val="20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Количество календарных дней рассчитывается автоматически;</w:t>
      </w:r>
    </w:p>
    <w:p w14:paraId="B2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B3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B4000000">
      <w:pPr>
        <w:pStyle w:val="Style_1"/>
        <w:spacing w:line="276" w:lineRule="auto"/>
        <w:ind w:firstLine="0" w:left="0"/>
        <w:jc w:val="center"/>
        <w:rPr>
          <w:rFonts w:ascii="Arial" w:hAnsi="Arial"/>
          <w:sz w:val="24"/>
        </w:rPr>
      </w:pPr>
      <w:r>
        <w:drawing>
          <wp:inline>
            <wp:extent cx="6264372" cy="1786977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6264372" cy="17869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5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B6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Также в документе реализована возможность визуализации подготовленного графика в виде диаграммы Ганта. Для перехода достаточно нажать кнопку Открыть диаграмму Ганта и будет открыта форма с графическим отображением графика.</w:t>
      </w:r>
    </w:p>
    <w:p w14:paraId="B7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B8000000">
      <w:pPr>
        <w:pStyle w:val="Style_1"/>
        <w:spacing w:line="276" w:lineRule="auto"/>
        <w:ind w:firstLine="0" w:left="0"/>
        <w:jc w:val="center"/>
        <w:rPr>
          <w:rFonts w:ascii="Arial" w:hAnsi="Arial"/>
          <w:sz w:val="24"/>
        </w:rPr>
      </w:pPr>
      <w:r>
        <w:drawing>
          <wp:inline>
            <wp:extent cx="6264372" cy="1062635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6264372" cy="10626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9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BA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4.7. Описание отчетов см. в разделе 4 настоящего Руководства.</w:t>
      </w:r>
    </w:p>
    <w:p w14:paraId="BB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BC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4.8. Обработка заполнение графика позволяет в автоматическом режиме заполнить данные о рабочих и выходных календарных днях в соответствии с заданными пользователем параметрами. В обработку необходимо заносить следующие параметры:</w:t>
      </w:r>
    </w:p>
    <w:p w14:paraId="BD000000">
      <w:pPr>
        <w:pStyle w:val="Style_1"/>
        <w:numPr>
          <w:numId w:val="2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Период;</w:t>
      </w:r>
    </w:p>
    <w:p w14:paraId="BE000000">
      <w:pPr>
        <w:pStyle w:val="Style_1"/>
        <w:numPr>
          <w:numId w:val="2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График работы;</w:t>
      </w:r>
    </w:p>
    <w:p w14:paraId="BF000000">
      <w:pPr>
        <w:pStyle w:val="Style_1"/>
        <w:numPr>
          <w:numId w:val="21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Выходные дни. В качестве указания дней требуется указывать номер дня недели в виде числа (1 – понедельник, 2 – вторник, и т.д.);</w:t>
      </w:r>
    </w:p>
    <w:p w14:paraId="C0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После заполнения всех параметров необходимо нажать кнопку заполнить, и данные будут записаны.</w:t>
      </w:r>
    </w:p>
    <w:p w14:paraId="C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C2000000">
      <w:pPr>
        <w:pStyle w:val="Style_1"/>
        <w:spacing w:line="276" w:lineRule="auto"/>
        <w:ind w:firstLine="0" w:left="0"/>
        <w:jc w:val="center"/>
        <w:rPr>
          <w:rFonts w:ascii="Arial" w:hAnsi="Arial"/>
          <w:sz w:val="24"/>
        </w:rPr>
      </w:pPr>
      <w:r>
        <w:drawing>
          <wp:inline>
            <wp:extent cx="5227320" cy="2232660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5227320" cy="22326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3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C4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4.9. В регистр сведений Условия оплаты сотрудников пользователь заносит информацию об окладах, категории сотрудников и наличии процента премии за выполненную работу в случае, если категория сотрудника – специалисты. </w:t>
      </w:r>
      <w:r>
        <w:rPr>
          <w:rFonts w:ascii="Arial" w:hAnsi="Arial"/>
          <w:sz w:val="24"/>
        </w:rPr>
        <w:t>В</w:t>
      </w:r>
      <w:r>
        <w:rPr>
          <w:rFonts w:ascii="Arial" w:hAnsi="Arial"/>
          <w:sz w:val="24"/>
        </w:rPr>
        <w:t xml:space="preserve"> регистр пользователь вводит следующие данные: </w:t>
      </w:r>
    </w:p>
    <w:p w14:paraId="C5000000">
      <w:pPr>
        <w:pStyle w:val="Style_1"/>
        <w:numPr>
          <w:numId w:val="2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Дата, с которой назначаются условия;</w:t>
      </w:r>
    </w:p>
    <w:p w14:paraId="C6000000">
      <w:pPr>
        <w:pStyle w:val="Style_1"/>
        <w:numPr>
          <w:numId w:val="2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Сотрудник;</w:t>
      </w:r>
    </w:p>
    <w:p w14:paraId="C7000000">
      <w:pPr>
        <w:pStyle w:val="Style_1"/>
        <w:numPr>
          <w:numId w:val="2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Категория сотрудника (административный персонал или специалист);</w:t>
      </w:r>
    </w:p>
    <w:p w14:paraId="C8000000">
      <w:pPr>
        <w:pStyle w:val="Style_1"/>
        <w:numPr>
          <w:numId w:val="2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Размер оклада;</w:t>
      </w:r>
    </w:p>
    <w:p w14:paraId="C9000000">
      <w:pPr>
        <w:pStyle w:val="Style_1"/>
        <w:numPr>
          <w:numId w:val="22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Размер процентап премии;</w:t>
      </w:r>
    </w:p>
    <w:p w14:paraId="CA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CB000000">
      <w:pPr>
        <w:pStyle w:val="Style_1"/>
        <w:spacing w:line="276" w:lineRule="auto"/>
        <w:ind w:firstLine="0" w:left="0"/>
        <w:rPr>
          <w:rFonts w:ascii="Arial" w:hAnsi="Arial"/>
          <w:sz w:val="24"/>
        </w:rPr>
      </w:pPr>
      <w:r>
        <w:drawing>
          <wp:inline>
            <wp:extent cx="6264372" cy="2279755"/>
            <wp:effectExtent b="0" l="0" r="0" t="0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6264372" cy="22797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CD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CE000000">
      <w:pPr>
        <w:pStyle w:val="Style_1"/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b w:val="1"/>
          <w:sz w:val="24"/>
        </w:rPr>
        <w:t xml:space="preserve">Раздел 5. Описание </w:t>
      </w:r>
      <w:r>
        <w:rPr>
          <w:rFonts w:ascii="Arial" w:hAnsi="Arial"/>
          <w:b w:val="1"/>
          <w:sz w:val="24"/>
        </w:rPr>
        <w:t>Отчетов</w:t>
      </w:r>
    </w:p>
    <w:p w14:paraId="CF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D0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5.1. В раздел входят следующие отчеты:</w:t>
      </w:r>
    </w:p>
    <w:p w14:paraId="D1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D2000000">
      <w:pPr>
        <w:pStyle w:val="Style_1"/>
        <w:numPr>
          <w:numId w:val="23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Выработка специалистов</w:t>
      </w:r>
    </w:p>
    <w:p w14:paraId="D3000000">
      <w:pPr>
        <w:pStyle w:val="Style_1"/>
        <w:numPr>
          <w:numId w:val="23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Расчеты с сотрудниками</w:t>
      </w:r>
    </w:p>
    <w:p w14:paraId="D4000000">
      <w:pPr>
        <w:pStyle w:val="Style_1"/>
        <w:numPr>
          <w:numId w:val="23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Расход запланированных отпусков</w:t>
      </w:r>
    </w:p>
    <w:p w14:paraId="D5000000">
      <w:pPr>
        <w:pStyle w:val="Style_1"/>
        <w:numPr>
          <w:numId w:val="23"/>
        </w:numPr>
        <w:spacing w:line="276" w:lineRule="auto"/>
        <w:ind/>
        <w:rPr>
          <w:rFonts w:ascii="Arial" w:hAnsi="Arial"/>
          <w:sz w:val="24"/>
        </w:rPr>
      </w:pPr>
      <w:r>
        <w:rPr>
          <w:rFonts w:ascii="Arial" w:hAnsi="Arial"/>
          <w:sz w:val="24"/>
        </w:rPr>
        <w:t>Анализ выставленных актов</w:t>
      </w:r>
    </w:p>
    <w:p w14:paraId="D6000000">
      <w:pPr>
        <w:pStyle w:val="Style_1"/>
        <w:spacing w:line="276" w:lineRule="auto"/>
        <w:ind/>
        <w:rPr>
          <w:rFonts w:ascii="Arial" w:hAnsi="Arial"/>
          <w:sz w:val="24"/>
        </w:rPr>
      </w:pPr>
    </w:p>
    <w:p w14:paraId="D7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5.2. В отчет «Выработка специалистов» при выборе параметров «Специалист» и «Период» выводится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сколько часов за выбранный период отработал выбранный специалист и какая сумма ему за этот период начислена в виде процента от выплат клиента.</w:t>
      </w:r>
    </w:p>
    <w:p w14:paraId="D8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D9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5.3. В отчет «</w:t>
      </w:r>
      <w:r>
        <w:rPr>
          <w:rFonts w:ascii="Arial" w:hAnsi="Arial"/>
          <w:sz w:val="24"/>
        </w:rPr>
        <w:t>Расчеты с сотрудниками</w:t>
      </w:r>
      <w:r>
        <w:rPr>
          <w:rFonts w:ascii="Arial" w:hAnsi="Arial"/>
          <w:sz w:val="24"/>
        </w:rPr>
        <w:t xml:space="preserve">» </w:t>
      </w:r>
      <w:r>
        <w:rPr>
          <w:rFonts w:ascii="Arial" w:hAnsi="Arial"/>
          <w:sz w:val="24"/>
        </w:rPr>
        <w:t>представлена информация о том, какие суммы начислены и выплачены каждому сотруднику за указанный период. Также в отчете следует указать задолженность на начало и на конец этого периода.</w:t>
      </w:r>
    </w:p>
    <w:p w14:paraId="DA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DB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5.4. В отчет «</w:t>
      </w:r>
      <w:r>
        <w:rPr>
          <w:rFonts w:ascii="Arial" w:hAnsi="Arial"/>
          <w:sz w:val="24"/>
        </w:rPr>
        <w:t>Расход запланированных отпусков</w:t>
      </w:r>
      <w:r>
        <w:rPr>
          <w:rFonts w:ascii="Arial" w:hAnsi="Arial"/>
          <w:sz w:val="24"/>
        </w:rPr>
        <w:t>»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строится отчёт за конкретный год. Отчёт должен показывает, сколько дней отпуска запланировано у сотрудника в выбранный период, и сколько дней он фактически был в отпуске.</w:t>
      </w:r>
    </w:p>
    <w:p w14:paraId="DC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DD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  <w:r>
        <w:rPr>
          <w:rFonts w:ascii="Arial" w:hAnsi="Arial"/>
          <w:sz w:val="24"/>
        </w:rPr>
        <w:t>5.5. Отчет «</w:t>
      </w:r>
      <w:r>
        <w:rPr>
          <w:rFonts w:ascii="Arial" w:hAnsi="Arial"/>
          <w:sz w:val="24"/>
        </w:rPr>
        <w:t>Анализ выставленных актов</w:t>
      </w:r>
      <w:r>
        <w:rPr>
          <w:rFonts w:ascii="Arial" w:hAnsi="Arial"/>
          <w:sz w:val="24"/>
        </w:rPr>
        <w:t>» содержит в себе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информацию о клиентах, договорах и суммах, которые должны быть выставлены клиентам на основе данных из документов Обслуживание. А также сумму, которая была уже выставлена по работам специалистов за указанный период.</w:t>
      </w:r>
    </w:p>
    <w:p w14:paraId="DE000000">
      <w:pPr>
        <w:pStyle w:val="Style_1"/>
        <w:spacing w:line="276" w:lineRule="auto"/>
        <w:ind w:firstLine="567" w:left="0"/>
        <w:rPr>
          <w:rFonts w:ascii="Arial" w:hAnsi="Arial"/>
          <w:sz w:val="24"/>
        </w:rPr>
      </w:pPr>
    </w:p>
    <w:p w14:paraId="DF000000">
      <w:pPr>
        <w:pStyle w:val="Style_1"/>
        <w:spacing w:line="276" w:lineRule="auto"/>
        <w:ind w:firstLine="567" w:left="0"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Раздел 6. Автоматизированное тестирование</w:t>
      </w:r>
    </w:p>
    <w:p w14:paraId="E0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</w:p>
    <w:p w14:paraId="E1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>6.1. В раздел входят следующие автотесты:</w:t>
      </w:r>
    </w:p>
    <w:p w14:paraId="E2000000">
      <w:pPr>
        <w:pStyle w:val="Style_1"/>
        <w:numPr>
          <w:numId w:val="24"/>
        </w:numPr>
        <w:spacing w:line="276" w:lineRule="auto"/>
        <w:ind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>Планирование нескольких обслуживаний на специалистов от имени менеджера;</w:t>
      </w:r>
    </w:p>
    <w:p w14:paraId="E3000000">
      <w:pPr>
        <w:pStyle w:val="Style_1"/>
        <w:numPr>
          <w:numId w:val="24"/>
        </w:numPr>
        <w:spacing w:line="276" w:lineRule="auto"/>
        <w:ind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>Массовое создание актов от имени бухгалтера;</w:t>
      </w:r>
    </w:p>
    <w:p w14:paraId="E4000000">
      <w:pPr>
        <w:pStyle w:val="Style_1"/>
        <w:numPr>
          <w:numId w:val="24"/>
        </w:numPr>
        <w:spacing w:line="276" w:lineRule="auto"/>
        <w:ind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>Закрытие обслуживаний от имени специалиста;</w:t>
      </w:r>
    </w:p>
    <w:p w14:paraId="E5000000">
      <w:pPr>
        <w:pStyle w:val="Style_1"/>
        <w:numPr>
          <w:numId w:val="24"/>
        </w:numPr>
        <w:spacing w:line="276" w:lineRule="auto"/>
        <w:ind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>Формирование отчета Анализ выставленных актов, сравнение с эталоном</w:t>
      </w:r>
    </w:p>
    <w:p w14:paraId="E6000000">
      <w:pPr>
        <w:pStyle w:val="Style_1"/>
        <w:spacing w:line="276" w:lineRule="auto"/>
        <w:ind w:firstLine="0" w:left="0"/>
        <w:rPr>
          <w:rFonts w:ascii="Arial" w:hAnsi="Arial"/>
          <w:b w:val="0"/>
          <w:sz w:val="24"/>
        </w:rPr>
      </w:pPr>
    </w:p>
    <w:p w14:paraId="E7000000">
      <w:pPr>
        <w:pStyle w:val="Style_1"/>
        <w:spacing w:line="276" w:lineRule="auto"/>
        <w:ind w:firstLine="567" w:left="0"/>
        <w:rPr>
          <w:rFonts w:ascii="Arial" w:hAnsi="Arial"/>
          <w:b w:val="1"/>
          <w:sz w:val="24"/>
        </w:rPr>
      </w:pPr>
      <w:r>
        <w:rPr>
          <w:rFonts w:ascii="Arial" w:hAnsi="Arial"/>
          <w:b w:val="0"/>
          <w:sz w:val="24"/>
        </w:rPr>
        <w:t>6.2. Для запусков всех автотестов Администратору системы необходимо заполнить базу данных данными (поставляемая база .dt уже наполнена всем необходим для выполнения операций). Все файлы автотестов требуется запускать в режиме запуска Test-Manager под администратором в обработке</w:t>
      </w:r>
      <w:r>
        <w:rPr>
          <w:rFonts w:ascii="Arial" w:hAnsi="Arial"/>
          <w:b w:val="1"/>
          <w:sz w:val="24"/>
        </w:rPr>
        <w:t xml:space="preserve"> Vanessa Automation ver 1.2.041.37. </w:t>
      </w:r>
    </w:p>
    <w:p w14:paraId="E8000000">
      <w:pPr>
        <w:pStyle w:val="Style_1"/>
        <w:spacing w:line="276" w:lineRule="auto"/>
        <w:ind w:firstLine="0" w:left="0"/>
        <w:jc w:val="center"/>
        <w:rPr>
          <w:rFonts w:ascii="Arial" w:hAnsi="Arial"/>
          <w:b w:val="0"/>
          <w:sz w:val="24"/>
        </w:rPr>
      </w:pPr>
      <w:r>
        <w:drawing>
          <wp:inline>
            <wp:extent cx="5356860" cy="2766059"/>
            <wp:effectExtent b="0" l="0" r="0" t="0"/>
            <wp:docPr hidden="false" id="46" name="Picture 46"/>
            <a:graphic>
              <a:graphicData uri="http://schemas.openxmlformats.org/drawingml/2006/picture">
                <pic:pic>
                  <pic:nvPicPr>
                    <pic:cNvPr hidden="false" id="45" name="Picture 45"/>
                    <pic:cNvPicPr preferRelativeResize="true"/>
                  </pic:nvPicPr>
                  <pic:blipFill>
                    <a:blip r:embed="rId23"/>
                    <a:stretch/>
                  </pic:blipFill>
                  <pic:spPr>
                    <a:xfrm flipH="false" flipV="false" rot="0">
                      <a:ext cx="5356860" cy="27660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9000000">
      <w:pPr>
        <w:pStyle w:val="Style_1"/>
        <w:spacing w:line="276" w:lineRule="auto"/>
        <w:ind w:firstLine="0" w:left="0"/>
        <w:jc w:val="center"/>
        <w:rPr>
          <w:rFonts w:ascii="Arial" w:hAnsi="Arial"/>
          <w:b w:val="0"/>
          <w:sz w:val="24"/>
        </w:rPr>
      </w:pPr>
    </w:p>
    <w:p w14:paraId="EA000000">
      <w:pPr>
        <w:pStyle w:val="Style_1"/>
        <w:spacing w:line="276" w:lineRule="auto"/>
        <w:ind w:firstLine="567" w:left="0"/>
        <w:jc w:val="both"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>Во вкладке «Клиенты тестирования» необходимо добавить клиентов тестирования как указано на изображении ниже:</w:t>
      </w:r>
    </w:p>
    <w:p w14:paraId="EB000000">
      <w:pPr>
        <w:pStyle w:val="Style_1"/>
        <w:spacing w:line="276" w:lineRule="auto"/>
        <w:ind w:firstLine="0" w:left="0"/>
        <w:jc w:val="center"/>
        <w:rPr>
          <w:rFonts w:ascii="Arial" w:hAnsi="Arial"/>
          <w:b w:val="0"/>
          <w:sz w:val="24"/>
        </w:rPr>
      </w:pPr>
      <w:r>
        <w:drawing>
          <wp:inline>
            <wp:extent cx="6264274" cy="1988087"/>
            <wp:docPr hidden="false" id="48" name="Picture 48"/>
            <a:graphic>
              <a:graphicData uri="http://schemas.openxmlformats.org/drawingml/2006/picture">
                <pic:pic>
                  <pic:nvPicPr>
                    <pic:cNvPr hidden="false" id="47" name="Picture 47"/>
                    <pic:cNvPicPr preferRelativeResize="true"/>
                  </pic:nvPicPr>
                  <pic:blipFill>
                    <a:blip r:embed="rId24"/>
                    <a:stretch/>
                  </pic:blipFill>
                  <pic:spPr>
                    <a:xfrm flipH="false" flipV="false" rot="0">
                      <a:ext cx="6264274" cy="19880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C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</w:p>
    <w:p w14:paraId="ED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 xml:space="preserve">6.3. Для запуска автотеста по созданию нескольких обслуживаний необходимо открыть файл </w:t>
      </w:r>
      <w:r>
        <w:rPr>
          <w:rFonts w:ascii="Arial" w:hAnsi="Arial"/>
          <w:b w:val="0"/>
          <w:sz w:val="24"/>
          <w:shd w:fill="FFD821" w:val="clear"/>
        </w:rPr>
        <w:t>ТестированиеСозданиеОбслуживанияКлиентовСПараметрами.feature</w:t>
      </w:r>
      <w:r>
        <w:rPr>
          <w:rFonts w:ascii="Arial" w:hAnsi="Arial"/>
          <w:b w:val="0"/>
          <w:sz w:val="24"/>
        </w:rPr>
        <w:t>.</w:t>
      </w:r>
    </w:p>
    <w:p w14:paraId="EE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 xml:space="preserve">6.4. Для запуска автотеста по массовому созданию актов необходимо открыть файл </w:t>
      </w:r>
      <w:r>
        <w:rPr>
          <w:rFonts w:ascii="Arial" w:hAnsi="Arial"/>
          <w:b w:val="0"/>
          <w:sz w:val="24"/>
          <w:shd w:fill="FFD821" w:val="clear"/>
        </w:rPr>
        <w:t>ТестированиеМассовоеСозданиеАктов.feature</w:t>
      </w:r>
      <w:r>
        <w:rPr>
          <w:rFonts w:ascii="Arial" w:hAnsi="Arial"/>
          <w:b w:val="0"/>
          <w:sz w:val="24"/>
        </w:rPr>
        <w:t xml:space="preserve">. </w:t>
      </w:r>
      <w:r>
        <w:rPr>
          <w:rFonts w:ascii="Arial" w:hAnsi="Arial"/>
          <w:b w:val="0"/>
          <w:sz w:val="24"/>
        </w:rPr>
        <w:t xml:space="preserve"> </w:t>
      </w:r>
    </w:p>
    <w:p w14:paraId="EF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 xml:space="preserve">6.5. Для запуска автотеста по закрытию обслуживаний необходимо открыть файл </w:t>
      </w:r>
      <w:r>
        <w:rPr>
          <w:rFonts w:ascii="Arial" w:hAnsi="Arial"/>
          <w:b w:val="0"/>
          <w:sz w:val="24"/>
          <w:shd w:fill="FFD821" w:val="clear"/>
        </w:rPr>
        <w:t>ТестированиеСозданиеРеализацииСПараметрами.feature</w:t>
      </w:r>
      <w:r>
        <w:rPr>
          <w:rFonts w:ascii="Arial" w:hAnsi="Arial"/>
          <w:b w:val="0"/>
          <w:sz w:val="24"/>
        </w:rPr>
        <w:t>.</w:t>
      </w:r>
      <w:r>
        <w:rPr>
          <w:rFonts w:ascii="Arial" w:hAnsi="Arial"/>
          <w:b w:val="0"/>
          <w:sz w:val="24"/>
        </w:rPr>
        <w:t xml:space="preserve"> Однако,</w:t>
      </w:r>
      <w:r>
        <w:t xml:space="preserve"> </w:t>
      </w:r>
      <w:r>
        <w:rPr>
          <w:rFonts w:ascii="Arial" w:hAnsi="Arial"/>
          <w:b w:val="0"/>
          <w:sz w:val="24"/>
        </w:rPr>
        <w:t>перед запуском данного пункта необходимо повторно выполнить пункт 6.3.</w:t>
      </w:r>
    </w:p>
    <w:p w14:paraId="F0000000">
      <w:pPr>
        <w:pStyle w:val="Style_1"/>
        <w:spacing w:line="276" w:lineRule="auto"/>
        <w:ind w:firstLine="567" w:left="0"/>
        <w:rPr>
          <w:rFonts w:ascii="Arial" w:hAnsi="Arial"/>
          <w:b w:val="0"/>
          <w:sz w:val="24"/>
        </w:rPr>
      </w:pPr>
      <w:r>
        <w:rPr>
          <w:rFonts w:ascii="Arial" w:hAnsi="Arial"/>
          <w:b w:val="0"/>
          <w:sz w:val="24"/>
        </w:rPr>
        <w:t xml:space="preserve">6.6. Для запуска автотеста по формированию отчета необходимо открыть файл </w:t>
      </w:r>
      <w:r>
        <w:rPr>
          <w:rFonts w:ascii="Arial" w:hAnsi="Arial"/>
          <w:sz w:val="24"/>
          <w:shd w:fill="FFD821" w:val="clear"/>
        </w:rPr>
        <w:t>ТестированиеФормированиеОтчета.feature</w:t>
      </w:r>
      <w:r>
        <w:rPr>
          <w:rFonts w:ascii="Arial" w:hAnsi="Arial"/>
          <w:b w:val="0"/>
          <w:sz w:val="24"/>
        </w:rPr>
        <w:t>.</w:t>
      </w:r>
    </w:p>
    <w:sectPr>
      <w:pgSz w:h="16838" w:orient="portrait" w:w="11906"/>
      <w:pgMar w:bottom="822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9" Target="webSettings.xml" Type="http://schemas.openxmlformats.org/officeDocument/2006/relationships/webSettings"/>
  <Relationship Id="rId28" Target="stylesWithEffects.xml" Type="http://schemas.microsoft.com/office/2007/relationships/stylesWithEffects"/>
  <Relationship Id="rId27" Target="styles.xml" Type="http://schemas.openxmlformats.org/officeDocument/2006/relationships/styles"/>
  <Relationship Id="rId23" Target="media/23.png" Type="http://schemas.openxmlformats.org/officeDocument/2006/relationships/image"/>
  <Relationship Id="rId22" Target="media/22.png" Type="http://schemas.openxmlformats.org/officeDocument/2006/relationships/image"/>
  <Relationship Id="rId25" Target="fontTable.xml" Type="http://schemas.openxmlformats.org/officeDocument/2006/relationships/fontTable"/>
  <Relationship Id="rId21" Target="media/21.png" Type="http://schemas.openxmlformats.org/officeDocument/2006/relationships/image"/>
  <Relationship Id="rId13" Target="media/13.png" Type="http://schemas.openxmlformats.org/officeDocument/2006/relationships/image"/>
  <Relationship Id="rId24" Target="media/24.png" Type="http://schemas.openxmlformats.org/officeDocument/2006/relationships/image"/>
  <Relationship Id="rId11" Target="media/11.png" Type="http://schemas.openxmlformats.org/officeDocument/2006/relationships/image"/>
  <Relationship Id="rId18" Target="media/18.png" Type="http://schemas.openxmlformats.org/officeDocument/2006/relationships/image"/>
  <Relationship Id="rId17" Target="media/17.png" Type="http://schemas.openxmlformats.org/officeDocument/2006/relationships/image"/>
  <Relationship Id="rId10" Target="media/10.png" Type="http://schemas.openxmlformats.org/officeDocument/2006/relationships/image"/>
  <Relationship Id="rId26" Target="settings.xml" Type="http://schemas.openxmlformats.org/officeDocument/2006/relationships/settings"/>
  <Relationship Id="rId15" Target="media/15.png" Type="http://schemas.openxmlformats.org/officeDocument/2006/relationships/image"/>
  <Relationship Id="rId9" Target="media/9.png" Type="http://schemas.openxmlformats.org/officeDocument/2006/relationships/image"/>
  <Relationship Id="rId31" Target="numbering.xml" Type="http://schemas.openxmlformats.org/officeDocument/2006/relationships/numbering"/>
  <Relationship Id="rId20" Target="media/20.png" Type="http://schemas.openxmlformats.org/officeDocument/2006/relationships/image"/>
  <Relationship Id="rId19" Target="media/19.png" Type="http://schemas.openxmlformats.org/officeDocument/2006/relationships/image"/>
  <Relationship Id="rId8" Target="media/8.png" Type="http://schemas.openxmlformats.org/officeDocument/2006/relationships/image"/>
  <Relationship Id="rId7" Target="media/7.png" Type="http://schemas.openxmlformats.org/officeDocument/2006/relationships/image"/>
  <Relationship Id="rId14" Target="media/14.png" Type="http://schemas.openxmlformats.org/officeDocument/2006/relationships/image"/>
  <Relationship Id="rId6" Target="media/6.png" Type="http://schemas.openxmlformats.org/officeDocument/2006/relationships/image"/>
  <Relationship Id="rId5" Target="media/5.png" Type="http://schemas.openxmlformats.org/officeDocument/2006/relationships/image"/>
  <Relationship Id="rId4" Target="media/4.png" Type="http://schemas.openxmlformats.org/officeDocument/2006/relationships/image"/>
  <Relationship Id="rId16" Target="media/16.png" Type="http://schemas.openxmlformats.org/officeDocument/2006/relationships/image"/>
  <Relationship Id="rId12" Target="media/12.png" Type="http://schemas.openxmlformats.org/officeDocument/2006/relationships/image"/>
  <Relationship Id="rId30" Target="theme/theme1.xml" Type="http://schemas.openxmlformats.org/officeDocument/2006/relationships/them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2025-02-06T12:55:19Z</dcterms:modified>
</cp:coreProperties>
</file>