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36"/>
        </w:rPr>
        <w:t>TECH OREON ANALYTICA</w:t>
        <w:br/>
      </w:r>
      <w:r>
        <w:rPr>
          <w:b/>
          <w:color w:val="102A43"/>
          <w:sz w:val="44"/>
        </w:rPr>
        <w:br/>
        <w:t>HIV Care and Treatment Services: CLM Feedback Analysis</w:t>
        <w:br/>
      </w:r>
      <w:r>
        <w:rPr>
          <w:i/>
          <w:color w:val="536976"/>
          <w:sz w:val="24"/>
        </w:rPr>
        <w:br/>
        <w:t>Editable stakeholder report</w:t>
        <w:br/>
      </w:r>
      <w:r>
        <w:rPr>
          <w:color w:val="0F8B8D"/>
          <w:sz w:val="22"/>
        </w:rPr>
        <w:br/>
        <w:t>Prepared by Tech Oreon Analytica</w:t>
      </w:r>
    </w:p>
    <w:p/>
    <w:p>
      <w:pPr>
        <w:jc w:val="center"/>
      </w:pPr>
      <w:r>
        <w:t>This report presents findings from patient and community feedback on HIV care and treatment services, with a focus on service experience, satisfaction, access barriers, and priorities for improvement.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The workbook contains 23,457 responses, dominated by CLM feedback and concentrated in Homa Bay, Kilifi, and Makueni. Overall experience is broadly positive, especially around staff attitude and reception, but a meaningful share of respondents still report access and service-delivery bottlenecks.</w:t>
      </w:r>
    </w:p>
    <w:p>
      <w:r>
        <w:t>The analysis is presented in a CLM-style format so that the evidence can be used in stakeholder meetings, quality-improvement discussions, and routine review of what patients say about HIV services.</w:t>
      </w:r>
    </w:p>
    <w:p>
      <w:pPr>
        <w:pStyle w:val="Heading1"/>
      </w:pPr>
      <w:r>
        <w:t>Key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02A43"/>
          </w:tcPr>
          <w:p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4320"/>
            <w:shd w:fill="102A43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responses</w:t>
            </w:r>
          </w:p>
        </w:tc>
        <w:tc>
          <w:tcPr>
            <w:tcW w:type="dxa" w:w="4320"/>
          </w:tcPr>
          <w:p>
            <w:r>
              <w:t>23,457</w:t>
            </w:r>
          </w:p>
        </w:tc>
      </w:tr>
      <w:tr>
        <w:tc>
          <w:tcPr>
            <w:tcW w:type="dxa" w:w="4320"/>
          </w:tcPr>
          <w:p>
            <w:r>
              <w:t>Satisfied or very satisfied</w:t>
            </w:r>
          </w:p>
        </w:tc>
        <w:tc>
          <w:tcPr>
            <w:tcW w:type="dxa" w:w="4320"/>
          </w:tcPr>
          <w:p>
            <w:r>
              <w:t>89.6%</w:t>
            </w:r>
          </w:p>
        </w:tc>
      </w:tr>
      <w:tr>
        <w:tc>
          <w:tcPr>
            <w:tcW w:type="dxa" w:w="4320"/>
          </w:tcPr>
          <w:p>
            <w:r>
              <w:t>Reported access challenges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Confidentiality respected</w:t>
            </w:r>
          </w:p>
        </w:tc>
        <w:tc>
          <w:tcPr>
            <w:tcW w:type="dxa" w:w="4320"/>
          </w:tcPr>
          <w:p>
            <w:r>
              <w:t>89.0%</w:t>
            </w:r>
          </w:p>
        </w:tc>
      </w:tr>
      <w:tr>
        <w:tc>
          <w:tcPr>
            <w:tcW w:type="dxa" w:w="4320"/>
          </w:tcPr>
          <w:p>
            <w:r>
              <w:t>Rights awareness</w:t>
            </w:r>
          </w:p>
        </w:tc>
        <w:tc>
          <w:tcPr>
            <w:tcW w:type="dxa" w:w="4320"/>
          </w:tcPr>
          <w:p>
            <w:r>
              <w:t>79.9%</w:t>
            </w:r>
          </w:p>
        </w:tc>
      </w:tr>
      <w:tr>
        <w:tc>
          <w:tcPr>
            <w:tcW w:type="dxa" w:w="4320"/>
          </w:tcPr>
          <w:p>
            <w:r>
              <w:t>Average sentiment score</w:t>
            </w:r>
          </w:p>
        </w:tc>
        <w:tc>
          <w:tcPr>
            <w:tcW w:type="dxa" w:w="4320"/>
          </w:tcPr>
          <w:p>
            <w:r>
              <w:t>0.434</w:t>
            </w:r>
          </w:p>
        </w:tc>
      </w:tr>
    </w:tbl>
    <w:p>
      <w:pPr>
        <w:pStyle w:val="Heading1"/>
      </w:pPr>
      <w:r>
        <w:t>Background and Context</w:t>
      </w:r>
    </w:p>
    <w:p>
      <w:r>
        <w:t>This analysis sits within the broader HIV response ecosystem in Kenya, where community networks, civil society, government, and global health partners all play a role in improving access, treatment continuity, and quality of care. In this setting, community-led monitoring evidence is useful because it shows how services are actually experienced by the people who use them.</w:t>
      </w:r>
    </w:p>
    <w:p>
      <w:r>
        <w:t>Organizations active in this wider ecosystem include NEPHAK, county and national health teams, PEPFAR/USAID, the Global Fund, UNAIDS, WHO, and other implementing and community partners supporting HIV prevention, treatment, care, and community systems.</w:t>
      </w:r>
    </w:p>
    <w:p>
      <w:pPr>
        <w:pStyle w:val="Heading1"/>
      </w:pPr>
      <w:r>
        <w:t>Plots and Findings</w:t>
      </w:r>
    </w:p>
    <w:p>
      <w:pPr>
        <w:pStyle w:val="Heading2"/>
      </w:pPr>
      <w:r>
        <w:t>Satisfaction and Sentiment</w:t>
      </w:r>
    </w:p>
    <w:p>
      <w:r>
        <w:t>The feedback is largely positive, but the comments help explain where operational gaps continue to affect the experience of care.</w:t>
      </w:r>
    </w:p>
    <w:p>
      <w:r>
        <w:drawing>
          <wp:inline xmlns:a="http://schemas.openxmlformats.org/drawingml/2006/main" xmlns:pic="http://schemas.openxmlformats.org/drawingml/2006/picture">
            <wp:extent cx="6035040" cy="3486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tion_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Satisfaction Mix</w:t>
      </w:r>
    </w:p>
    <w:p>
      <w:r>
        <w:drawing>
          <wp:inline xmlns:a="http://schemas.openxmlformats.org/drawingml/2006/main" xmlns:pic="http://schemas.openxmlformats.org/drawingml/2006/picture">
            <wp:extent cx="6035040" cy="3486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Sentiment Mix</w:t>
      </w:r>
    </w:p>
    <w:p>
      <w:pPr>
        <w:pStyle w:val="Heading2"/>
      </w:pPr>
      <w:r>
        <w:t>Response Distribution</w:t>
      </w:r>
    </w:p>
    <w:p>
      <w:r>
        <w:t>Most responses come from a few counties and are heavily concentrated in CLM feedback, which should be kept in mind when interpreting the profile of issues raised.</w:t>
      </w:r>
    </w:p>
    <w:p>
      <w:r>
        <w:drawing>
          <wp:inline xmlns:a="http://schemas.openxmlformats.org/drawingml/2006/main" xmlns:pic="http://schemas.openxmlformats.org/drawingml/2006/picture">
            <wp:extent cx="603504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vol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County Volume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_m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Survey Mix</w:t>
      </w:r>
    </w:p>
    <w:p>
      <w:pPr>
        <w:pStyle w:val="Heading2"/>
      </w:pPr>
      <w:r>
        <w:t>Service Priorities</w:t>
      </w:r>
    </w:p>
    <w:p>
      <w:r>
        <w:t>The most frequently discussed themes point to concrete service-delivery issues rather than abstract satisfaction alone.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prio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Theme Priority</w:t>
      </w:r>
    </w:p>
    <w:p>
      <w:r>
        <w:drawing>
          <wp:inline xmlns:a="http://schemas.openxmlformats.org/drawingml/2006/main" xmlns:pic="http://schemas.openxmlformats.org/drawingml/2006/picture">
            <wp:extent cx="6035040" cy="3419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Service Trend</w:t>
      </w:r>
    </w:p>
    <w:p>
      <w:pPr>
        <w:pStyle w:val="Heading2"/>
      </w:pPr>
      <w:r>
        <w:t>Client Language</w:t>
      </w:r>
    </w:p>
    <w:p>
      <w:r>
        <w:t>The word clouds show the language respondents use most often when describing what worked well and what should improve.</w:t>
      </w:r>
    </w:p>
    <w:p>
      <w:r>
        <w:drawing>
          <wp:inline xmlns:a="http://schemas.openxmlformats.org/drawingml/2006/main" xmlns:pic="http://schemas.openxmlformats.org/drawingml/2006/picture">
            <wp:extent cx="6035040" cy="3879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ve_wordclo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Positive Wordcloud</w:t>
      </w:r>
    </w:p>
    <w:p>
      <w:r>
        <w:drawing>
          <wp:inline xmlns:a="http://schemas.openxmlformats.org/drawingml/2006/main" xmlns:pic="http://schemas.openxmlformats.org/drawingml/2006/picture">
            <wp:extent cx="6035040" cy="3879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wordclo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976"/>
          <w:sz w:val="18"/>
        </w:rPr>
        <w:t>Improvement Wordcloud</w:t>
      </w:r>
    </w:p>
    <w:p>
      <w:pPr>
        <w:pStyle w:val="Heading1"/>
      </w:pPr>
      <w:r>
        <w:t>Main Insights</w:t>
      </w:r>
    </w:p>
    <w:p>
      <w:pPr>
        <w:pStyle w:val="ListBullet"/>
      </w:pPr>
      <w:r>
        <w:t>Staff friendliness, respectful reception, and supportive care are among the strongest positive themes in the feedback.</w:t>
      </w:r>
    </w:p>
    <w:p>
      <w:pPr>
        <w:pStyle w:val="ListBullet"/>
      </w:pPr>
      <w:r>
        <w:t>The most common improvement requests relate to medicines and supplies, food and transport support, equipment and infrastructure, and waiting time.</w:t>
      </w:r>
    </w:p>
    <w:p>
      <w:pPr>
        <w:pStyle w:val="ListBullet"/>
      </w:pPr>
      <w:r>
        <w:t>High satisfaction scores do not eliminate the need to act on practical barriers, because many respondents still describe specific service gaps that affect access and continuity of care.</w:t>
      </w:r>
    </w:p>
    <w:p>
      <w:pPr>
        <w:pStyle w:val="ListBullet"/>
      </w:pPr>
      <w:r>
        <w:t>The open comments provide useful explanatory detail that can strengthen routine review meetings and help interpret service-quality indicators more clearly.</w:t>
      </w:r>
    </w:p>
    <w:p>
      <w:pPr>
        <w:pStyle w:val="Heading1"/>
      </w:pPr>
      <w:r>
        <w:t>Selected Client Voice</w:t>
      </w:r>
    </w:p>
    <w:p>
      <w:r>
        <w:rPr>
          <w:b/>
        </w:rPr>
        <w:t xml:space="preserve">Homa Bay | CLM Feedback: </w:t>
      </w:r>
      <w:r>
        <w:t>"The good services and friendly staffs at this facility it so amazing"</w:t>
      </w:r>
    </w:p>
    <w:p>
      <w:r>
        <w:rPr>
          <w:b/>
        </w:rPr>
        <w:t xml:space="preserve">Homa Bay | CLM Feedback: </w:t>
      </w:r>
      <w:r>
        <w:t>"Good health care system"</w:t>
      </w:r>
    </w:p>
    <w:p>
      <w:r>
        <w:rPr>
          <w:b/>
        </w:rPr>
        <w:t xml:space="preserve">Homa Bay | CLM Feedback: </w:t>
      </w:r>
      <w:r>
        <w:t>"Lack of enough medicine and equipment that lead to referrals"</w:t>
      </w:r>
    </w:p>
    <w:p>
      <w:r>
        <w:rPr>
          <w:b/>
        </w:rPr>
        <w:t xml:space="preserve">Kilifi | CLM Feedback: </w:t>
      </w:r>
      <w:r>
        <w:t>"Long queing"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Protect the positive service culture reflected in comments on friendly staff, respectful treatment, and supportive care.</w:t>
      </w:r>
    </w:p>
    <w:p>
      <w:pPr>
        <w:pStyle w:val="ListNumber"/>
      </w:pPr>
      <w:r>
        <w:t>Prioritize action on medicines and supplies, food and transport support, equipment, and waiting time because these are the most consistent operational concerns in the feedback.</w:t>
      </w:r>
    </w:p>
    <w:p>
      <w:pPr>
        <w:pStyle w:val="ListNumber"/>
      </w:pPr>
      <w:r>
        <w:t>Use both structured indicators and open comments in review meetings so that service-quality trends are interpreted alongside direct patient voice.</w:t>
      </w:r>
    </w:p>
    <w:p>
      <w:pPr>
        <w:pStyle w:val="ListNumber"/>
      </w:pPr>
      <w:r>
        <w:t>Refresh these charts regularly as new feedback is collected so the report can support ongoing quality improvement rather than one-off presentation use.</w:t>
      </w:r>
    </w:p>
    <w:sectPr w:rsidR="00FC693F" w:rsidRPr="0006063C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36976"/>
        <w:sz w:val="16"/>
      </w:rPr>
      <w:t>Tech Oreon Analytica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 Care and Treatment Services: CLM Feedback Analysis</dc:title>
  <dc:subject>Editable report with charts and word clouds</dc:subject>
  <dc:creator>Tech Oreon Analytica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