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0E36A" w14:textId="1119F1F2"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 xml:space="preserve">Financial </w:t>
      </w:r>
      <w:r w:rsidR="007740D2" w:rsidRPr="00C974EE">
        <w:rPr>
          <w:rFonts w:ascii="Times New Roman" w:hAnsi="Times New Roman" w:cs="Times New Roman"/>
          <w:b/>
          <w:bCs/>
        </w:rPr>
        <w:t xml:space="preserve">Determinants of Effective Hypertension and Diabetes Care in Rural Primary Health Facilities in </w:t>
      </w:r>
      <w:r w:rsidR="0069626F" w:rsidRPr="00C974EE">
        <w:rPr>
          <w:rFonts w:ascii="Times New Roman" w:hAnsi="Times New Roman" w:cs="Times New Roman"/>
          <w:b/>
          <w:bCs/>
        </w:rPr>
        <w:t>Kisumu</w:t>
      </w:r>
      <w:r w:rsidR="007740D2" w:rsidRPr="00C974EE">
        <w:rPr>
          <w:rFonts w:ascii="Times New Roman" w:hAnsi="Times New Roman" w:cs="Times New Roman"/>
          <w:b/>
          <w:bCs/>
        </w:rPr>
        <w:t xml:space="preserve">, </w:t>
      </w:r>
      <w:r w:rsidR="0069626F" w:rsidRPr="00C974EE">
        <w:rPr>
          <w:rFonts w:ascii="Times New Roman" w:hAnsi="Times New Roman" w:cs="Times New Roman"/>
          <w:b/>
          <w:bCs/>
        </w:rPr>
        <w:t>Kenya</w:t>
      </w:r>
      <w:r w:rsidR="007740D2" w:rsidRPr="00C974EE">
        <w:rPr>
          <w:rFonts w:ascii="Times New Roman" w:hAnsi="Times New Roman" w:cs="Times New Roman"/>
          <w:b/>
          <w:bCs/>
        </w:rPr>
        <w:t xml:space="preserve">: A Mixed-Methods Study </w:t>
      </w:r>
    </w:p>
    <w:p w14:paraId="7EBFE805" w14:textId="237E0B28" w:rsidR="00037CD1" w:rsidRPr="00C974EE" w:rsidRDefault="00037CD1" w:rsidP="00C974EE">
      <w:pPr>
        <w:spacing w:line="360" w:lineRule="auto"/>
        <w:rPr>
          <w:rFonts w:ascii="Times New Roman" w:hAnsi="Times New Roman" w:cs="Times New Roman"/>
        </w:rPr>
      </w:pPr>
      <w:r w:rsidRPr="00C974EE">
        <w:rPr>
          <w:rFonts w:ascii="Times New Roman" w:hAnsi="Times New Roman" w:cs="Times New Roman"/>
          <w:b/>
          <w:bCs/>
        </w:rPr>
        <w:t xml:space="preserve">Nichodemus </w:t>
      </w:r>
      <w:proofErr w:type="spellStart"/>
      <w:r w:rsidRPr="00C974EE">
        <w:rPr>
          <w:rFonts w:ascii="Times New Roman" w:hAnsi="Times New Roman" w:cs="Times New Roman"/>
          <w:b/>
          <w:bCs/>
        </w:rPr>
        <w:t>Werre</w:t>
      </w:r>
      <w:proofErr w:type="spellEnd"/>
      <w:r w:rsidRPr="00C974EE">
        <w:rPr>
          <w:rFonts w:ascii="Times New Roman" w:hAnsi="Times New Roman" w:cs="Times New Roman"/>
          <w:b/>
          <w:bCs/>
        </w:rPr>
        <w:t xml:space="preserve"> Amollo</w:t>
      </w:r>
      <w:r w:rsidRPr="00C974EE">
        <w:rPr>
          <w:rFonts w:ascii="Times New Roman" w:hAnsi="Times New Roman" w:cs="Times New Roman"/>
          <w:b/>
          <w:bCs/>
          <w:vertAlign w:val="superscript"/>
        </w:rPr>
        <w:t>1</w:t>
      </w:r>
      <w:r w:rsidR="003E3A34" w:rsidRPr="00C974EE">
        <w:rPr>
          <w:rFonts w:ascii="Times New Roman" w:hAnsi="Times New Roman" w:cs="Times New Roman"/>
          <w:b/>
          <w:bCs/>
          <w:vertAlign w:val="superscript"/>
        </w:rPr>
        <w:t>*</w:t>
      </w:r>
      <w:r w:rsidRPr="00C974EE">
        <w:rPr>
          <w:rFonts w:ascii="Times New Roman" w:hAnsi="Times New Roman" w:cs="Times New Roman"/>
          <w:b/>
          <w:bCs/>
        </w:rPr>
        <w:t>,</w:t>
      </w:r>
      <w:r w:rsidRPr="00C974EE">
        <w:rPr>
          <w:rFonts w:ascii="Times New Roman" w:hAnsi="Times New Roman" w:cs="Times New Roman"/>
        </w:rPr>
        <w:t xml:space="preserve"> </w:t>
      </w:r>
      <w:r w:rsidRPr="00C974EE">
        <w:rPr>
          <w:rFonts w:ascii="Times New Roman" w:hAnsi="Times New Roman" w:cs="Times New Roman"/>
          <w:b/>
          <w:bCs/>
        </w:rPr>
        <w:t>Japheth Ogol</w:t>
      </w:r>
      <w:r w:rsidR="003E3A34" w:rsidRPr="00C974EE">
        <w:rPr>
          <w:rFonts w:ascii="Times New Roman" w:hAnsi="Times New Roman" w:cs="Times New Roman"/>
          <w:b/>
          <w:bCs/>
          <w:vertAlign w:val="superscript"/>
        </w:rPr>
        <w:t>1</w:t>
      </w:r>
      <w:r w:rsidR="00D11C39">
        <w:rPr>
          <w:rFonts w:ascii="Times New Roman" w:hAnsi="Times New Roman" w:cs="Times New Roman"/>
          <w:b/>
          <w:bCs/>
          <w:vertAlign w:val="superscript"/>
        </w:rPr>
        <w:t>,</w:t>
      </w:r>
      <w:r w:rsidR="0069626F" w:rsidRPr="00C974EE">
        <w:rPr>
          <w:rFonts w:ascii="Times New Roman" w:hAnsi="Times New Roman" w:cs="Times New Roman"/>
          <w:b/>
          <w:bCs/>
          <w:vertAlign w:val="superscript"/>
        </w:rPr>
        <w:t>2</w:t>
      </w:r>
      <w:r w:rsidRPr="00C974EE">
        <w:rPr>
          <w:rFonts w:ascii="Times New Roman" w:hAnsi="Times New Roman" w:cs="Times New Roman"/>
        </w:rPr>
        <w:t xml:space="preserve">, </w:t>
      </w:r>
      <w:r w:rsidR="00DE1CF7" w:rsidRPr="00C974EE">
        <w:rPr>
          <w:rFonts w:ascii="Times New Roman" w:hAnsi="Times New Roman" w:cs="Times New Roman"/>
          <w:b/>
          <w:bCs/>
        </w:rPr>
        <w:t>Elijah Museve</w:t>
      </w:r>
      <w:r w:rsidR="0025655E">
        <w:rPr>
          <w:rFonts w:ascii="Times New Roman" w:hAnsi="Times New Roman" w:cs="Times New Roman"/>
          <w:b/>
          <w:bCs/>
          <w:vertAlign w:val="superscript"/>
        </w:rPr>
        <w:t>3</w:t>
      </w:r>
      <w:r w:rsidR="00DE1CF7" w:rsidRPr="00C974EE">
        <w:rPr>
          <w:rFonts w:ascii="Times New Roman" w:hAnsi="Times New Roman" w:cs="Times New Roman"/>
        </w:rPr>
        <w:t xml:space="preserve">, </w:t>
      </w:r>
      <w:r w:rsidRPr="00C974EE">
        <w:rPr>
          <w:rFonts w:ascii="Times New Roman" w:hAnsi="Times New Roman" w:cs="Times New Roman"/>
          <w:b/>
          <w:bCs/>
        </w:rPr>
        <w:t xml:space="preserve">Jane </w:t>
      </w:r>
      <w:proofErr w:type="spellStart"/>
      <w:r w:rsidR="00BF365F" w:rsidRPr="00C974EE">
        <w:rPr>
          <w:rFonts w:ascii="Times New Roman" w:hAnsi="Times New Roman" w:cs="Times New Roman"/>
          <w:b/>
          <w:bCs/>
        </w:rPr>
        <w:t>Adhiambo</w:t>
      </w:r>
      <w:proofErr w:type="spellEnd"/>
      <w:r w:rsidR="00BF365F" w:rsidRPr="00C974EE">
        <w:rPr>
          <w:rFonts w:ascii="Times New Roman" w:hAnsi="Times New Roman" w:cs="Times New Roman"/>
          <w:b/>
          <w:bCs/>
        </w:rPr>
        <w:t xml:space="preserve"> </w:t>
      </w:r>
      <w:r w:rsidRPr="00C974EE">
        <w:rPr>
          <w:rFonts w:ascii="Times New Roman" w:hAnsi="Times New Roman" w:cs="Times New Roman"/>
          <w:b/>
          <w:bCs/>
        </w:rPr>
        <w:t>Owenga</w:t>
      </w:r>
      <w:r w:rsidR="003E3A34" w:rsidRPr="00C974EE">
        <w:rPr>
          <w:rFonts w:ascii="Times New Roman" w:hAnsi="Times New Roman" w:cs="Times New Roman"/>
          <w:b/>
          <w:bCs/>
          <w:vertAlign w:val="superscript"/>
        </w:rPr>
        <w:t>1</w:t>
      </w:r>
      <w:r w:rsidRPr="00C974EE">
        <w:rPr>
          <w:rFonts w:ascii="Times New Roman" w:hAnsi="Times New Roman" w:cs="Times New Roman"/>
        </w:rPr>
        <w:t xml:space="preserve">, </w:t>
      </w:r>
      <w:r w:rsidRPr="00C974EE">
        <w:rPr>
          <w:rFonts w:ascii="Times New Roman" w:hAnsi="Times New Roman" w:cs="Times New Roman"/>
          <w:b/>
          <w:bCs/>
        </w:rPr>
        <w:t>Dickens Omondi</w:t>
      </w:r>
      <w:r w:rsidR="00BF365F" w:rsidRPr="00C974EE">
        <w:rPr>
          <w:rFonts w:ascii="Times New Roman" w:hAnsi="Times New Roman" w:cs="Times New Roman"/>
          <w:b/>
          <w:bCs/>
        </w:rPr>
        <w:t xml:space="preserve"> Aduda</w:t>
      </w:r>
      <w:r w:rsidR="003E3A34" w:rsidRPr="00C974EE">
        <w:rPr>
          <w:rFonts w:ascii="Times New Roman" w:hAnsi="Times New Roman" w:cs="Times New Roman"/>
          <w:b/>
          <w:bCs/>
          <w:vertAlign w:val="superscript"/>
        </w:rPr>
        <w:t>1</w:t>
      </w:r>
      <w:r w:rsidRPr="00C974EE">
        <w:rPr>
          <w:rFonts w:ascii="Times New Roman" w:hAnsi="Times New Roman" w:cs="Times New Roman"/>
        </w:rPr>
        <w:t xml:space="preserve">, </w:t>
      </w:r>
      <w:r w:rsidRPr="00C974EE">
        <w:rPr>
          <w:rFonts w:ascii="Times New Roman" w:hAnsi="Times New Roman" w:cs="Times New Roman"/>
          <w:b/>
          <w:bCs/>
        </w:rPr>
        <w:t>Daniel Onguru</w:t>
      </w:r>
      <w:r w:rsidR="003E3A34" w:rsidRPr="00C974EE">
        <w:rPr>
          <w:rFonts w:ascii="Times New Roman" w:hAnsi="Times New Roman" w:cs="Times New Roman"/>
          <w:b/>
          <w:bCs/>
          <w:vertAlign w:val="superscript"/>
        </w:rPr>
        <w:t>1</w:t>
      </w:r>
    </w:p>
    <w:p w14:paraId="1B482B11" w14:textId="59E05496" w:rsidR="00037CD1" w:rsidRPr="00C974EE" w:rsidRDefault="00037CD1" w:rsidP="00C974EE">
      <w:pPr>
        <w:spacing w:line="360" w:lineRule="auto"/>
        <w:rPr>
          <w:rFonts w:ascii="Times New Roman" w:hAnsi="Times New Roman" w:cs="Times New Roman"/>
        </w:rPr>
      </w:pPr>
      <w:r w:rsidRPr="00C974EE">
        <w:rPr>
          <w:rFonts w:ascii="Times New Roman" w:hAnsi="Times New Roman" w:cs="Times New Roman"/>
          <w:vertAlign w:val="superscript"/>
        </w:rPr>
        <w:t>1</w:t>
      </w:r>
      <w:r w:rsidRPr="00C974EE">
        <w:rPr>
          <w:rFonts w:ascii="Times New Roman" w:hAnsi="Times New Roman" w:cs="Times New Roman"/>
        </w:rPr>
        <w:t xml:space="preserve">School of Health Sciences, Jaramogi </w:t>
      </w:r>
      <w:proofErr w:type="spellStart"/>
      <w:r w:rsidRPr="00C974EE">
        <w:rPr>
          <w:rFonts w:ascii="Times New Roman" w:hAnsi="Times New Roman" w:cs="Times New Roman"/>
        </w:rPr>
        <w:t>Oginga</w:t>
      </w:r>
      <w:proofErr w:type="spellEnd"/>
      <w:r w:rsidRPr="00C974EE">
        <w:rPr>
          <w:rFonts w:ascii="Times New Roman" w:hAnsi="Times New Roman" w:cs="Times New Roman"/>
        </w:rPr>
        <w:t xml:space="preserve"> Odinga University of Science and Technology, </w:t>
      </w:r>
      <w:r w:rsidR="0025655E" w:rsidRPr="0025655E">
        <w:rPr>
          <w:rFonts w:ascii="Times New Roman" w:hAnsi="Times New Roman" w:cs="Times New Roman"/>
        </w:rPr>
        <w:t>city: Bondo, Kenya.</w:t>
      </w:r>
    </w:p>
    <w:p w14:paraId="57D39E06" w14:textId="3EA1BB6A" w:rsidR="00BF365F" w:rsidRDefault="00BF365F" w:rsidP="00C974EE">
      <w:pPr>
        <w:spacing w:line="360" w:lineRule="auto"/>
        <w:rPr>
          <w:rFonts w:ascii="Times New Roman" w:hAnsi="Times New Roman" w:cs="Times New Roman"/>
        </w:rPr>
      </w:pPr>
      <w:r w:rsidRPr="00C974EE">
        <w:rPr>
          <w:rFonts w:ascii="Times New Roman" w:hAnsi="Times New Roman" w:cs="Times New Roman"/>
          <w:vertAlign w:val="superscript"/>
        </w:rPr>
        <w:t>2</w:t>
      </w:r>
      <w:r w:rsidR="0025655E" w:rsidRPr="0025655E">
        <w:rPr>
          <w:rFonts w:ascii="Times New Roman" w:hAnsi="Times New Roman" w:cs="Times New Roman"/>
        </w:rPr>
        <w:t xml:space="preserve">Department of Family Medicine &amp; Population Health (FAMPOP), University of Antwerp, </w:t>
      </w:r>
      <w:proofErr w:type="spellStart"/>
      <w:r w:rsidR="0025655E" w:rsidRPr="0025655E">
        <w:rPr>
          <w:rFonts w:ascii="Times New Roman" w:hAnsi="Times New Roman" w:cs="Times New Roman"/>
        </w:rPr>
        <w:t>Wilrijk</w:t>
      </w:r>
      <w:proofErr w:type="spellEnd"/>
      <w:r w:rsidR="0025655E" w:rsidRPr="0025655E">
        <w:rPr>
          <w:rFonts w:ascii="Times New Roman" w:hAnsi="Times New Roman" w:cs="Times New Roman"/>
        </w:rPr>
        <w:t>, Belgium.</w:t>
      </w:r>
    </w:p>
    <w:p w14:paraId="2D291422" w14:textId="759E06C1" w:rsidR="0025655E" w:rsidRDefault="0025655E" w:rsidP="0025655E">
      <w:pPr>
        <w:spacing w:line="360" w:lineRule="auto"/>
        <w:rPr>
          <w:rFonts w:ascii="Times New Roman" w:hAnsi="Times New Roman" w:cs="Times New Roman"/>
        </w:rPr>
      </w:pPr>
      <w:r>
        <w:rPr>
          <w:rFonts w:ascii="Times New Roman" w:hAnsi="Times New Roman" w:cs="Times New Roman"/>
          <w:vertAlign w:val="superscript"/>
        </w:rPr>
        <w:t>3</w:t>
      </w:r>
      <w:r w:rsidRPr="0025655E">
        <w:rPr>
          <w:rFonts w:ascii="Times New Roman" w:hAnsi="Times New Roman" w:cs="Times New Roman"/>
        </w:rPr>
        <w:t xml:space="preserve">School of Business and Economics, Jaramogi </w:t>
      </w:r>
      <w:proofErr w:type="spellStart"/>
      <w:r w:rsidRPr="0025655E">
        <w:rPr>
          <w:rFonts w:ascii="Times New Roman" w:hAnsi="Times New Roman" w:cs="Times New Roman"/>
        </w:rPr>
        <w:t>Oginga</w:t>
      </w:r>
      <w:proofErr w:type="spellEnd"/>
      <w:r w:rsidRPr="0025655E">
        <w:rPr>
          <w:rFonts w:ascii="Times New Roman" w:hAnsi="Times New Roman" w:cs="Times New Roman"/>
        </w:rPr>
        <w:t xml:space="preserve"> Odinga University of Science and Technology, city: Bondo, Kenya.</w:t>
      </w:r>
    </w:p>
    <w:p w14:paraId="3B9F2066" w14:textId="57FCA05A" w:rsidR="00037CD1" w:rsidRPr="00F6157E" w:rsidRDefault="00037CD1" w:rsidP="00C974EE">
      <w:pPr>
        <w:spacing w:line="360" w:lineRule="auto"/>
      </w:pPr>
      <w:r w:rsidRPr="00C974EE">
        <w:rPr>
          <w:rFonts w:ascii="Times New Roman" w:hAnsi="Times New Roman" w:cs="Times New Roman"/>
          <w:b/>
          <w:bCs/>
        </w:rPr>
        <w:t>Corresponding author:</w:t>
      </w:r>
      <w:r w:rsidRPr="00C974EE">
        <w:rPr>
          <w:rFonts w:ascii="Times New Roman" w:hAnsi="Times New Roman" w:cs="Times New Roman"/>
        </w:rPr>
        <w:t xml:space="preserve"> </w:t>
      </w:r>
      <w:r w:rsidR="003E3A34" w:rsidRPr="00C974EE">
        <w:rPr>
          <w:rFonts w:ascii="Times New Roman" w:hAnsi="Times New Roman" w:cs="Times New Roman"/>
        </w:rPr>
        <w:t>*</w:t>
      </w:r>
      <w:r w:rsidRPr="00C974EE">
        <w:rPr>
          <w:rFonts w:ascii="Times New Roman" w:hAnsi="Times New Roman" w:cs="Times New Roman"/>
        </w:rPr>
        <w:t xml:space="preserve">Nichodemus </w:t>
      </w:r>
      <w:proofErr w:type="spellStart"/>
      <w:r w:rsidRPr="00C974EE">
        <w:rPr>
          <w:rFonts w:ascii="Times New Roman" w:hAnsi="Times New Roman" w:cs="Times New Roman"/>
        </w:rPr>
        <w:t>Werre</w:t>
      </w:r>
      <w:proofErr w:type="spellEnd"/>
      <w:r w:rsidRPr="00C974EE">
        <w:rPr>
          <w:rFonts w:ascii="Times New Roman" w:hAnsi="Times New Roman" w:cs="Times New Roman"/>
        </w:rPr>
        <w:t xml:space="preserve"> Amollo, Email: </w:t>
      </w:r>
      <w:hyperlink r:id="rId5" w:history="1">
        <w:r w:rsidR="00F6157E" w:rsidRPr="003829D2">
          <w:rPr>
            <w:rStyle w:val="Hyperlink"/>
          </w:rPr>
          <w:t>nwere@ejooust.ac.ke</w:t>
        </w:r>
      </w:hyperlink>
    </w:p>
    <w:p w14:paraId="7F310B1B" w14:textId="144F2730"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Abstract</w:t>
      </w:r>
    </w:p>
    <w:p w14:paraId="14BB8F13" w14:textId="114356B8" w:rsidR="007D3106" w:rsidRDefault="007D3106" w:rsidP="007D3106">
      <w:pPr>
        <w:spacing w:line="360" w:lineRule="auto"/>
        <w:rPr>
          <w:rFonts w:ascii="Times New Roman" w:hAnsi="Times New Roman" w:cs="Times New Roman"/>
        </w:rPr>
      </w:pPr>
      <w:r w:rsidRPr="007D3106">
        <w:rPr>
          <w:rFonts w:ascii="Times New Roman" w:hAnsi="Times New Roman" w:cs="Times New Roman"/>
          <w:b/>
          <w:bCs/>
        </w:rPr>
        <w:t>Background:</w:t>
      </w:r>
      <w:r w:rsidRPr="007D3106">
        <w:rPr>
          <w:rFonts w:ascii="Times New Roman" w:hAnsi="Times New Roman" w:cs="Times New Roman"/>
        </w:rPr>
        <w:t xml:space="preserve"> </w:t>
      </w:r>
      <w:r w:rsidR="00667021" w:rsidRPr="00667021">
        <w:rPr>
          <w:rFonts w:ascii="Times New Roman" w:hAnsi="Times New Roman" w:cs="Times New Roman"/>
        </w:rPr>
        <w:t>Noncommunicable diseases (NCDs), including hypertension and diabetes, account for approximately 27% of all deaths in Kenya</w:t>
      </w:r>
      <w:r w:rsidRPr="007D3106">
        <w:rPr>
          <w:rFonts w:ascii="Times New Roman" w:hAnsi="Times New Roman" w:cs="Times New Roman"/>
        </w:rPr>
        <w:t>, with 26% of adults having elevated blood pressure. Despite devolution of health services to county governments in 2013, financing for NCD management at the primary health care (PHC) level remains weak. This study examines financial determinants shaping hypertension and diabetes care in PHC facilities within a devolved county health system in rural Kisumu County, Kenya.</w:t>
      </w:r>
    </w:p>
    <w:p w14:paraId="7A6C848B" w14:textId="3AAA770F" w:rsidR="007D3106" w:rsidRDefault="007D3106" w:rsidP="007D3106">
      <w:pPr>
        <w:spacing w:line="360" w:lineRule="auto"/>
        <w:rPr>
          <w:rFonts w:ascii="Times New Roman" w:hAnsi="Times New Roman" w:cs="Times New Roman"/>
        </w:rPr>
      </w:pPr>
      <w:r w:rsidRPr="007D3106">
        <w:rPr>
          <w:rFonts w:ascii="Times New Roman" w:hAnsi="Times New Roman" w:cs="Times New Roman"/>
          <w:b/>
          <w:bCs/>
        </w:rPr>
        <w:t>Methods:</w:t>
      </w:r>
      <w:r w:rsidRPr="007D3106">
        <w:rPr>
          <w:rFonts w:ascii="Times New Roman" w:hAnsi="Times New Roman" w:cs="Times New Roman"/>
        </w:rPr>
        <w:t xml:space="preserve"> </w:t>
      </w:r>
      <w:r w:rsidRPr="00B97F52">
        <w:rPr>
          <w:rFonts w:ascii="Times New Roman" w:hAnsi="Times New Roman" w:cs="Times New Roman"/>
        </w:rPr>
        <w:t>We conducted a convergent parallel mixed-methods cross-sectional study in seven public PHC facilities in Seme Sub-County</w:t>
      </w:r>
      <w:r w:rsidR="00BC5423" w:rsidRPr="00B97F52">
        <w:rPr>
          <w:rFonts w:ascii="Times New Roman" w:hAnsi="Times New Roman" w:cs="Times New Roman"/>
        </w:rPr>
        <w:t xml:space="preserve">, </w:t>
      </w:r>
      <w:r w:rsidR="00B97F52" w:rsidRPr="00B97F52">
        <w:rPr>
          <w:rFonts w:ascii="Times New Roman" w:hAnsi="Times New Roman" w:cs="Times New Roman"/>
        </w:rPr>
        <w:t xml:space="preserve">providing new facility-level evidence on how </w:t>
      </w:r>
      <w:r w:rsidR="00BC5423" w:rsidRPr="00B97F52">
        <w:rPr>
          <w:rFonts w:ascii="Times New Roman" w:hAnsi="Times New Roman" w:cs="Times New Roman"/>
        </w:rPr>
        <w:t>the interaction between devolution's financing architecture, facility-level financial autonomy constraints, and resource allocation mechanisms shapes chronic disease care effectiveness in rural Kenya</w:t>
      </w:r>
      <w:r w:rsidRPr="007D3106">
        <w:rPr>
          <w:rFonts w:ascii="Times New Roman" w:hAnsi="Times New Roman" w:cs="Times New Roman"/>
        </w:rPr>
        <w:t xml:space="preserve">. Quantitative data were collected via structured questionnaires and retrospective document review of financial records (January–August 2024). Qualitative data were gathered through </w:t>
      </w:r>
      <w:r w:rsidR="00064C68" w:rsidRPr="00064C68">
        <w:rPr>
          <w:rFonts w:ascii="Times New Roman" w:hAnsi="Times New Roman" w:cs="Times New Roman"/>
        </w:rPr>
        <w:t>key informant interviews</w:t>
      </w:r>
      <w:r w:rsidR="0003261F">
        <w:rPr>
          <w:rFonts w:ascii="Times New Roman" w:hAnsi="Times New Roman" w:cs="Times New Roman"/>
        </w:rPr>
        <w:t xml:space="preserve"> </w:t>
      </w:r>
      <w:r w:rsidR="0003261F" w:rsidRPr="0003261F">
        <w:rPr>
          <w:rFonts w:ascii="Times New Roman" w:hAnsi="Times New Roman" w:cs="Times New Roman"/>
        </w:rPr>
        <w:t>(n=7)</w:t>
      </w:r>
      <w:r w:rsidR="00064C68">
        <w:rPr>
          <w:rFonts w:ascii="Times New Roman" w:hAnsi="Times New Roman" w:cs="Times New Roman"/>
        </w:rPr>
        <w:t xml:space="preserve"> </w:t>
      </w:r>
      <w:r w:rsidRPr="007D3106">
        <w:rPr>
          <w:rFonts w:ascii="Times New Roman" w:hAnsi="Times New Roman" w:cs="Times New Roman"/>
        </w:rPr>
        <w:t>with facility in-charges exploring planning, budgeting, and resource allocation. Descriptive statistics were produced in STATA v16; qualitative data were analyzed thematically in R.</w:t>
      </w:r>
      <w:r w:rsidR="00B97F52">
        <w:rPr>
          <w:rFonts w:ascii="Times New Roman" w:hAnsi="Times New Roman" w:cs="Times New Roman"/>
        </w:rPr>
        <w:t xml:space="preserve"> </w:t>
      </w:r>
    </w:p>
    <w:p w14:paraId="3025D4FD" w14:textId="5F04327F" w:rsidR="007D3106" w:rsidRPr="007D3106" w:rsidRDefault="007D3106" w:rsidP="007D3106">
      <w:pPr>
        <w:spacing w:line="360" w:lineRule="auto"/>
        <w:rPr>
          <w:rFonts w:ascii="Times New Roman" w:hAnsi="Times New Roman" w:cs="Times New Roman"/>
        </w:rPr>
      </w:pPr>
      <w:r w:rsidRPr="007D3106">
        <w:rPr>
          <w:rFonts w:ascii="Times New Roman" w:hAnsi="Times New Roman" w:cs="Times New Roman"/>
          <w:b/>
          <w:bCs/>
        </w:rPr>
        <w:lastRenderedPageBreak/>
        <w:t>Results:</w:t>
      </w:r>
      <w:r w:rsidRPr="007D3106">
        <w:rPr>
          <w:rFonts w:ascii="Times New Roman" w:hAnsi="Times New Roman" w:cs="Times New Roman"/>
        </w:rPr>
        <w:t xml:space="preserve"> All seven facilities prepared annual workplans and budgets, but none achieved comprehensive NCD-specific planning (workplan + budget + dedicated NCD budget line). Funding sources were narrow: 71.4% (n=5)</w:t>
      </w:r>
      <w:r w:rsidR="00074DEA">
        <w:rPr>
          <w:rFonts w:ascii="Times New Roman" w:hAnsi="Times New Roman" w:cs="Times New Roman"/>
        </w:rPr>
        <w:t xml:space="preserve"> of the facilities</w:t>
      </w:r>
      <w:r w:rsidRPr="007D3106">
        <w:rPr>
          <w:rFonts w:ascii="Times New Roman" w:hAnsi="Times New Roman" w:cs="Times New Roman"/>
        </w:rPr>
        <w:t xml:space="preserve"> depended on NHIF reimbursements and donor support, while only 28.6% (n=2) received direct county funding; 57.1% (n=4) </w:t>
      </w:r>
      <w:r w:rsidR="00074DEA">
        <w:rPr>
          <w:rFonts w:ascii="Times New Roman" w:hAnsi="Times New Roman" w:cs="Times New Roman"/>
        </w:rPr>
        <w:t xml:space="preserve">of the facilities </w:t>
      </w:r>
      <w:r w:rsidRPr="007D3106">
        <w:rPr>
          <w:rFonts w:ascii="Times New Roman" w:hAnsi="Times New Roman" w:cs="Times New Roman"/>
        </w:rPr>
        <w:t xml:space="preserve">relied on only two funding streams. Although all facilities held bank accounts, none had formal financial autonomy and expenditures required county-level approval, typically taking 3–4 weeks (57.1%, n=4) to over two months (28.6%, n=2). Combined with unreliable central supplies, this lack of autonomy meant facilities could not procure locally when stockouts occurred; consequently 85.7% (n=6) </w:t>
      </w:r>
      <w:r w:rsidR="00074DEA">
        <w:rPr>
          <w:rFonts w:ascii="Times New Roman" w:hAnsi="Times New Roman" w:cs="Times New Roman"/>
        </w:rPr>
        <w:t xml:space="preserve">of the facilities </w:t>
      </w:r>
      <w:r w:rsidRPr="007D3106">
        <w:rPr>
          <w:rFonts w:ascii="Times New Roman" w:hAnsi="Times New Roman" w:cs="Times New Roman"/>
        </w:rPr>
        <w:t>reported frequent medication stockouts. Facility in-charges attributed these failures to inadequate, unpredictable funding and centralized approval processes that prevented timely local procurement.</w:t>
      </w:r>
    </w:p>
    <w:p w14:paraId="0E343258" w14:textId="438B9CBD" w:rsidR="00BC5423" w:rsidRDefault="007D3106" w:rsidP="00C974EE">
      <w:pPr>
        <w:spacing w:line="360" w:lineRule="auto"/>
        <w:rPr>
          <w:rFonts w:ascii="Times New Roman" w:hAnsi="Times New Roman" w:cs="Times New Roman"/>
        </w:rPr>
      </w:pPr>
      <w:r w:rsidRPr="007D3106">
        <w:rPr>
          <w:rFonts w:ascii="Times New Roman" w:hAnsi="Times New Roman" w:cs="Times New Roman"/>
          <w:b/>
          <w:bCs/>
        </w:rPr>
        <w:t>Conclusions:</w:t>
      </w:r>
      <w:r w:rsidRPr="007D3106">
        <w:rPr>
          <w:rFonts w:ascii="Times New Roman" w:hAnsi="Times New Roman" w:cs="Times New Roman"/>
        </w:rPr>
        <w:t xml:space="preserve"> </w:t>
      </w:r>
      <w:r w:rsidR="00BC5423" w:rsidRPr="00BC5423">
        <w:rPr>
          <w:rFonts w:ascii="Times New Roman" w:hAnsi="Times New Roman" w:cs="Times New Roman"/>
        </w:rPr>
        <w:t xml:space="preserve">Rural PHC facilities operate under structural governance failures in Kenya's devolved health financing system that systematically undermine effective NCD care. The centralization of financial authority at county level, absence of ring-fenced NCD budgets, and misalignment between planning processes and resource allocation represent system-level policy contradictions rather than facility-level operational deficiencies. </w:t>
      </w:r>
      <w:r w:rsidR="0003261F" w:rsidRPr="0003261F">
        <w:rPr>
          <w:rFonts w:ascii="Times New Roman" w:hAnsi="Times New Roman" w:cs="Times New Roman"/>
        </w:rPr>
        <w:t>Addressing these governance failures requires not only increased funding but constitutional fiscal decision-space for facilities, mandatory NCD budget protection, and reformed disbursement mechanisms essential for equitable chronic care under Kenya's UHC agenda. The sustainability of chronic care depends fundamentally on facility decision space, not only on funding volume</w:t>
      </w:r>
      <w:r w:rsidR="00BC5423" w:rsidRPr="00BC5423">
        <w:rPr>
          <w:rFonts w:ascii="Times New Roman" w:hAnsi="Times New Roman" w:cs="Times New Roman"/>
        </w:rPr>
        <w:t>. These findings are transferable to other Kenyan counties under the same devolved framework and to decentralized health systems in sub-Saharan Africa facing similar tensions between fiscal accountability and operational autonomy for chronic disease management.</w:t>
      </w:r>
    </w:p>
    <w:p w14:paraId="02B0205E" w14:textId="35014EAE" w:rsidR="00825312" w:rsidRDefault="00825312" w:rsidP="00C974EE">
      <w:pPr>
        <w:spacing w:line="360" w:lineRule="auto"/>
        <w:rPr>
          <w:rFonts w:ascii="Times New Roman" w:hAnsi="Times New Roman" w:cs="Times New Roman"/>
        </w:rPr>
      </w:pPr>
      <w:r w:rsidRPr="00C974EE">
        <w:rPr>
          <w:rFonts w:ascii="Times New Roman" w:hAnsi="Times New Roman" w:cs="Times New Roman"/>
          <w:b/>
          <w:bCs/>
        </w:rPr>
        <w:t>Keywords:</w:t>
      </w:r>
      <w:r w:rsidRPr="00C974EE">
        <w:rPr>
          <w:rFonts w:ascii="Times New Roman" w:hAnsi="Times New Roman" w:cs="Times New Roman"/>
        </w:rPr>
        <w:t xml:space="preserve"> </w:t>
      </w:r>
      <w:r w:rsidR="0069626F" w:rsidRPr="00C974EE">
        <w:rPr>
          <w:rFonts w:ascii="Times New Roman" w:hAnsi="Times New Roman" w:cs="Times New Roman"/>
        </w:rPr>
        <w:t xml:space="preserve">Health financing, Primary health care, </w:t>
      </w:r>
      <w:r w:rsidR="00733D79">
        <w:rPr>
          <w:rFonts w:ascii="Times New Roman" w:hAnsi="Times New Roman" w:cs="Times New Roman"/>
        </w:rPr>
        <w:t>N</w:t>
      </w:r>
      <w:r w:rsidR="00733D79" w:rsidRPr="00733D79">
        <w:rPr>
          <w:rFonts w:ascii="Times New Roman" w:hAnsi="Times New Roman" w:cs="Times New Roman"/>
        </w:rPr>
        <w:t>oncommunicable</w:t>
      </w:r>
      <w:r w:rsidR="00733D79">
        <w:rPr>
          <w:rFonts w:ascii="Times New Roman" w:hAnsi="Times New Roman" w:cs="Times New Roman"/>
        </w:rPr>
        <w:t xml:space="preserve"> </w:t>
      </w:r>
      <w:r w:rsidR="0069626F" w:rsidRPr="00C974EE">
        <w:rPr>
          <w:rFonts w:ascii="Times New Roman" w:hAnsi="Times New Roman" w:cs="Times New Roman"/>
        </w:rPr>
        <w:t>diseases, Hypertension, Diabetes, Devolution, Kenya, Financial autonomy, Medication stockouts</w:t>
      </w:r>
    </w:p>
    <w:p w14:paraId="161A80A5" w14:textId="77777777" w:rsidR="00D22CC1" w:rsidRPr="00C974EE" w:rsidRDefault="00D22CC1" w:rsidP="00C974EE">
      <w:pPr>
        <w:spacing w:line="360" w:lineRule="auto"/>
        <w:rPr>
          <w:rFonts w:ascii="Times New Roman" w:hAnsi="Times New Roman" w:cs="Times New Roman"/>
        </w:rPr>
      </w:pPr>
    </w:p>
    <w:p w14:paraId="39D661E8" w14:textId="77777777" w:rsidR="00825312" w:rsidRPr="00C974EE" w:rsidRDefault="00825312" w:rsidP="00C974EE">
      <w:pPr>
        <w:spacing w:line="360" w:lineRule="auto"/>
        <w:rPr>
          <w:rFonts w:ascii="Times New Roman" w:hAnsi="Times New Roman" w:cs="Times New Roman"/>
          <w:b/>
          <w:bCs/>
        </w:rPr>
      </w:pPr>
      <w:bookmarkStart w:id="0" w:name="_Hlk211080791"/>
      <w:r w:rsidRPr="00C974EE">
        <w:rPr>
          <w:rFonts w:ascii="Times New Roman" w:hAnsi="Times New Roman" w:cs="Times New Roman"/>
          <w:b/>
          <w:bCs/>
        </w:rPr>
        <w:t>Background</w:t>
      </w:r>
    </w:p>
    <w:p w14:paraId="016C0CF8" w14:textId="521E64E2" w:rsidR="00463D6E" w:rsidRDefault="00463D6E" w:rsidP="00C974EE">
      <w:pPr>
        <w:spacing w:line="360" w:lineRule="auto"/>
        <w:rPr>
          <w:rFonts w:ascii="Times New Roman" w:hAnsi="Times New Roman" w:cs="Times New Roman"/>
        </w:rPr>
      </w:pPr>
      <w:r w:rsidRPr="00463D6E">
        <w:rPr>
          <w:rFonts w:ascii="Times New Roman" w:hAnsi="Times New Roman" w:cs="Times New Roman"/>
        </w:rPr>
        <w:t xml:space="preserve">Noncommunicable diseases (NCDs) constitute a rapidly escalating public health crisis in sub-Saharan Africa, with hypertension and diabetes representing particularly urgent challenges. </w:t>
      </w:r>
      <w:r w:rsidRPr="00463D6E">
        <w:rPr>
          <w:rFonts w:ascii="Times New Roman" w:hAnsi="Times New Roman" w:cs="Times New Roman"/>
        </w:rPr>
        <w:lastRenderedPageBreak/>
        <w:t>Globally, NCDs account for over 70% of all deaths, disproportionately affecting low- and middle-income countries (LMICs)</w:t>
      </w:r>
      <w:r>
        <w:rPr>
          <w:rFonts w:ascii="Times New Roman" w:hAnsi="Times New Roman" w:cs="Times New Roman"/>
        </w:rPr>
        <w:t xml:space="preserve"> </w:t>
      </w:r>
      <w:r>
        <w:rPr>
          <w:rFonts w:ascii="Times New Roman" w:hAnsi="Times New Roman" w:cs="Times New Roman"/>
        </w:rPr>
        <w:fldChar w:fldCharType="begin"/>
      </w:r>
      <w:r w:rsidR="005A7D61">
        <w:rPr>
          <w:rFonts w:ascii="Times New Roman" w:hAnsi="Times New Roman" w:cs="Times New Roman"/>
        </w:rPr>
        <w:instrText xml:space="preserve"> ADDIN ZOTERO_ITEM CSL_CITATION {"citationID":"WShxlVcy","properties":{"formattedCitation":"[1, 2]","plainCitation":"[1, 2]","noteIndex":0},"citationItems":[{"id":2,"uris":["http://zotero.org/users/local/C4anYv1I/items/QN8FPZMV"],"itemData":{"id":2,"type":"article-journal","container-title":"Nature","issue":"7715","page":"507–516","publisher":"Nature Publishing Group UK London","title":"Acting on non-communicable diseases in low-and middle-income tropical countries","volume":"559","author":[{"family":"Ezzati","given":"Majid"},{"family":"Pearson-Stuttard","given":"Jonathan"},{"family":"Bennett","given":"James E"},{"family":"Mathers","given":"Colin D"}],"issued":{"date-parts":[["2018"]]}},"label":"page"},{"id":1,"uris":["http://zotero.org/users/local/C4anYv1I/items/3MZYJ8W5"],"itemData":{"id":1,"type":"article-journal","container-title":"The lancet","issue":"10258","page":"1204–1222","publisher":"Elsevier","title":"Global burden of 369 diseases and injuries in 204 countries and territories, 1990–2019: a systematic analysis for the Global Burden of Disease Study 2019","volume":"396","author":[{"family":"Vos","given":"Theo"},{"family":"Lim","given":"Stephen S"},{"family":"Abbafati","given":"Cristiana"},{"family":"Abbas","given":"Kaja M"},{"family":"Abbasi","given":"Mohammad"},{"family":"Abbasifard","given":"Mitra"},{"family":"Abbasi-Kangevari","given":"Mohsen"},{"family":"Abbastabar","given":"Hedayat"},{"family":"Abd-Allah","given":"Foad"},{"family":"Abdelalim","given":"Ahmed"},{"literal":"others"}],"issued":{"date-parts":[["2020"]]}},"label":"page"}],"schema":"https://github.com/citation-style-language/schema/raw/master/csl-citation.json"} </w:instrText>
      </w:r>
      <w:r>
        <w:rPr>
          <w:rFonts w:ascii="Times New Roman" w:hAnsi="Times New Roman" w:cs="Times New Roman"/>
        </w:rPr>
        <w:fldChar w:fldCharType="separate"/>
      </w:r>
      <w:r w:rsidR="00521BE0" w:rsidRPr="00521BE0">
        <w:rPr>
          <w:rFonts w:ascii="Times New Roman" w:hAnsi="Times New Roman" w:cs="Times New Roman"/>
        </w:rPr>
        <w:t>[1, 2]</w:t>
      </w:r>
      <w:r>
        <w:rPr>
          <w:rFonts w:ascii="Times New Roman" w:hAnsi="Times New Roman" w:cs="Times New Roman"/>
        </w:rPr>
        <w:fldChar w:fldCharType="end"/>
      </w:r>
      <w:r w:rsidRPr="00463D6E">
        <w:rPr>
          <w:rFonts w:ascii="Times New Roman" w:hAnsi="Times New Roman" w:cs="Times New Roman"/>
        </w:rPr>
        <w:t>. Kenya is experiencing a growing NCD burden; while NCDs collectively account for 27% of all deaths in the country, cardiovascular diseases are a major contributor, responsible for roughly 13% of all deaths according to recent estimates</w:t>
      </w:r>
      <w:r w:rsidR="00521BE0">
        <w:rPr>
          <w:rFonts w:ascii="Times New Roman" w:hAnsi="Times New Roman" w:cs="Times New Roman"/>
        </w:rPr>
        <w:t xml:space="preserve"> </w:t>
      </w:r>
      <w:r w:rsidR="00521BE0">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{"citationID":"TkEhg38k","properties":{"formattedCitation":"[3]","plainCitation":"[3]","noteIndex":0},"citationItems":[{"id":4,"uris":["http://zotero.org/users/local/C4anYv1I/items/AS4Q45AA"],"itemData":{"id":4,"type":"document","publisher":"Kenya National Strategy","title":"Ministry of Health. Kenya National Strategy for the Prevention and control of non-communicable diseases","author":[{"family":"MoH","given":""}],"issued":{"date-parts":[["2015"]]}}}],"schema":"https://github.com/citation-style-language/schema/raw/master/csl-citation.json"} </w:instrText>
      </w:r>
      <w:r w:rsidR="00521BE0">
        <w:rPr>
          <w:rFonts w:ascii="Times New Roman" w:hAnsi="Times New Roman" w:cs="Times New Roman"/>
        </w:rPr>
        <w:fldChar w:fldCharType="separate"/>
      </w:r>
      <w:r w:rsidR="00521BE0" w:rsidRPr="00521BE0">
        <w:rPr>
          <w:rFonts w:ascii="Times New Roman" w:hAnsi="Times New Roman" w:cs="Times New Roman"/>
        </w:rPr>
        <w:t>[3]</w:t>
      </w:r>
      <w:r w:rsidR="00521BE0">
        <w:rPr>
          <w:rFonts w:ascii="Times New Roman" w:hAnsi="Times New Roman" w:cs="Times New Roman"/>
        </w:rPr>
        <w:fldChar w:fldCharType="end"/>
      </w:r>
      <w:r w:rsidRPr="00463D6E">
        <w:rPr>
          <w:rFonts w:ascii="Times New Roman" w:hAnsi="Times New Roman" w:cs="Times New Roman"/>
        </w:rPr>
        <w:t xml:space="preserve">. National surveys indicate that approximately 26% of adults have elevated blood pressure and 5.6% have raised blood glucose levels </w:t>
      </w:r>
      <w:r w:rsidR="00521BE0">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{"citationID":"wtxMPxls","properties":{"formattedCitation":"[4]","plainCitation":"[4]","noteIndex":0},"citationItems":[{"id":6,"uris":["http://zotero.org/users/local/C4anYv1I/items/JLBNCKWV"],"itemData":{"id":6,"type":"article-journal","container-title":"BMC Public Health","issue":"Suppl 3","page":"1224","publisher":"Springer","title":"Non-communicable diseases surveillance: overview of magnitude and determinants in Kenya from STEPwise approach survey of 2015","volume":"18","author":[{"family":"Wamai","given":"Richard G"},{"family":"Kengne","given":"Andre Pascal"},{"family":"Levitt","given":"Naomi"}],"issued":{"date-parts":[["2018"]]}}}],"schema":"https://github.com/citation-style-language/schema/raw/master/csl-citation.json"} </w:instrText>
      </w:r>
      <w:r w:rsidR="00521BE0">
        <w:rPr>
          <w:rFonts w:ascii="Times New Roman" w:hAnsi="Times New Roman" w:cs="Times New Roman"/>
        </w:rPr>
        <w:fldChar w:fldCharType="separate"/>
      </w:r>
      <w:r w:rsidR="00521BE0" w:rsidRPr="00521BE0">
        <w:rPr>
          <w:rFonts w:ascii="Times New Roman" w:hAnsi="Times New Roman" w:cs="Times New Roman"/>
        </w:rPr>
        <w:t>[4]</w:t>
      </w:r>
      <w:r w:rsidR="00521BE0">
        <w:rPr>
          <w:rFonts w:ascii="Times New Roman" w:hAnsi="Times New Roman" w:cs="Times New Roman"/>
        </w:rPr>
        <w:fldChar w:fldCharType="end"/>
      </w:r>
      <w:r w:rsidRPr="00463D6E">
        <w:rPr>
          <w:rFonts w:ascii="Times New Roman" w:hAnsi="Times New Roman" w:cs="Times New Roman"/>
        </w:rPr>
        <w:t>, creating a substantial and growing demand for chronic disease management services.</w:t>
      </w:r>
    </w:p>
    <w:p w14:paraId="208B6642" w14:textId="2FBF0DB8" w:rsidR="007D3106" w:rsidRDefault="007D3106" w:rsidP="00C974EE">
      <w:pPr>
        <w:spacing w:line="360" w:lineRule="auto"/>
        <w:rPr>
          <w:rFonts w:ascii="Times New Roman" w:hAnsi="Times New Roman" w:cs="Times New Roman"/>
        </w:rPr>
      </w:pPr>
      <w:r w:rsidRPr="007D3106">
        <w:rPr>
          <w:rFonts w:ascii="Times New Roman" w:hAnsi="Times New Roman" w:cs="Times New Roman"/>
        </w:rPr>
        <w:t xml:space="preserve">Effective management of hypertension and diabetes requires sustained access to screening, diagnosis, treatment, and long-term monitoring with affordable medicines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{"citationID":"EZ4LlgTI","properties":{"custom":"[5, 6]","formattedCitation":"[5, 6]","plainCitation":"[5, 6]","noteIndex":0},"citationItems":[{"id":7,"uris":["http://zotero.org/users/local/C4anYv1I/items/PYRACTKA"],"itemData":{"id":7,"type":"article-journal","container-title":"World Health Organization","title":"Package of essential noncommunicable (PEN) disease interventions for primary health care in low-resource settings","author":[{"literal":"WHO"}],"issued":{"date-parts":[["2010"]]}},"label":"page"},{"id":9,"uris":["http://zotero.org/users/local/C4anYv1I/items/6IB4SRFC"],"itemData":{"id":9,"type":"chapter","container-title":"Global action plan for the prevention and control of noncommunicable diseases 2013-2020","title":"Global action plan for the prevention and control of noncommunicable diseases 2013-2020","author":[{"family":"Organization","given":"World Health"},{"literal":"others"}],"issued":{"date-parts":[["2013"]]}},"label":"page"}],"schema":"https://github.com/citation-style-language/schema/raw/master/csl-citation.json"}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[5, 6]</w:t>
      </w:r>
      <w:r w:rsidRPr="00C974EE">
        <w:rPr>
          <w:rFonts w:ascii="Times New Roman" w:hAnsi="Times New Roman" w:cs="Times New Roman"/>
        </w:rPr>
        <w:fldChar w:fldCharType="end"/>
      </w:r>
      <w:r>
        <w:rPr>
          <w:rFonts w:ascii="Times New Roman" w:hAnsi="Times New Roman" w:cs="Times New Roman"/>
        </w:rPr>
        <w:t xml:space="preserve">. </w:t>
      </w:r>
      <w:r w:rsidRPr="007D3106">
        <w:rPr>
          <w:rFonts w:ascii="Times New Roman" w:hAnsi="Times New Roman" w:cs="Times New Roman"/>
        </w:rPr>
        <w:t xml:space="preserve">Delivering these services depends critically on adequate and predictable health financing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{"citationID":"C6jIuj5W","properties":{"custom":"[7, 8]","formattedCitation":"[7, 8]","plainCitation":"[7, 8]","noteIndex":0},"citationItems":[{"id":10,"uris":["http://zotero.org/users/local/C4anYv1I/items/9VRHP752"],"itemData":{"id":10,"type":"article-journal","container-title":"Plos one","issue":"4","page":"e0266715","publisher":"Public Library of Science San Francisco, CA USA","title":"Household access to non-communicable disease medicines during universal health care roll-out in Kenya: A time series analysis","volume":"17","author":[{"family":"Kiragu","given":"Zana Wangari"},{"family":"Rockers","given":"Peter C"},{"family":"Onyango","given":"Monica A"},{"family":"Mungai","given":"John"},{"family":"Mboya","given":"John"},{"family":"Laing","given":"Richard"},{"family":"Wirtz","given":"Veronika J"}],"issued":{"date-parts":[["2022"]]}},"label":"page"},{"id":11,"uris":["http://zotero.org/users/local/C4anYv1I/items/N4TQE3BP"],"itemData":{"id":11,"type":"article-journal","container-title":"The lancet Diabetes &amp; endocrinology","issue":"8","page":"622–667","publisher":"Elsevier","title":"Diabetes in sub-Saharan Africa: from clinical care to health policy","volume":"5","author":[{"family":"Atun","given":"Rifat"},{"family":"Davies","given":"Justine I"},{"family":"Gale","given":"Edwin AM"},{"family":"Bärnighausen","given":"Till"},{"family":"Beran","given":"David"},{"family":"Kengne","given":"Andre Pascal"},{"family":"Levitt","given":"Naomi S"},{"family":"Mangugu","given":"Florence W"},{"family":"Nyirenda","given":"Moffat J"},{"family":"Ogle","given":"Graham D"},{"literal":"others"}],"issued":{"date-parts":[["2017"]]}},"label":"page"}],"schema":"https://github.com/citation-style-language/schema/raw/master/csl-citation.json"}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[7, 8]</w:t>
      </w:r>
      <w:r w:rsidRPr="00C974EE">
        <w:rPr>
          <w:rFonts w:ascii="Times New Roman" w:hAnsi="Times New Roman" w:cs="Times New Roman"/>
        </w:rPr>
        <w:fldChar w:fldCharType="end"/>
      </w:r>
      <w:r w:rsidRPr="007D3106">
        <w:rPr>
          <w:rFonts w:ascii="Times New Roman" w:hAnsi="Times New Roman" w:cs="Times New Roman"/>
        </w:rPr>
        <w:t xml:space="preserve">. In this study, effectiveness is operationalized in line with the Kenya Health Financing Strategy (2020–2030), which identifies effectiveness and efficiency as core strategic principles guiding health-financing reforms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{"citationID":"cG73eTiO","properties":{"formattedCitation":"[9]","plainCitation":"[9]","noteIndex":0},"citationItems":[{"id":16,"uris":["http://zotero.org/users/local/C4anYv1I/items/URJFWRAM"],"itemData":{"id":16,"type":"legislation","title":"Kenya Health Financing Strategy 2020-2030","author":[{"family":"MoH","given":"Ministry of Health","suffix":"Kenya."}],"issued":{"date-parts":[["2020"]]}}}],"schema":"https://github.com/citation-style-language/schema/raw/master/csl-citation.json"}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[9]</w:t>
      </w:r>
      <w:r w:rsidRPr="00C974EE">
        <w:rPr>
          <w:rFonts w:ascii="Times New Roman" w:hAnsi="Times New Roman" w:cs="Times New Roman"/>
        </w:rPr>
        <w:fldChar w:fldCharType="end"/>
      </w:r>
      <w:r w:rsidRPr="009B12F0">
        <w:rPr>
          <w:rFonts w:ascii="Times New Roman" w:hAnsi="Times New Roman" w:cs="Times New Roman"/>
        </w:rPr>
        <w:t xml:space="preserve">. </w:t>
      </w:r>
      <w:r w:rsidRPr="007D3106">
        <w:rPr>
          <w:rFonts w:ascii="Times New Roman" w:hAnsi="Times New Roman" w:cs="Times New Roman"/>
        </w:rPr>
        <w:t xml:space="preserve"> Effectiveness reflects the extent to which financing mechanisms enable facilities to achieve desired health outcomes through: (1) continuous availability of essential medicines and diagnostics; (2) continuity of patient care and follow-up; (3) prevention of severe complications requiring hospitalization; and (4) responsiveness to patient needs. Other guiding principles</w:t>
      </w:r>
      <w:r>
        <w:rPr>
          <w:rFonts w:ascii="Times New Roman" w:hAnsi="Times New Roman" w:cs="Times New Roman"/>
        </w:rPr>
        <w:t xml:space="preserve"> such as </w:t>
      </w:r>
      <w:r w:rsidRPr="007D3106">
        <w:rPr>
          <w:rFonts w:ascii="Times New Roman" w:hAnsi="Times New Roman" w:cs="Times New Roman"/>
        </w:rPr>
        <w:t>appropriateness, transparency, social solidarity, and equity</w:t>
      </w:r>
      <w:r>
        <w:rPr>
          <w:rFonts w:ascii="Times New Roman" w:hAnsi="Times New Roman" w:cs="Times New Roman"/>
        </w:rPr>
        <w:t xml:space="preserve"> </w:t>
      </w:r>
      <w:r w:rsidRPr="007D3106">
        <w:rPr>
          <w:rFonts w:ascii="Times New Roman" w:hAnsi="Times New Roman" w:cs="Times New Roman"/>
        </w:rPr>
        <w:t>are evaluated in this study within the context of NCD financing at the primary health-care level.</w:t>
      </w:r>
    </w:p>
    <w:p w14:paraId="1E1C9EB9" w14:textId="6768F7DD" w:rsidR="00D17CF9" w:rsidRDefault="002C4FE0" w:rsidP="00C974EE">
      <w:pPr>
        <w:spacing w:line="360" w:lineRule="auto"/>
        <w:rPr>
          <w:rFonts w:ascii="Times New Roman" w:hAnsi="Times New Roman" w:cs="Times New Roman"/>
        </w:rPr>
      </w:pPr>
      <w:r w:rsidRPr="002C4FE0">
        <w:rPr>
          <w:rFonts w:ascii="Times New Roman" w:hAnsi="Times New Roman" w:cs="Times New Roman"/>
        </w:rPr>
        <w:t xml:space="preserve">According to the World Health Organization’s health-financing framework, the capacity of a health system to deliver quality, accessible services without financial hardship depends on how resources are </w:t>
      </w:r>
      <w:r w:rsidR="00052887" w:rsidRPr="00052887">
        <w:rPr>
          <w:rFonts w:ascii="Times New Roman" w:hAnsi="Times New Roman" w:cs="Times New Roman"/>
        </w:rPr>
        <w:t xml:space="preserve">raised/collected, pooled, and used to purchase services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{"citationID":"u9FUJlbM","properties":{"custom":"[9, 10]","formattedCitation":"[9, 10]","plainCitation":"[9, 10]","noteIndex":0},"citationItems":[{"id":31,"uris":["http://zotero.org/users/local/C4anYv1I/items/PNZSZDMJ"],"itemData":{"id":31,"type":"article-journal","container-title":"Health Systems &amp; Reform","issue":"4","page":"346–361","publisher":"Taylor &amp; Francis","title":"Kenya National Hospital Insurance Fund Reforms: implications and lessons for universal health coverage","volume":"4","author":[{"family":"Barasa","given":"Edwine"},{"family":"Rogo","given":"Khama"},{"family":"Mwaura","given":"Njeri"},{"family":"Chuma","given":"Jane"}],"issued":{"date-parts":[["2018"]]}},"label":"page"},{"id":32,"uris":["http://zotero.org/users/local/C4anYv1I/items/D9BCUSB8"],"itemData":{"id":32,"type":"article-journal","container-title":"Geneva, Switzerland: WHO Document Production Services","title":"Monitoring the building blocks of health systems","author":[{"family":"Indicators","given":"A HANDBOOK OF"}],"issued":{"date-parts":[["2010"]]}},"label":"page"}],"schema":"https://github.com/citation-style-language/schema/raw/master/csl-citation.json"}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[9, 10]</w:t>
      </w:r>
      <w:r w:rsidRPr="00C974EE">
        <w:rPr>
          <w:rFonts w:ascii="Times New Roman" w:hAnsi="Times New Roman" w:cs="Times New Roman"/>
        </w:rPr>
        <w:fldChar w:fldCharType="end"/>
      </w:r>
      <w:r>
        <w:rPr>
          <w:rFonts w:ascii="Times New Roman" w:hAnsi="Times New Roman" w:cs="Times New Roman"/>
        </w:rPr>
        <w:t xml:space="preserve">. </w:t>
      </w:r>
      <w:r w:rsidR="00373FD5" w:rsidRPr="00D17CF9">
        <w:rPr>
          <w:rFonts w:ascii="Times New Roman" w:hAnsi="Times New Roman" w:cs="Times New Roman"/>
        </w:rPr>
        <w:t>In Kenya, health financing functions through a mix of mechanisms aimed at achieving Universal Health Coverage (UHC).</w:t>
      </w:r>
      <w:r w:rsidR="00373FD5">
        <w:rPr>
          <w:rFonts w:ascii="Times New Roman" w:hAnsi="Times New Roman" w:cs="Times New Roman"/>
        </w:rPr>
        <w:t xml:space="preserve"> </w:t>
      </w:r>
      <w:r w:rsidR="00373FD5" w:rsidRPr="00D17CF9">
        <w:rPr>
          <w:rFonts w:ascii="Times New Roman" w:hAnsi="Times New Roman" w:cs="Times New Roman"/>
        </w:rPr>
        <w:t>Sources include government tax-based allocations (national and county), donor contributions, out-of-pocket payments, and insurance schemes</w:t>
      </w:r>
      <w:r w:rsidR="00E620A2">
        <w:rPr>
          <w:rFonts w:ascii="Times New Roman" w:hAnsi="Times New Roman" w:cs="Times New Roman"/>
        </w:rPr>
        <w:t xml:space="preserve"> </w:t>
      </w:r>
      <w:r w:rsidR="00E620A2">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{"citationID":"8P5Zb5N2","properties":{"formattedCitation":"[10]","plainCitation":"[10]","noteIndex":0},"citationItems":[{"id":31,"uris":["http://zotero.org/users/local/C4anYv1I/items/PNZSZDMJ"],"itemData":{"id":31,"type":"article-journal","container-title":"Health Systems &amp; Reform","issue":"4","page":"346–361","publisher":"Taylor &amp; Francis","title":"Kenya National Hospital Insurance Fund Reforms: implications and lessons for universal health coverage","volume":"4","author":[{"family":"Barasa","given":"Edwine"},{"family":"Rogo","given":"Khama"},{"family":"Mwaura","given":"Njeri"},{"family":"Chuma","given":"Jane"}],"issued":{"date-parts":[["2018"]]}}}],"schema":"https://github.com/citation-style-language/schema/raw/master/csl-citation.json"} </w:instrText>
      </w:r>
      <w:r w:rsidR="00E620A2">
        <w:rPr>
          <w:rFonts w:ascii="Times New Roman" w:hAnsi="Times New Roman" w:cs="Times New Roman"/>
        </w:rPr>
        <w:fldChar w:fldCharType="separate"/>
      </w:r>
      <w:r w:rsidR="00521BE0" w:rsidRPr="00521BE0">
        <w:rPr>
          <w:rFonts w:ascii="Times New Roman" w:hAnsi="Times New Roman" w:cs="Times New Roman"/>
        </w:rPr>
        <w:t>[10]</w:t>
      </w:r>
      <w:r w:rsidR="00E620A2">
        <w:rPr>
          <w:rFonts w:ascii="Times New Roman" w:hAnsi="Times New Roman" w:cs="Times New Roman"/>
        </w:rPr>
        <w:fldChar w:fldCharType="end"/>
      </w:r>
      <w:r w:rsidR="00373FD5" w:rsidRPr="00D17CF9">
        <w:rPr>
          <w:rFonts w:ascii="Times New Roman" w:hAnsi="Times New Roman" w:cs="Times New Roman"/>
        </w:rPr>
        <w:t>.</w:t>
      </w:r>
      <w:r w:rsidR="00373FD5">
        <w:rPr>
          <w:rFonts w:ascii="Times New Roman" w:hAnsi="Times New Roman" w:cs="Times New Roman"/>
        </w:rPr>
        <w:t xml:space="preserve"> </w:t>
      </w:r>
      <w:r w:rsidRPr="002C4FE0">
        <w:rPr>
          <w:rFonts w:ascii="Times New Roman" w:hAnsi="Times New Roman" w:cs="Times New Roman"/>
        </w:rPr>
        <w:t xml:space="preserve">However, the flow and management of these resources at the facility level largely determine service delivery capacity, particularly for chronic conditions that require sustained care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{"citationID":"lbc9m4gS","properties":{"custom":"[8, 11]","unsorted":true,"formattedCitation":"[8, 11]","plainCitation":"[8, 11]","noteIndex":0},"citationItems":[{"id":11,"uris":["http://zotero.org/users/local/C4anYv1I/items/N4TQE3BP"],"itemData":{"id":11,"type":"article-journal","container-title":"The lancet Diabetes &amp; endocrinology","issue":"8","page":"622–667","publisher":"Elsevier","title":"Diabetes in sub-Saharan Africa: from clinical care to health policy","volume":"5","author":[{"family":"Atun","given":"Rifat"},{"family":"Davies","given":"Justine I"},{"family":"Gale","given":"Edwin AM"},{"family":"Bärnighausen","given":"Till"},{"family":"Beran","given":"David"},{"family":"Kengne","given":"Andre Pascal"},{"family":"Levitt","given":"Naomi S"},{"family":"Mangugu","given":"Florence W"},{"family":"Nyirenda","given":"Moffat J"},{"family":"Ogle","given":"Graham D"},{"literal":"others"}],"issued":{"date-parts":[["2017"]]}},"label":"page"},{"id":13,"uris":["http://zotero.org/users/local/C4anYv1I/items/ZNSUTT7R"],"itemData":{"id":13,"type":"article-journal","container-title":"Public Health","page":"135–140","publisher":"Elsevier","title":"Devolution of healthcare system in Kenya: progress and challenges","volume":"189","author":[{"family":"Masaba","given":"Brian Barasa"},{"family":"Moturi","given":"John Kennedy"},{"family":"Taiswa","given":"J"},{"family":"Mmusi-Phetoe","given":"RM"}],"issued":{"date-parts":[["2020"]]}},"label":"page"}],"schema":"https://github.com/citation-style-language/schema/raw/master/csl-citation.json"}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[8, 11]</w:t>
      </w:r>
      <w:r w:rsidRPr="00C974EE">
        <w:rPr>
          <w:rFonts w:ascii="Times New Roman" w:hAnsi="Times New Roman" w:cs="Times New Roman"/>
        </w:rPr>
        <w:fldChar w:fldCharType="end"/>
      </w:r>
      <w:r>
        <w:rPr>
          <w:rFonts w:ascii="Times New Roman" w:hAnsi="Times New Roman" w:cs="Times New Roman"/>
        </w:rPr>
        <w:t>.</w:t>
      </w:r>
    </w:p>
    <w:p w14:paraId="725381DC" w14:textId="431DF613" w:rsidR="009D47B2" w:rsidRDefault="002C4FE0" w:rsidP="00C974EE">
      <w:pPr>
        <w:spacing w:line="360" w:lineRule="auto"/>
        <w:rPr>
          <w:rFonts w:ascii="Times New Roman" w:hAnsi="Times New Roman" w:cs="Times New Roman"/>
        </w:rPr>
      </w:pPr>
      <w:r w:rsidRPr="002C4FE0">
        <w:rPr>
          <w:rFonts w:ascii="Times New Roman" w:hAnsi="Times New Roman" w:cs="Times New Roman"/>
        </w:rPr>
        <w:t xml:space="preserve">Primary health care (PHC) facilities form the foundation of Kenya’s health system under the Kenya Essential Package for Health (KEPH) framework. The framework defines a tiered system of increasing service complexity: Level 1 (community health units) provide health promotion and referral linkages; Level 2 (dispensaries) offer basic outpatient care and NCD screening; Level 3 (health </w:t>
      </w:r>
      <w:proofErr w:type="spellStart"/>
      <w:r w:rsidRPr="002C4FE0">
        <w:rPr>
          <w:rFonts w:ascii="Times New Roman" w:hAnsi="Times New Roman" w:cs="Times New Roman"/>
        </w:rPr>
        <w:t>centres</w:t>
      </w:r>
      <w:proofErr w:type="spellEnd"/>
      <w:r w:rsidRPr="002C4FE0">
        <w:rPr>
          <w:rFonts w:ascii="Times New Roman" w:hAnsi="Times New Roman" w:cs="Times New Roman"/>
        </w:rPr>
        <w:t xml:space="preserve">) provide expanded outpatient, laboratory, and maternal care; and Level 4 (sub-county hospitals) deliver comprehensive services including inpatient and specialized NCD management. Each successive level requires greater financial and human-resource inputs, with financing expected to align proportionately with function. However, PHC facilities (Levels 2–4) often operate under resource constraints that limit their ability to provide consistent NCD services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{"citationID":"s63vyqNb","properties":{"custom":"[12, 13, 14]","formattedCitation":"[12, 13, 14]","plainCitation":"[12, 13, 14]","noteIndex":0},"citationItems":[{"id":13,"uris":["http://zotero.org/users/local/C4anYv1I/items/ZNSUTT7R"],"itemData":{"id":13,"type":"article-journal","container-title":"Public Health","page":"135–140","publisher":"Elsevier","title":"Devolution of healthcare system in Kenya: progress and challenges","volume":"189","author":[{"family":"Masaba","given":"Brian Barasa"},{"family":"Moturi","given":"John Kennedy"},{"family":"Taiswa","given":"J"},{"family":"Mmusi-Phetoe","given":"RM"}],"issued":{"date-parts":[["2020"]]}},"label":"page"},{"id":12,"uris":["http://zotero.org/users/local/C4anYv1I/items/MVGEJMQZ"],"itemData":{"id":12,"type":"article-journal","container-title":"International journal for equity in health","issue":"1","page":"107","publisher":"Springer","title":"Evaluating the effectiveness of the National Health Insurance Fund in providing financial protection to households with hypertension and diabetes patients in Kenya","volume":"22","author":[{"family":"Oyando","given":"Robinson"},{"family":"Were","given":"Vincent"},{"family":"Koros","given":"Hillary"},{"family":"Mugo","given":"Richard"},{"family":"Kamano","given":"Jemima"},{"family":"Etyang","given":"Anthony"},{"family":"Murphy","given":"Adrianna"},{"family":"Hanson","given":"Kara"},{"family":"Perel","given":"Pablo"},{"family":"Barasa","given":"Edwine"}],"issued":{"date-parts":[["2023"]]}},"label":"page"},{"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[12, 13, 14]</w:t>
      </w:r>
      <w:r w:rsidRPr="00C974EE">
        <w:rPr>
          <w:rFonts w:ascii="Times New Roman" w:hAnsi="Times New Roman" w:cs="Times New Roman"/>
        </w:rPr>
        <w:fldChar w:fldCharType="end"/>
      </w:r>
      <w:r w:rsidR="009D47B2" w:rsidRPr="002C7519">
        <w:rPr>
          <w:rFonts w:ascii="Times New Roman" w:hAnsi="Times New Roman" w:cs="Times New Roman"/>
        </w:rPr>
        <w:t>.</w:t>
      </w:r>
      <w:r w:rsidR="009D47B2" w:rsidRPr="00C974EE">
        <w:rPr>
          <w:rFonts w:ascii="Times New Roman" w:hAnsi="Times New Roman" w:cs="Times New Roman"/>
        </w:rPr>
        <w:t xml:space="preserve"> </w:t>
      </w:r>
    </w:p>
    <w:p w14:paraId="799709BE" w14:textId="014F9B10" w:rsidR="00D97A8B" w:rsidRPr="00D97A8B" w:rsidRDefault="0086349B" w:rsidP="00D97A8B">
      <w:pPr>
        <w:spacing w:line="360" w:lineRule="auto"/>
        <w:rPr>
          <w:rFonts w:ascii="Times New Roman" w:hAnsi="Times New Roman" w:cs="Times New Roman"/>
        </w:rPr>
      </w:pPr>
      <w:r w:rsidRPr="0086349B">
        <w:rPr>
          <w:rFonts w:ascii="Times New Roman" w:hAnsi="Times New Roman" w:cs="Times New Roman"/>
        </w:rPr>
        <w:t>Kenya's health sector underwent major transformation with the 2010 Constitution and the 2013 devolution reforms, which transferred governance authority from the central government to create a two-tier system comprising the national government and 47 semi-autonomous county governments</w:t>
      </w:r>
      <w:r>
        <w:rPr>
          <w:rFonts w:ascii="Times New Roman" w:hAnsi="Times New Roman" w:cs="Times New Roman"/>
        </w:rPr>
        <w:t xml:space="preserve"> </w:t>
      </w:r>
      <w:r w:rsidR="00D97A8B" w:rsidRPr="00C974EE">
        <w:rPr>
          <w:rFonts w:ascii="Times New Roman" w:hAnsi="Times New Roman" w:cs="Times New Roman"/>
        </w:rPr>
        <w:fldChar w:fldCharType="begin"/>
      </w:r>
      <w:r w:rsidR="00D97A8B">
        <w:rPr>
          <w:rFonts w:ascii="Times New Roman" w:hAnsi="Times New Roman" w:cs="Times New Roman"/>
        </w:rPr>
        <w:instrText xml:space="preserve"> ADDIN ZOTERO_ITEM CSL_CITATION {"citationID":"9lB46MSG","properties":{"formattedCitation":"[15]","plainCitation":"[15]","noteIndex":0},"citationItems":[{"id":14,"uris":["http://zotero.org/users/local/C4anYv1I/items/F25BZ6R2"],"itemData":{"id":14,"type":"article-journal","container-title":"Government Printer.","title":"The Constitution of Kenya. Nairobi: National Council for Law Reporting","URL":"https://www.refworld.org/legal/legislation/natlegbod/2010/en/75699","author":[{"family":"The Constitution of Kenya","given":""}],"issued":{"date-parts":[["2010"]]}}}],"schema":"https://github.com/citation-style-language/schema/raw/master/csl-citation.json"} </w:instrText>
      </w:r>
      <w:r w:rsidR="00D97A8B" w:rsidRPr="00C974EE">
        <w:rPr>
          <w:rFonts w:ascii="Times New Roman" w:hAnsi="Times New Roman" w:cs="Times New Roman"/>
        </w:rPr>
        <w:fldChar w:fldCharType="separate"/>
      </w:r>
      <w:r w:rsidR="00D97A8B" w:rsidRPr="00521BE0">
        <w:rPr>
          <w:rFonts w:ascii="Times New Roman" w:hAnsi="Times New Roman" w:cs="Times New Roman"/>
        </w:rPr>
        <w:t>[15]</w:t>
      </w:r>
      <w:r w:rsidR="00D97A8B" w:rsidRPr="00C974EE">
        <w:rPr>
          <w:rFonts w:ascii="Times New Roman" w:hAnsi="Times New Roman" w:cs="Times New Roman"/>
        </w:rPr>
        <w:fldChar w:fldCharType="end"/>
      </w:r>
      <w:r w:rsidR="00D97A8B">
        <w:rPr>
          <w:rFonts w:ascii="Times New Roman" w:hAnsi="Times New Roman" w:cs="Times New Roman"/>
        </w:rPr>
        <w:t>.</w:t>
      </w:r>
      <w:r w:rsidR="00D97A8B" w:rsidRPr="00D97A8B">
        <w:rPr>
          <w:rFonts w:ascii="Times New Roman" w:hAnsi="Times New Roman" w:cs="Times New Roman"/>
        </w:rPr>
        <w:t xml:space="preserve"> Counties assumed responsibility for delivering services at community and primary levels, while the national government retained policy and regulatory oversight </w:t>
      </w:r>
      <w:r w:rsidR="00D97A8B" w:rsidRPr="00C974EE">
        <w:rPr>
          <w:rFonts w:ascii="Times New Roman" w:hAnsi="Times New Roman" w:cs="Times New Roman"/>
        </w:rPr>
        <w:fldChar w:fldCharType="begin"/>
      </w:r>
      <w:r w:rsidR="00D97A8B">
        <w:rPr>
          <w:rFonts w:ascii="Times New Roman" w:hAnsi="Times New Roman" w:cs="Times New Roman"/>
        </w:rPr>
        <w:instrText xml:space="preserve"> ADDIN ZOTERO_ITEM CSL_CITATION {"citationID":"UBnX3fpr","properties":{"formattedCitation":"[9]","plainCitation":"[9]","noteIndex":0},"citationItems":[{"id":16,"uris":["http://zotero.org/users/local/C4anYv1I/items/URJFWRAM"],"itemData":{"id":16,"type":"legislation","title":"Kenya Health Financing Strategy 2020-2030","author":[{"family":"MoH","given":"Ministry of Health","suffix":"Kenya."}],"issued":{"date-parts":[["2020"]]}}}],"schema":"https://github.com/citation-style-language/schema/raw/master/csl-citation.json"} </w:instrText>
      </w:r>
      <w:r w:rsidR="00D97A8B" w:rsidRPr="00C974EE">
        <w:rPr>
          <w:rFonts w:ascii="Times New Roman" w:hAnsi="Times New Roman" w:cs="Times New Roman"/>
        </w:rPr>
        <w:fldChar w:fldCharType="separate"/>
      </w:r>
      <w:r w:rsidR="00D97A8B" w:rsidRPr="00521BE0">
        <w:rPr>
          <w:rFonts w:ascii="Times New Roman" w:hAnsi="Times New Roman" w:cs="Times New Roman"/>
        </w:rPr>
        <w:t>[9]</w:t>
      </w:r>
      <w:r w:rsidR="00D97A8B" w:rsidRPr="00C974EE">
        <w:rPr>
          <w:rFonts w:ascii="Times New Roman" w:hAnsi="Times New Roman" w:cs="Times New Roman"/>
        </w:rPr>
        <w:fldChar w:fldCharType="end"/>
      </w:r>
      <w:r w:rsidR="00D97A8B" w:rsidRPr="00C974EE">
        <w:rPr>
          <w:rFonts w:ascii="Times New Roman" w:hAnsi="Times New Roman" w:cs="Times New Roman"/>
        </w:rPr>
        <w:t>.</w:t>
      </w:r>
      <w:r w:rsidR="00D97A8B">
        <w:rPr>
          <w:rFonts w:ascii="Times New Roman" w:hAnsi="Times New Roman" w:cs="Times New Roman"/>
        </w:rPr>
        <w:t xml:space="preserve"> </w:t>
      </w:r>
      <w:r w:rsidR="00D97A8B" w:rsidRPr="00D97A8B">
        <w:rPr>
          <w:rFonts w:ascii="Times New Roman" w:hAnsi="Times New Roman" w:cs="Times New Roman"/>
        </w:rPr>
        <w:t xml:space="preserve"> Devolution was intended to enhance responsiveness, accountability, and efficiency by bringing decision making and resources closer to populations </w:t>
      </w:r>
      <w:r w:rsidR="00D97A8B" w:rsidRPr="00C974EE">
        <w:rPr>
          <w:rFonts w:ascii="Times New Roman" w:hAnsi="Times New Roman" w:cs="Times New Roman"/>
        </w:rPr>
        <w:fldChar w:fldCharType="begin"/>
      </w:r>
      <w:r w:rsidR="00D97A8B">
        <w:rPr>
          <w:rFonts w:ascii="Times New Roman" w:hAnsi="Times New Roman" w:cs="Times New Roman"/>
        </w:rPr>
        <w:instrText xml:space="preserve"> ADDIN ZOTERO_ITEM CSL_CITATION {"citationID":"k6O59FEQ","properties":{"custom":"[13, 16]","formattedCitation":"[13, 16]","plainCitation":"[13, 16]","noteIndex":0},"citationItems":[{"id":23,"uris":["http://zotero.org/users/local/C4anYv1I/items/W2DLM355"],"itemData":{"id":23,"type":"article-journal","container-title":"BMC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id":17,"uris":["http://zotero.org/users/local/C4anYv1I/items/XBWCNRV5"],"itemData":{"id":17,"type":"article-journal","container-title":"Cost effectiveness and resource allocation","issue":"1","page":"78","publisher":"Springer","title":"Level and determinants of county health system technical efficiency in Kenya: two stage data envelopment analysis","volume":"19","author":[{"family":"Barasa","given":"Edwine"},{"family":"Musiega","given":"Anita"},{"family":"Hanson","given":"Kara"},{"family":"Nyawira","given":"Lizah"},{"family":"Mulwa","given":"Andrew"},{"family":"Molyneux","given":"Sassy"},{"family":"Maina","given":"Isabel"},{"family":"Tsofa","given":"Benjamin"},{"family":"Normand","given":"Charles"},{"family":"Jemutai","given":"Julie"}],"issued":{"date-parts":[["2021"]]}},"label":"page"}],"schema":"https://github.com/citation-style-language/schema/raw/master/csl-citation.json"} </w:instrText>
      </w:r>
      <w:r w:rsidR="00D97A8B" w:rsidRPr="00C974EE">
        <w:rPr>
          <w:rFonts w:ascii="Times New Roman" w:hAnsi="Times New Roman" w:cs="Times New Roman"/>
        </w:rPr>
        <w:fldChar w:fldCharType="separate"/>
      </w:r>
      <w:r w:rsidR="00D97A8B" w:rsidRPr="00521BE0">
        <w:rPr>
          <w:rFonts w:ascii="Times New Roman" w:hAnsi="Times New Roman" w:cs="Times New Roman"/>
        </w:rPr>
        <w:t>[13, 16]</w:t>
      </w:r>
      <w:r w:rsidR="00D97A8B" w:rsidRPr="00C974EE">
        <w:rPr>
          <w:rFonts w:ascii="Times New Roman" w:hAnsi="Times New Roman" w:cs="Times New Roman"/>
        </w:rPr>
        <w:fldChar w:fldCharType="end"/>
      </w:r>
      <w:r w:rsidR="00D97A8B">
        <w:rPr>
          <w:rFonts w:ascii="Times New Roman" w:hAnsi="Times New Roman" w:cs="Times New Roman"/>
        </w:rPr>
        <w:t xml:space="preserve">. </w:t>
      </w:r>
      <w:r w:rsidR="00D97A8B" w:rsidRPr="00D97A8B">
        <w:rPr>
          <w:rFonts w:ascii="Times New Roman" w:hAnsi="Times New Roman" w:cs="Times New Roman"/>
        </w:rPr>
        <w:t xml:space="preserve">However, in practice, the fiscal and administrative rules that govern public funds have often limited facility level decision space, contributing to fragmented planning, delayed and unpredictable disbursements, and wide variation in county </w:t>
      </w:r>
      <w:proofErr w:type="spellStart"/>
      <w:r w:rsidR="00D97A8B" w:rsidRPr="00D97A8B">
        <w:rPr>
          <w:rFonts w:ascii="Times New Roman" w:hAnsi="Times New Roman" w:cs="Times New Roman"/>
        </w:rPr>
        <w:t>prioritisation</w:t>
      </w:r>
      <w:proofErr w:type="spellEnd"/>
      <w:r w:rsidR="00D97A8B" w:rsidRPr="00D97A8B">
        <w:rPr>
          <w:rFonts w:ascii="Times New Roman" w:hAnsi="Times New Roman" w:cs="Times New Roman"/>
        </w:rPr>
        <w:t xml:space="preserve"> of primary care services </w:t>
      </w:r>
      <w:r w:rsidR="00D97A8B" w:rsidRPr="00C974EE">
        <w:rPr>
          <w:rFonts w:ascii="Times New Roman" w:hAnsi="Times New Roman" w:cs="Times New Roman"/>
        </w:rPr>
        <w:fldChar w:fldCharType="begin"/>
      </w:r>
      <w:r w:rsidR="00D97A8B">
        <w:rPr>
          <w:rFonts w:ascii="Times New Roman" w:hAnsi="Times New Roman" w:cs="Times New Roman"/>
        </w:rPr>
        <w:instrText xml:space="preserve"> ADDIN ZOTERO_ITEM CSL_CITATION {"citationID":"VoI0L4i7","properties":{"custom":"[17, 18, 19]","formattedCitation":"[17, 18, 19]","plainCitation":"[17, 18, 19]","noteIndex":0},"citationItems":[{"id":26,"uris":["http://zotero.org/users/local/C4anYv1I/items/3675P28N"],"itemData":{"id":26,"type":"thesis","genre":"PhD Thesis","publisher":"University of Nairobi","title":"Healthcare Budget Allocation and Economic Growth Among County Governments in the North Rift Region in Kenya","author":[{"family":"Barmaasai","given":"Abraham"},{"literal":"others"}],"issued":{"date-parts":[["2021"]]}},"label":"page"},{"id":18,"uris":["http://zotero.org/users/local/C4anYv1I/items/XKIGRKAP"],"itemData":{"id":18,"type":"article-journal","container-title":"Health Monitor","page":"1–16","title":"The state of health financing in the African Region","volume":"9","author":[{"family":"Musango","given":"Laurent"},{"family":"Elovainio","given":"Riku"},{"family":"Nabyonga","given":"Juliet"},{"family":"Toure","given":"Bokar"}],"issued":{"date-parts":[["2013"]]}},"label":"page"},{"id":27,"uris":["http://zotero.org/users/local/C4anYv1I/items/6R8KW3PF"],"itemData":{"id":27,"type":"thesis","genre":"PhD Thesis","publisher":"UoN","title":"effect of healthcare budget allocation on County government economic growth in kenya","author":[{"family":"Waruingi","given":"Virginiah"}],"issued":{"date-parts":[["2020"]]}},"label":"page"}],"schema":"https://github.com/citation-style-language/schema/raw/master/csl-citation.json"} </w:instrText>
      </w:r>
      <w:r w:rsidR="00D97A8B" w:rsidRPr="00C974EE">
        <w:rPr>
          <w:rFonts w:ascii="Times New Roman" w:hAnsi="Times New Roman" w:cs="Times New Roman"/>
        </w:rPr>
        <w:fldChar w:fldCharType="separate"/>
      </w:r>
      <w:r w:rsidR="00D97A8B" w:rsidRPr="00521BE0">
        <w:rPr>
          <w:rFonts w:ascii="Times New Roman" w:hAnsi="Times New Roman" w:cs="Times New Roman"/>
        </w:rPr>
        <w:t>[17, 18, 19]</w:t>
      </w:r>
      <w:r w:rsidR="00D97A8B" w:rsidRPr="00C974EE">
        <w:rPr>
          <w:rFonts w:ascii="Times New Roman" w:hAnsi="Times New Roman" w:cs="Times New Roman"/>
        </w:rPr>
        <w:fldChar w:fldCharType="end"/>
      </w:r>
      <w:r w:rsidR="00D97A8B" w:rsidRPr="00C974EE">
        <w:rPr>
          <w:rFonts w:ascii="Times New Roman" w:hAnsi="Times New Roman" w:cs="Times New Roman"/>
        </w:rPr>
        <w:t>.</w:t>
      </w:r>
      <w:r w:rsidR="00D97A8B" w:rsidRPr="002C4FE0">
        <w:rPr>
          <w:rFonts w:ascii="Times New Roman" w:hAnsi="Times New Roman" w:cs="Times New Roman"/>
        </w:rPr>
        <w:t xml:space="preserve">  </w:t>
      </w:r>
      <w:r w:rsidR="00D97A8B" w:rsidRPr="00D97A8B">
        <w:rPr>
          <w:rFonts w:ascii="Times New Roman" w:hAnsi="Times New Roman" w:cs="Times New Roman"/>
        </w:rPr>
        <w:t xml:space="preserve">Although health sector allocations increased from 6% of the national budget in 2015 to 11% in 2023 </w:t>
      </w:r>
      <w:r w:rsidR="00D97A8B" w:rsidRPr="00C974EE">
        <w:rPr>
          <w:rFonts w:ascii="Times New Roman" w:hAnsi="Times New Roman" w:cs="Times New Roman"/>
        </w:rPr>
        <w:fldChar w:fldCharType="begin"/>
      </w:r>
      <w:r w:rsidR="00D97A8B">
        <w:rPr>
          <w:rFonts w:ascii="Times New Roman" w:hAnsi="Times New Roman" w:cs="Times New Roman"/>
        </w:rPr>
        <w:instrText xml:space="preserve"> ADDIN ZOTERO_ITEM CSL_CITATION {"citationID":"VNBjlQVd","properties":{"custom":"[17 - 20]","formattedCitation":"[17 - 20]","plainCitation":"[17 - 20]","noteIndex":0},"citationItems":[{"id":27,"uris":["http://zotero.org/users/local/C4anYv1I/items/6R8KW3PF"],"itemData":{"id":27,"type":"thesis","genre":"PhD Thesis","publisher":"UoN","title":"effect of healthcare budget allocation on County government economic growth in kenya","author":[{"family":"Waruingi","given":"Virginiah"}],"issued":{"date-parts":[["2020"]]}},"label":"page"},{"id":26,"uris":["http://zotero.org/users/local/C4anYv1I/items/3675P28N"],"itemData":{"id":26,"type":"thesis","genre":"PhD Thesis","publisher":"University of Nairobi","title":"Healthcare Budget Allocation and Economic Growth Among County Governments in the North Rift Region in Kenya","author":[{"family":"Barmaasai","given":"Abraham"},{"literal":"others"}],"issued":{"date-parts":[["2021"]]}},"label":"page"},{"id":18,"uris":["http://zotero.org/users/local/C4anYv1I/items/XKIGRKAP"],"itemData":{"id":18,"type":"article-journal","container-title":"Health Monitor","page":"1–16","title":"The state of health financing in the African Region","volume":"9","author":[{"family":"Musango","given":"Laurent"},{"family":"Elovainio","given":"Riku"},{"family":"Nabyonga","given":"Juliet"},{"family":"Toure","given":"Bokar"}],"issued":{"date-parts":[["2013"]]}},"label":"page"},{"id":19,"uris":["http://zotero.org/users/local/C4anYv1I/items/ANE9DCXI"],"itemData":{"id":19,"type":"article-journal","container-title":"Health Economics, Policy and Law","issue":"2","page":"125–137","publisher":"Cambridge University Press","title":"What level of domestic government health expenditure should we aspire to for universal health coverage?","volume":"12","author":[{"family":"McIntyre","given":"Di"},{"family":"Meheus","given":"Filip"},{"family":"Røttingen","given":"John-Arne"}],"issued":{"date-parts":[["2017"]]}},"label":"page"}],"schema":"https://github.com/citation-style-language/schema/raw/master/csl-citation.json"} </w:instrText>
      </w:r>
      <w:r w:rsidR="00D97A8B" w:rsidRPr="00C974EE">
        <w:rPr>
          <w:rFonts w:ascii="Times New Roman" w:hAnsi="Times New Roman" w:cs="Times New Roman"/>
        </w:rPr>
        <w:fldChar w:fldCharType="separate"/>
      </w:r>
      <w:r w:rsidR="00D97A8B" w:rsidRPr="00521BE0">
        <w:rPr>
          <w:rFonts w:ascii="Times New Roman" w:hAnsi="Times New Roman" w:cs="Times New Roman"/>
        </w:rPr>
        <w:t>[17 - 20]</w:t>
      </w:r>
      <w:r w:rsidR="00D97A8B" w:rsidRPr="00C974EE">
        <w:rPr>
          <w:rFonts w:ascii="Times New Roman" w:hAnsi="Times New Roman" w:cs="Times New Roman"/>
        </w:rPr>
        <w:fldChar w:fldCharType="end"/>
      </w:r>
      <w:r w:rsidR="00D97A8B">
        <w:rPr>
          <w:rFonts w:ascii="Times New Roman" w:hAnsi="Times New Roman" w:cs="Times New Roman"/>
        </w:rPr>
        <w:t xml:space="preserve">, </w:t>
      </w:r>
      <w:r w:rsidR="00D97A8B" w:rsidRPr="00D97A8B">
        <w:rPr>
          <w:rFonts w:ascii="Times New Roman" w:hAnsi="Times New Roman" w:cs="Times New Roman"/>
        </w:rPr>
        <w:t>these remain below the 15% Abuja target and are insufficient to meet the growing burden of chronic disease.</w:t>
      </w:r>
      <w:r w:rsidR="00D97A8B">
        <w:rPr>
          <w:rFonts w:ascii="Times New Roman" w:hAnsi="Times New Roman" w:cs="Times New Roman"/>
        </w:rPr>
        <w:t xml:space="preserve"> </w:t>
      </w:r>
    </w:p>
    <w:p w14:paraId="0B83250B" w14:textId="5B33D693" w:rsidR="002C4FE0" w:rsidRDefault="00D97A8B" w:rsidP="00C974EE">
      <w:pPr>
        <w:spacing w:line="360" w:lineRule="auto"/>
        <w:rPr>
          <w:rFonts w:ascii="Times New Roman" w:hAnsi="Times New Roman" w:cs="Times New Roman"/>
        </w:rPr>
      </w:pPr>
      <w:r w:rsidRPr="00D97A8B">
        <w:rPr>
          <w:rFonts w:ascii="Times New Roman" w:hAnsi="Times New Roman" w:cs="Times New Roman"/>
        </w:rPr>
        <w:t xml:space="preserve">A pivotal reform shaping facility financing within devolution was the Public Finance Management Act of 2012 </w:t>
      </w:r>
      <w:r w:rsidR="0086349B">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{"citationID":"O0Bp5vSf","properties":{"formattedCitation":"[21]","plainCitation":"[21]","noteIndex":0},"citationItems":[{"id":128,"uris":["http://zotero.org/users/local/C4anYv1I/items/UCPFZ9YB"],"itemData":{"id":128,"type":"bill","authority":"National Council for Law Reporting","title":"PUBLIC FINANCE MANAGEMENT ACT","volume":"12","issued":{"date-parts":[["2012"]]}}}],"schema":"https://github.com/citation-style-language/schema/raw/master/csl-citation.json"} </w:instrText>
      </w:r>
      <w:r w:rsidR="0086349B">
        <w:rPr>
          <w:rFonts w:ascii="Times New Roman" w:hAnsi="Times New Roman" w:cs="Times New Roman"/>
        </w:rPr>
        <w:fldChar w:fldCharType="separate"/>
      </w:r>
      <w:r w:rsidR="0086349B" w:rsidRPr="0086349B">
        <w:rPr>
          <w:rFonts w:ascii="Times New Roman" w:hAnsi="Times New Roman" w:cs="Times New Roman"/>
        </w:rPr>
        <w:t>[21]</w:t>
      </w:r>
      <w:r w:rsidR="0086349B">
        <w:rPr>
          <w:rFonts w:ascii="Times New Roman" w:hAnsi="Times New Roman" w:cs="Times New Roman"/>
        </w:rPr>
        <w:fldChar w:fldCharType="end"/>
      </w:r>
      <w:r w:rsidRPr="00D97A8B">
        <w:rPr>
          <w:rFonts w:ascii="Times New Roman" w:hAnsi="Times New Roman" w:cs="Times New Roman"/>
        </w:rPr>
        <w:t xml:space="preserve">. Prior to this, the Health Sector Services Fund enabled many primary facilities to retain and manage funds locally through facility bank accounts and committees, which improved flexibility to address operational needs and procure essential supplies when central supply was delayed or insufficient </w:t>
      </w:r>
      <w:r>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{"citationID":"bYweatHc","properties":{"formattedCitation":"[22]","plainCitation":"[22]","noteIndex":0},"citationItems":[{"id":129,"uris":["http://zotero.org/users/local/C4anYv1I/items/58UTQDY7"],"itemData":{"id":129,"type":"article-journal","abstract":"With user fees now seen as a major hindrance to universal health coverage, many countries have introduced fee reduction or elimination policies, but there is growing evidence that adherence to reduced fees is often highly imperfect. In 2004, Kenya adopted a reduced and uniform user fee policy providing fee exemptions to many groups. We present data on user fee implementation, revenue and expenditure from a nationally representative survey of Kenyan primary health facilities. Data were collected from 248 randomly selected public health centres and dispensaries in 2010, comprising an interview with the health worker in charge, exit interviews with curative outpatients, and a financial record review. Adherence to user fee policy was assessed for eight tracer conditions based on health worker reports, and patients were asked about actual amounts paid. No facilities adhered fully to the user fee policy across all eight tracers, with adherence ranging from 62.2% for an adult with tuberculosis to 4.2% for an adult with malaria. Three quarters of exit interviewees had paid some fees, with a median payment of US dollars (USD) 0.39, and a quarter of interviewees were required to purchase additional medical supplies at a later stage from a private drug retailer. No consistent pattern of association was identified between facility characteristics and policy adherence. User fee revenues accounted for almost all facility cash income, with average revenue of USD 683 per facility per year. Fee revenue was mainly used to cover support staff, non-drug supplies and travel allowances. Adherence to user fee policy was very low, leading to concerns about the impact on access and the financial burden on households. However, the potential to ensure adherence was constrained by the facilities’ need for revenue to cover basic operating costs, highlighting the need for alternative funding strategies for peripheral health facilities.","container-title":"Health Policy and Planning","DOI":"10.1093/heapol/czu026","ISSN":"0268-1080","issue":"4","journalAbbreviation":"Health Policy Plan","page":"508-517","source":"Silverchair","title":"Implementation of patient charges at primary care facilities in Kenya: implications of low adherence to user fee policy for users and facility revenue","title-short":"Implementation of patient charges at primary care facilities in Kenya","URL":"https://doi.org/10.1093/heapol/czu026","volume":"30","author":[{"family":"Opwora","given":"Antony"},{"family":"Waweru","given":"Evelyn"},{"family":"Toda","given":"Mitsuru"},{"family":"Noor","given":"Abdisalan"},{"family":"Edwards","given":"Tansy"},{"family":"Fegan","given":"Greg"},{"family":"Molyneux","given":"Sassy"},{"family":"Goodman","given":"Catherine"}],"accessed":{"date-parts":[["2026",1,27]]},"issued":{"date-parts":[["2015",5,1]]}}}],"schema":"https://github.com/citation-style-language/schema/raw/master/csl-citation.json"} </w:instrText>
      </w:r>
      <w:r>
        <w:rPr>
          <w:rFonts w:ascii="Times New Roman" w:hAnsi="Times New Roman" w:cs="Times New Roman"/>
        </w:rPr>
        <w:fldChar w:fldCharType="separate"/>
      </w:r>
      <w:r w:rsidR="0086349B" w:rsidRPr="0086349B">
        <w:rPr>
          <w:rFonts w:ascii="Times New Roman" w:hAnsi="Times New Roman" w:cs="Times New Roman"/>
        </w:rPr>
        <w:t>[22]</w:t>
      </w:r>
      <w:r>
        <w:rPr>
          <w:rFonts w:ascii="Times New Roman" w:hAnsi="Times New Roman" w:cs="Times New Roman"/>
        </w:rPr>
        <w:fldChar w:fldCharType="end"/>
      </w:r>
      <w:r w:rsidRPr="002C7519">
        <w:rPr>
          <w:rFonts w:ascii="Times New Roman" w:hAnsi="Times New Roman" w:cs="Times New Roman"/>
        </w:rPr>
        <w:t xml:space="preserve">. </w:t>
      </w:r>
      <w:r w:rsidRPr="00D97A8B">
        <w:rPr>
          <w:rFonts w:ascii="Times New Roman" w:hAnsi="Times New Roman" w:cs="Times New Roman"/>
        </w:rPr>
        <w:t xml:space="preserve">Following implementation of the Public Finance Management Act, most counties required facility revenues and operating funds to flow through county treasuries, with expenditures requiring county level approval. While intended to strengthen accountability, these arrangements often reduced the timeliness and flexibility of spending decisions at facility level, which is particularly consequential for hypertension and diabetes services that depend on continuous medicine availability, functioning diagnostics, and rapid response to stockouts and equipment failure </w:t>
      </w:r>
      <w:r w:rsidRPr="00C974EE">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{"citationID":"sISy6Ns7","properties":{"custom":"[16, 20, 21]","formattedCitation":"[16, 20, 21]","plainCitation":"[16, 20, 21]","noteIndex":0},"citationItems":[{"id":17,"uris":["http://zotero.org/users/local/C4anYv1I/items/XBWCNRV5"],"itemData":{"id":17,"type":"article-journal","container-title":"Cost effectiveness and resource allocation","issue":"1","page":"78","publisher":"Springer","title":"Level and determinants of county health system technical efficiency in Kenya: two stage data envelopment analysis","volume":"19","author":[{"family":"Barasa","given":"Edwine"},{"family":"Musiega","given":"Anita"},{"family":"Hanson","given":"Kara"},{"family":"Nyawira","given":"Lizah"},{"family":"Mulwa","given":"Andrew"},{"family":"Molyneux","given":"Sassy"},{"family":"Maina","given":"Isabel"},{"family":"Tsofa","given":"Benjamin"},{"family":"Normand","given":"Charles"},{"family":"Jemutai","given":"Julie"}],"issued":{"date-parts":[["2021"]]}},"label":"page"},{"id":19,"uris":["http://zotero.org/users/local/C4anYv1I/items/ANE9DCXI"],"itemData":{"id":19,"type":"article-journal","container-title":"Health Economics, Policy and Law","issue":"2","page":"125–137","publisher":"Cambridge University Press","title":"What level of domestic government health expenditure should we aspire to for universal health coverage?","volume":"12","author":[{"family":"McIntyre","given":"Di"},{"family":"Meheus","given":"Filip"},{"family":"Røttingen","given":"John-Arne"}],"issued":{"date-parts":[["2017"]]}},"label":"page"},{"id":128,"uris":["http://zotero.org/users/local/C4anYv1I/items/UCPFZ9YB"],"itemData":{"id":128,"type":"bill","authority":"National Council for Law Reporting","title":"PUBLIC FINANCE MANAGEMENT ACT","volume":"12","issued":{"date-parts":[["2012"]]}},"label":"page"}],"schema":"https://github.com/citation-style-language/schema/raw/master/csl-citation.json"} </w:instrText>
      </w:r>
      <w:r w:rsidRPr="00C974EE">
        <w:rPr>
          <w:rFonts w:ascii="Times New Roman" w:hAnsi="Times New Roman" w:cs="Times New Roman"/>
        </w:rPr>
        <w:fldChar w:fldCharType="separate"/>
      </w:r>
      <w:r w:rsidR="0086349B" w:rsidRPr="0086349B">
        <w:rPr>
          <w:rFonts w:ascii="Times New Roman" w:hAnsi="Times New Roman" w:cs="Times New Roman"/>
        </w:rPr>
        <w:t>[16, 20, 21]</w:t>
      </w:r>
      <w:r w:rsidRPr="00C974EE">
        <w:rPr>
          <w:rFonts w:ascii="Times New Roman" w:hAnsi="Times New Roman" w:cs="Times New Roman"/>
        </w:rPr>
        <w:fldChar w:fldCharType="end"/>
      </w:r>
      <w:r w:rsidRPr="00C974EE">
        <w:rPr>
          <w:rFonts w:ascii="Times New Roman" w:hAnsi="Times New Roman" w:cs="Times New Roman"/>
        </w:rPr>
        <w:t>.</w:t>
      </w:r>
      <w:r w:rsidRPr="00D97A8B">
        <w:rPr>
          <w:rFonts w:ascii="Times New Roman" w:hAnsi="Times New Roman" w:cs="Times New Roman"/>
        </w:rPr>
        <w:t xml:space="preserve">This creates a political institutional gap in Kenya’s devolved health system, where service delivery responsibility is </w:t>
      </w:r>
      <w:proofErr w:type="spellStart"/>
      <w:r w:rsidRPr="00D97A8B">
        <w:rPr>
          <w:rFonts w:ascii="Times New Roman" w:hAnsi="Times New Roman" w:cs="Times New Roman"/>
        </w:rPr>
        <w:t>decentralised</w:t>
      </w:r>
      <w:proofErr w:type="spellEnd"/>
      <w:r w:rsidRPr="00D97A8B">
        <w:rPr>
          <w:rFonts w:ascii="Times New Roman" w:hAnsi="Times New Roman" w:cs="Times New Roman"/>
        </w:rPr>
        <w:t xml:space="preserve"> but practical fiscal decision space for frontline facilities remains constrained.</w:t>
      </w:r>
    </w:p>
    <w:p w14:paraId="327A5B0F" w14:textId="11A8DDC4" w:rsidR="002C7519" w:rsidRDefault="002C7519" w:rsidP="00C974EE">
      <w:pPr>
        <w:spacing w:line="360" w:lineRule="auto"/>
        <w:rPr>
          <w:rFonts w:ascii="Times New Roman" w:hAnsi="Times New Roman" w:cs="Times New Roman"/>
        </w:rPr>
      </w:pPr>
      <w:r w:rsidRPr="002C7519">
        <w:rPr>
          <w:rFonts w:ascii="Times New Roman" w:hAnsi="Times New Roman" w:cs="Times New Roman"/>
        </w:rPr>
        <w:t>Financing constraints at the facility level have direct implications for NCD service delivery. Inadequate and unpredictable funding compromises the consistent availability of medicines, diagnostics, and trained personnel</w:t>
      </w:r>
      <w:r>
        <w:rPr>
          <w:rFonts w:ascii="Times New Roman" w:hAnsi="Times New Roman" w:cs="Times New Roman"/>
        </w:rPr>
        <w:t xml:space="preserve">, </w:t>
      </w:r>
      <w:r w:rsidRPr="002C7519">
        <w:rPr>
          <w:rFonts w:ascii="Times New Roman" w:hAnsi="Times New Roman" w:cs="Times New Roman"/>
        </w:rPr>
        <w:t xml:space="preserve">all vital for effective chronic care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{"citationID":"pIdlesMU","properties":{"custom":"[22, 23]","formattedCitation":"[22, 23]","plainCitation":"[22, 23]","noteIndex":0},"citationItems":[{"id":30,"uris":["http://zotero.org/users/local/C4anYv1I/items/27IGFM4P"],"itemData":{"id":30,"type":"article-journal","container-title":"Bulletin of the World Health Organization","page":"602–611","publisher":"SciELO Public Health","title":"Health financing for universal coverage and health system performance: concepts and implications for policy","volume":"91","author":[{"family":"Kutzin","given":"Joseph"}],"issued":{"date-parts":[["2013"]]}},"label":"page"},{"id":29,"uris":["http://zotero.org/users/local/C4anYv1I/items/549IW8SA"],"itemData":{"id":29,"type":"book","publisher":"World Health Organization","title":"Tracking universal health coverage: first global monitoring report","author":[{"family":"Organization","given":"World Health"},{"literal":"others"}],"issued":{"date-parts":[["2015"]]}},"label":"page"}],"schema":"https://github.com/citation-style-language/schema/raw/master/csl-citation.json"}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[22, 23]</w:t>
      </w:r>
      <w:r w:rsidRPr="00C974EE">
        <w:rPr>
          <w:rFonts w:ascii="Times New Roman" w:hAnsi="Times New Roman" w:cs="Times New Roman"/>
        </w:rPr>
        <w:fldChar w:fldCharType="end"/>
      </w:r>
      <w:r w:rsidRPr="002C7519">
        <w:rPr>
          <w:rFonts w:ascii="Times New Roman" w:hAnsi="Times New Roman" w:cs="Times New Roman"/>
        </w:rPr>
        <w:t xml:space="preserve">. Unlike vertical programs for HIV, TB, and malaria that benefit from earmarked funding, NCD programs lack ring-fenced budget allocations and are integrated into general PHC budgets, leaving them vulnerable to competing priorities. Limited data on NCD burden, cost, and utilization further weaken their case during budgeting cycles </w:t>
      </w:r>
      <w:r w:rsidRPr="00C974EE">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{"citationID":"9eo8Gma6","properties":{"custom":"[14, 21]","formattedCitation":"[14, 21]","plainCitation":"[14, 21]","noteIndex":0},"citationItems":[{"id":23,"uris":["http://zotero.org/users/local/C4anYv1I/items/W2DLM355"],"itemData":{"id":23,"type":"article-journal","container-title":"BMC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id":28,"uris":["http://zotero.org/users/local/C4anYv1I/items/TCTXZRW2"],"itemData":{"id":28,"type":"thesis","genre":"PhD Thesis","publisher":"KeMU","title":"Towards a Digital Health Information Framework For Management of Essential Medicine Supply Chain in Public Healthcare Facilities in Kenya","author":[{"family":"NALEBE","given":"ROBERT MUGUBI"}],"issued":{"date-parts":[["2024"]]}},"label":"page"}],"schema":"https://github.com/citation-style-language/schema/raw/master/csl-citation.json"} </w:instrText>
      </w:r>
      <w:r w:rsidRPr="00C974EE">
        <w:rPr>
          <w:rFonts w:ascii="Times New Roman" w:hAnsi="Times New Roman" w:cs="Times New Roman"/>
        </w:rPr>
        <w:fldChar w:fldCharType="separate"/>
      </w:r>
      <w:r w:rsidR="00521BE0" w:rsidRPr="00521BE0">
        <w:rPr>
          <w:rFonts w:ascii="Times New Roman" w:hAnsi="Times New Roman" w:cs="Times New Roman"/>
        </w:rPr>
        <w:t>[14, 21]</w:t>
      </w:r>
      <w:r w:rsidRPr="00C974EE">
        <w:rPr>
          <w:rFonts w:ascii="Times New Roman" w:hAnsi="Times New Roman" w:cs="Times New Roman"/>
        </w:rPr>
        <w:fldChar w:fldCharType="end"/>
      </w:r>
      <w:r w:rsidRPr="00C974EE">
        <w:rPr>
          <w:rFonts w:ascii="Times New Roman" w:hAnsi="Times New Roman" w:cs="Times New Roman"/>
        </w:rPr>
        <w:t>.</w:t>
      </w:r>
      <w:r w:rsidRPr="002C7519">
        <w:rPr>
          <w:rFonts w:ascii="Times New Roman" w:hAnsi="Times New Roman" w:cs="Times New Roman"/>
        </w:rPr>
        <w:t xml:space="preserve"> Consequently, NCD services frequently suffer from chronic underfunding and irregular supplies of essential drugs.</w:t>
      </w:r>
    </w:p>
    <w:p w14:paraId="65611093" w14:textId="55B473A7" w:rsidR="007740D2" w:rsidRDefault="00951726" w:rsidP="00C974EE">
      <w:pPr>
        <w:spacing w:line="360" w:lineRule="auto"/>
        <w:rPr>
          <w:rFonts w:ascii="Times New Roman" w:hAnsi="Times New Roman" w:cs="Times New Roman"/>
        </w:rPr>
      </w:pPr>
      <w:r w:rsidRPr="00951726">
        <w:rPr>
          <w:rFonts w:ascii="Times New Roman" w:hAnsi="Times New Roman" w:cs="Times New Roman"/>
        </w:rPr>
        <w:t xml:space="preserve">Non-state actors contribute variably to NCD financing at the county level. Development partners such as </w:t>
      </w:r>
      <w:proofErr w:type="spellStart"/>
      <w:r w:rsidRPr="00951726">
        <w:rPr>
          <w:rFonts w:ascii="Times New Roman" w:hAnsi="Times New Roman" w:cs="Times New Roman"/>
        </w:rPr>
        <w:t>Danida</w:t>
      </w:r>
      <w:proofErr w:type="spellEnd"/>
      <w:r w:rsidRPr="00951726">
        <w:rPr>
          <w:rFonts w:ascii="Times New Roman" w:hAnsi="Times New Roman" w:cs="Times New Roman"/>
        </w:rPr>
        <w:t xml:space="preserve"> have supported selected counties, while social health insurance reimbursements through NHIF/SHA offer limited financial protection. However, delays in reimbursements and unpredictable payment amounts continue to destabilize facility operations for chronic disease managemen</w:t>
      </w:r>
      <w:r>
        <w:rPr>
          <w:rFonts w:ascii="Times New Roman" w:hAnsi="Times New Roman" w:cs="Times New Roman"/>
        </w:rPr>
        <w:t>t</w:t>
      </w:r>
      <w:r w:rsidR="00E6207C">
        <w:rPr>
          <w:rFonts w:ascii="Times New Roman" w:hAnsi="Times New Roman" w:cs="Times New Roman"/>
        </w:rPr>
        <w:t xml:space="preserve"> </w:t>
      </w:r>
      <w:r w:rsidR="00E6207C">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{"citationID":"mmVT3s8B","properties":{"custom":"[12, 24, 25]","formattedCitation":"[12, 24, 25]","plainCitation":"[12, 24, 25]","noteIndex":0},"citationItems":[{"id":13,"uris":["http://zotero.org/users/local/C4anYv1I/items/ZNSUTT7R"],"itemData":{"id":13,"type":"article-journal","container-title":"Public Health","page":"135–140","publisher":"Elsevier","title":"Devolution of healthcare system in Kenya: progress and challenges","volume":"189","author":[{"family":"Masaba","given":"Brian Barasa"},{"family":"Moturi","given":"John Kennedy"},{"family":"Taiswa","given":"J"},{"family":"Mmusi-Phetoe","given":"RM"}],"issued":{"date-parts":[["2020"]]}},"label":"page"},{"id":47,"uris":["http://zotero.org/users/local/C4anYv1I/items/ZC6LTHM4"],"itemData":{"id":47,"type":"webpage","abstract":"This report summarizes the findings of the Health Financing Progress Matrix assessment, WHO’s standardized assessment of a country’s health financing policies, for Kenya. The report highlights both strengths and weaknesses in Kenya's current health financing arrangements, assessed against the desirable attributes of a health financing system, based on global evidence. Based on the findings, the report suggests a number of policy adjustments to drive accelerated progress towards universal health coverage (UHC) in the country.","language":"en","title":"Health Financing Progress Matrix assessment, Kenya 2023: summary of findings and recommendations","title-short":"Health Financing Progress Matrix assessment, Kenya 2023","URL":"https://www.who.int/publications/i/item/9789240094307","author":[{"family":"WHO","given":""}],"accessed":{"date-parts":[["2025",10,6]]}},"label":"page"},{"id":49,"uris":["http://zotero.org/users/local/C4anYv1I/items/XLTC4I4R"],"itemData":{"id":49,"type":"article-journal","abstract":"OBJECTIVE: To investigate the relation between decentralization and equity of resource allocation in Colombia and Chile.\nMETHODS: The \"decision space\" approach and analysis of expenditures and utilization rates were used to provide a comparative analysis of decentralization of the health systems of Colombia and Chile.\nFINDINGS: Evidence from Colombia and Chile suggests that decentralization, under certain conditions and with some specific policy mechanisms, can improve equity of resource allocation. In these countries, equitable levels of per capita financial allocations at the municipal level were achieved through different forms of decentralization--the use of allocation formulae, adequate local funding choices and horizontal equity funds. Findings on equity of utilization of services were less consistent, but they did show that increased levels of funding were associated with increased utilization. This suggests that improved equity of funding over time might reduce inequities of service utilization.\nCONCLUSION: Decentralization can contribute to, or at least maintain, equitable allocation of health resources among municipalities of different incomes.","container-title":"Bulletin of the World Health Organization","ISSN":"0042-9686","issue":"2","journalAbbreviation":"Bull World Health Organ","language":"eng","page":"95-100","PMID":"12751417","PMCID":"PMC2572397","source":"PubMed","title":"Decentralization and equity of resource allocation: evidence from Colombia and Chile","title-short":"Decentralization and equity of resource allocation","volume":"81","author":[{"family":"Bossert","given":"Thomas J."},{"family":"Larrañaga","given":"Osvaldo"},{"family":"Giedion","given":"Ursula"},{"family":"Arbelaez","given":"José Jesus"},{"family":"Bowser","given":"Diana M."}],"issued":{"date-parts":[["2003"]]}},"label":"page"}],"schema":"https://github.com/citation-style-language/schema/raw/master/csl-citation.json"} </w:instrText>
      </w:r>
      <w:r w:rsidR="00E6207C">
        <w:rPr>
          <w:rFonts w:ascii="Times New Roman" w:hAnsi="Times New Roman" w:cs="Times New Roman"/>
        </w:rPr>
        <w:fldChar w:fldCharType="separate"/>
      </w:r>
      <w:r w:rsidR="00521BE0" w:rsidRPr="00521BE0">
        <w:rPr>
          <w:rFonts w:ascii="Times New Roman" w:hAnsi="Times New Roman" w:cs="Times New Roman"/>
        </w:rPr>
        <w:t>[12, 24, 25]</w:t>
      </w:r>
      <w:r w:rsidR="00E6207C">
        <w:rPr>
          <w:rFonts w:ascii="Times New Roman" w:hAnsi="Times New Roman" w:cs="Times New Roman"/>
        </w:rPr>
        <w:fldChar w:fldCharType="end"/>
      </w:r>
      <w:r w:rsidR="000D1335" w:rsidRPr="00C974EE">
        <w:rPr>
          <w:rFonts w:ascii="Times New Roman" w:hAnsi="Times New Roman" w:cs="Times New Roman"/>
        </w:rPr>
        <w:t>.</w:t>
      </w:r>
    </w:p>
    <w:p w14:paraId="5A75FE7F" w14:textId="69FB7807" w:rsidR="00951726" w:rsidRDefault="00951726" w:rsidP="00C974EE">
      <w:pPr>
        <w:spacing w:line="360" w:lineRule="auto"/>
        <w:rPr>
          <w:rFonts w:ascii="Times New Roman" w:hAnsi="Times New Roman" w:cs="Times New Roman"/>
        </w:rPr>
      </w:pPr>
      <w:r w:rsidRPr="00951726">
        <w:rPr>
          <w:rFonts w:ascii="Times New Roman" w:hAnsi="Times New Roman" w:cs="Times New Roman"/>
        </w:rPr>
        <w:t>These systemic financing gaps have significant implications for Universal Health Coverage (UHC) and health equity. Effective UHC requires that all individuals, regardless of socioeconomic or geographic status, have access to quality health services without financial hardship. Yet, the current financing architecture in Kenya’s devolved system limits equitable access to essential chronic disease services</w:t>
      </w:r>
      <w:r>
        <w:rPr>
          <w:rFonts w:ascii="Times New Roman" w:hAnsi="Times New Roman" w:cs="Times New Roman"/>
        </w:rPr>
        <w:t xml:space="preserve"> </w:t>
      </w:r>
      <w:r w:rsidRPr="00951726">
        <w:rPr>
          <w:rFonts w:ascii="Times New Roman" w:hAnsi="Times New Roman" w:cs="Times New Roman"/>
        </w:rPr>
        <w:t>particularly in rural areas where facilities depend on narrow, unpredictable revenue streams and have limited fiscal autonomy.</w:t>
      </w:r>
    </w:p>
    <w:p w14:paraId="48E25EF4" w14:textId="0280D813" w:rsidR="0028588D" w:rsidRDefault="008271D4" w:rsidP="0028588D">
      <w:pPr>
        <w:spacing w:line="360" w:lineRule="auto"/>
        <w:rPr>
          <w:rFonts w:ascii="Times New Roman" w:hAnsi="Times New Roman" w:cs="Times New Roman"/>
        </w:rPr>
      </w:pPr>
      <w:r w:rsidRPr="008271D4">
        <w:rPr>
          <w:rFonts w:ascii="Times New Roman" w:hAnsi="Times New Roman" w:cs="Times New Roman"/>
        </w:rPr>
        <w:t>This study therefore examines how the interaction between financing architecture and constrained facility decision space under devolution shapes the effectiveness of hypertension and diabetes care at primary health care level.</w:t>
      </w:r>
      <w:r>
        <w:rPr>
          <w:rFonts w:ascii="Times New Roman" w:hAnsi="Times New Roman" w:cs="Times New Roman"/>
        </w:rPr>
        <w:t xml:space="preserve"> </w:t>
      </w:r>
      <w:r w:rsidR="00951726" w:rsidRPr="00951726">
        <w:rPr>
          <w:rFonts w:ascii="Times New Roman" w:hAnsi="Times New Roman" w:cs="Times New Roman"/>
        </w:rPr>
        <w:t>Despite multiple financing reforms and the growing burden of NCDs, empirical evidence on how financing mechanisms at the PHC facility level affect hypertension and diabetes service delivery remain limited. Previous studies have addressed health-system financing broadly</w:t>
      </w:r>
      <w:r w:rsidR="008C1896">
        <w:rPr>
          <w:rFonts w:ascii="Times New Roman" w:hAnsi="Times New Roman" w:cs="Times New Roman"/>
        </w:rPr>
        <w:t xml:space="preserve"> </w:t>
      </w:r>
      <w:r w:rsidR="008C1896">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{"citationID":"UW9BJjfG","properties":{"custom":"[13, 20, 21]","formattedCitation":"[13, 20, 21]","plainCitation":"[13, 20, 21]","noteIndex":0},"citationItems":[{"id":12,"uris":["http://zotero.org/users/local/C4anYv1I/items/MVGEJMQZ"],"itemData":{"id":12,"type":"article-journal","container-title":"International journal for equity in health","issue":"1","page":"107","publisher":"Springer","title":"Evaluating the effectiveness of the National Health Insurance Fund in providing financial protection to households with hypertension and diabetes patients in Kenya","volume":"22","author":[{"family":"Oyando","given":"Robinson"},{"family":"Were","given":"Vincent"},{"family":"Koros","given":"Hillary"},{"family":"Mugo","given":"Richard"},{"family":"Kamano","given":"Jemima"},{"family":"Etyang","given":"Anthony"},{"family":"Murphy","given":"Adrianna"},{"family":"Hanson","given":"Kara"},{"family":"Perel","given":"Pablo"},{"family":"Barasa","given":"Edwine"}],"issued":{"date-parts":[["2023"]]}},"label":"page"},{"id":19,"uris":["http://zotero.org/users/local/C4anYv1I/items/ANE9DCXI"],"itemData":{"id":19,"type":"article-journal","container-title":"Health Economics, Policy and Law","issue":"2","page":"125–137","publisher":"Cambridge University Press","title":"What level of domestic government health expenditure should we aspire to for universal health coverage?","volume":"12","author":[{"family":"McIntyre","given":"Di"},{"family":"Meheus","given":"Filip"},{"family":"Røttingen","given":"John-Arne"}],"issued":{"date-parts":[["2017"]]}},"label":"page"},{"id":28,"uris":["http://zotero.org/users/local/C4anYv1I/items/TCTXZRW2"],"itemData":{"id":28,"type":"thesis","genre":"PhD Thesis","publisher":"KeMU","title":"Towards a Digital Health Information Framework For Management of Essential Medicine Supply Chain in Public Healthcare Facilities in Kenya","author":[{"family":"NALEBE","given":"ROBERT MUGUBI"}],"issued":{"date-parts":[["2024"]]}},"label":"page"}],"schema":"https://github.com/citation-style-language/schema/raw/master/csl-citation.json"}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[13, 20, 21]</w:t>
      </w:r>
      <w:r w:rsidR="008C1896">
        <w:rPr>
          <w:rFonts w:ascii="Times New Roman" w:hAnsi="Times New Roman" w:cs="Times New Roman"/>
        </w:rPr>
        <w:fldChar w:fldCharType="end"/>
      </w:r>
      <w:r w:rsidR="008C1896">
        <w:rPr>
          <w:rFonts w:ascii="Times New Roman" w:hAnsi="Times New Roman" w:cs="Times New Roman"/>
        </w:rPr>
        <w:t>,</w:t>
      </w:r>
      <w:r w:rsidR="00951726">
        <w:rPr>
          <w:rFonts w:ascii="Times New Roman" w:hAnsi="Times New Roman" w:cs="Times New Roman"/>
        </w:rPr>
        <w:t xml:space="preserve"> </w:t>
      </w:r>
      <w:r w:rsidR="00951726" w:rsidRPr="00951726">
        <w:rPr>
          <w:rFonts w:ascii="Times New Roman" w:hAnsi="Times New Roman" w:cs="Times New Roman"/>
        </w:rPr>
        <w:t>but have rarely examined facility-level processes or incorporated managerial perspectives. Understanding how revenue sources, budgeting processes, and resource allocation decisions interact to shape service effectiveness is critical for informing equitable health-financing reforms.</w:t>
      </w:r>
    </w:p>
    <w:p w14:paraId="707DFC5B" w14:textId="11D8A14A" w:rsidR="002A586A" w:rsidRDefault="002A586A" w:rsidP="0028588D">
      <w:pPr>
        <w:spacing w:line="360" w:lineRule="auto"/>
        <w:rPr>
          <w:rFonts w:ascii="Times New Roman" w:hAnsi="Times New Roman" w:cs="Times New Roman"/>
        </w:rPr>
      </w:pPr>
      <w:r w:rsidRPr="002A586A">
        <w:rPr>
          <w:rFonts w:ascii="Times New Roman" w:hAnsi="Times New Roman" w:cs="Times New Roman"/>
        </w:rPr>
        <w:t>This study contributes by providing facility-level evidence on how financing architecture and fiscal decision space interact to shape chronic care continuity in a devolved system. By integrating facility managers' perspectives with financial data, the study clarifies mechanisms through which governance arrangements affect service delivery effectiveness for hypertension and diabetes at primary health care level.</w:t>
      </w:r>
    </w:p>
    <w:p w14:paraId="16D74F1B" w14:textId="254E4925" w:rsidR="00D11F6D" w:rsidRDefault="0028588D" w:rsidP="0028588D">
      <w:pPr>
        <w:spacing w:line="360" w:lineRule="auto"/>
        <w:rPr>
          <w:rFonts w:ascii="Times New Roman" w:hAnsi="Times New Roman" w:cs="Times New Roman"/>
        </w:rPr>
      </w:pPr>
      <w:r w:rsidRPr="00936B01">
        <w:rPr>
          <w:rFonts w:ascii="Times New Roman" w:hAnsi="Times New Roman" w:cs="Times New Roman"/>
        </w:rPr>
        <w:t>Kisumu County in western Kenya offers a relevant context for this inquiry because recent research indicates a substantial noncommunicable disease burden and important gaps in primary health care capacity for hypertension and diabetes management</w:t>
      </w:r>
      <w:r w:rsidR="00D11F6D">
        <w:rPr>
          <w:rFonts w:ascii="Times New Roman" w:hAnsi="Times New Roman" w:cs="Times New Roman"/>
        </w:rPr>
        <w:t xml:space="preserve"> </w:t>
      </w:r>
      <w:r w:rsidR="00D11F6D">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{"citationID":"2NlsVyEj","properties":{"formattedCitation":"[28]","plainCitation":"[28]","noteIndex":0},"citationItems":[{"id":132,"uris":["http://zotero.org/users/local/C4anYv1I/items/VIVDZBUD"],"itemData":{"id":132,"type":"article-journal","abstract":"BACKGROUND: The burden of non-communicable diseases (NCDs) like hypertension and diabetes is rapidly increasing in sub-Saharan Africa, with cardiovascular conditions contributing to about 40% of all NCD-related morbidity. The increase poses considerable challenges, including governance, prevention of risk factors, monitoring, surveillance, and evaluation of health systems. In Kenya, NCD-related mortality is approximately 600 per 100,000 for males and 500 per 100,000 for females, with Kisumu County reporting approximately 1,118 per 100,000 populations annually, compounded by a high HIV burden. Primary healthcare (PHC) provides essential care that could ensure proactive, patient-centered, community-based, and sustainable care to prevent and manage NCDs, yet its implementation remains weak with large regional and subnational differences.\nMETHODS: This mixed-methods study was conducted between October 2023 and September 2024 in Kisumu County, Kenya, and included a facility assessment survey, PHC worker surveys, and focus group discussions (FGDs) with 20 patients living with DM and/or HTN. Ten facilities out of 29, classified as level 2 to 4 under the Kenya Essential Package for Health (KEPH), were purposively selected for the study. The evaluation assessed service availability and performance in NCD care using the World Health Organization (WHO) Service Availability and Readiness Assessment (SARA) toolkit. Key aspects included essential drugs, guidelines, equipment, patient follow-up, counseling systems, support supervision, and the training, knowledge, perceptions, and practices of PHC workers.\nRESULTS: While most facilities conducted routine DM and HTN screenings, only 20% of them had visible national guidelines, indicating a significant policy-implementation gap. Over 80% of PHC workers had not received post-basic training in DM and HTN management, and only 50% were proficient, with an average knowledge score of 2.2 out of 4. Nearly 80% [95% CI: 49.0%, 94.3%] of facilities referred patients to higher-level facilities due to inadequate clinical capacity or a lack of essential medicines. Patient follow-up and counseling on self-care and lifestyle changes were rated poorly, averaging 2.9 [95% CI: 1.4, 4.4] out of 6. A qualitative study through FGDs revealed frequent medication shortages, a lack of basic equipment, and insufficient patient information on self-care, diet, and exercise.\nCONCLUSIONS AND RECOMMENDATIONS: Significant gaps exist in the organizational and workforce capacity of PHC facilities in Kisumu County, Kenya. Addressing these modifiable issues requires targeted strategies and investments to scale up effective interventions. Priority areas include expanding training programs for PHC workers in NCD management, particularly diabetes and hypertension, tailored to local and linguistic contexts, improving infrastructure to support individualized counselling and follow-up, and strengthening the integration of community health promoters (CHPs) to bridge communication gaps and improve continuity of care. This could proffer far-reaching implications for health outcomes and overall health system efficiency.","container-title":"BMC health services research","DOI":"10.1186/s12913-025-13390-5","ISSN":"1472-6963","issue":"1","journalAbbreviation":"BMC Health Serv Res","language":"eng","page":"1221","PMID":"41029377","PMCID":"PMC12482475","source":"PubMed","title":"Assessing the capacity of primary healthcare facilities and healthcare workers in managing diabetes and hypertension in Kisumu county, Kenya","volume":"25","author":[{"family":"Ouma","given":"Ogol Japheth"},{"family":"Omondi","given":"Dickens"},{"family":"Museve","given":"Elijah"},{"family":"Owenga","given":"Jane"},{"family":"Bogers","given":"Johannes"},{"family":"Abrams","given":"Steven"},{"family":"Olmen","given":"Josefien","non-dropping-particle":"van"}],"issued":{"date-parts":[["2025",9,30]]}}}],"schema":"https://github.com/citation-style-language/schema/raw/master/csl-citation.json"} </w:instrText>
      </w:r>
      <w:r w:rsidR="00D11F6D">
        <w:rPr>
          <w:rFonts w:ascii="Times New Roman" w:hAnsi="Times New Roman" w:cs="Times New Roman"/>
        </w:rPr>
        <w:fldChar w:fldCharType="separate"/>
      </w:r>
      <w:r w:rsidR="0086349B" w:rsidRPr="0086349B">
        <w:rPr>
          <w:rFonts w:ascii="Times New Roman" w:hAnsi="Times New Roman" w:cs="Times New Roman"/>
        </w:rPr>
        <w:t>[28]</w:t>
      </w:r>
      <w:r w:rsidR="00D11F6D">
        <w:rPr>
          <w:rFonts w:ascii="Times New Roman" w:hAnsi="Times New Roman" w:cs="Times New Roman"/>
        </w:rPr>
        <w:fldChar w:fldCharType="end"/>
      </w:r>
      <w:r w:rsidRPr="00936B01">
        <w:rPr>
          <w:rFonts w:ascii="Times New Roman" w:hAnsi="Times New Roman" w:cs="Times New Roman"/>
        </w:rPr>
        <w:t>.</w:t>
      </w:r>
      <w:r>
        <w:rPr>
          <w:rFonts w:ascii="Times New Roman" w:hAnsi="Times New Roman" w:cs="Times New Roman"/>
        </w:rPr>
        <w:t xml:space="preserve"> </w:t>
      </w:r>
      <w:r w:rsidRPr="00936B01">
        <w:rPr>
          <w:rFonts w:ascii="Times New Roman" w:hAnsi="Times New Roman" w:cs="Times New Roman"/>
        </w:rPr>
        <w:t>Evidence from care seeking populations in Kisumu similarly shows a high hypertension burden. In a study conducted among adults seeking care at Kisumu County Hospital, the overall prevalence of hypertension was 22</w:t>
      </w:r>
      <w:r w:rsidR="00D11F6D">
        <w:rPr>
          <w:rFonts w:ascii="Times New Roman" w:hAnsi="Times New Roman" w:cs="Times New Roman"/>
        </w:rPr>
        <w:t>%</w:t>
      </w:r>
      <w:r w:rsidR="008C4621">
        <w:rPr>
          <w:rFonts w:ascii="Times New Roman" w:hAnsi="Times New Roman" w:cs="Times New Roman"/>
        </w:rPr>
        <w:t xml:space="preserve"> </w:t>
      </w:r>
      <w:r w:rsidR="008C4621">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{"citationID":"nTLN59YX","properties":{"formattedCitation":"[29]","plainCitation":"[29]","noteIndex":0},"citationItems":[{"id":134,"uris":["http://zotero.org/users/local/C4anYv1I/items/IDKT6555"],"itemData":{"id":134,"type":"article-journal","abstract":"Introduction The burden of cardiovascular disease (CVD) is increasing in sub-Saharan Africa with untreated hypertension being a major contributing factor. Understanding the magnitude of the problem and risk factors associated with HIV and long-term antiretroviral therapy (ART) is critically important for designing effective programs for diagnosing and treating hypertension in Kenya. Methods In this cross-sectional study, we enrolled 300 persons with HIV (PWH) on long term ART (≥6 months) and 298 HIV-negative adults seeking care at the Kisumu County Hospital between September 2017 and May 2018. Hypertension was defined as blood pressure of ≥140/90mmHg or a previous hypertension diagnosis. Multivariate regression was used to assess the association between hypertension and HIV adjusting for age, sex, and known CVD risk factors. Results Overall prevalence of hypertension was 22%. PWH had a lower prevalence of hypertension than HIV-negative persons (16% vs 27% respectively; p&lt;0.002). In multivariate analyses, persons with HIV were 37% less likely to have hypertension compared to HIV-negative individuals (adjusted prevalence ratio 0.63; 95% confidence interval: 0.46–0.86). Other factors that were associated with hypertension in all participants included older age &gt;40 years, body mass index (BMI) &gt;25 kg/m2 and low-density lipoproteins ≥130mg/dL. Among PWH, being older than 40 years and higher BMI &gt;30 kg/m2 were associated with hypertension. Conclusion Prevalence of hypertension was high, affecting nearly one in every 4 adults, and associated with older age, higher BMI and high low-density lipoproteins. PWH on long-term ART had significantly lower prevalence of hypertension compared to HIV-negative individuals, potentially due to increased access to healthcare services and interaction with prevention messaging. Interventions to increase screening for and prevention of hypertension in the community for all adults are warranted.","container-title":"PLOS ONE","DOI":"10.1371/journal.pone.0262400","ISSN":"1932-6203","issue":"1","journalAbbreviation":"PLOS ONE","language":"en","page":"e0262400","publisher":"Public Library of Science","source":"PLoS Journals","title":"Prevalence and factors associated with hypertension among adults with and without HIV in Western Kenya","URL":"https://journals.plos.org/plosone/article?id=10.1371/journal.pone.0262400","volume":"17","author":[{"family":"Mogaka","given":"Jerusha Nyabiage"},{"family":"Sharma","given":"Monisha"},{"family":"Temu","given":"Tecla"},{"family":"Masyuko","given":"Sarah"},{"family":"Kinuthia","given":"John"},{"family":"Osoti","given":"Alfred"},{"family":"Zifodya","given":"Jerry"},{"family":"Nakanjako","given":"Damalie"},{"family":"Njoroge","given":"Anne"},{"family":"Otedo","given":"Amos"},{"family":"Page","given":"Stephanie"},{"family":"Farquhar","given":"Carey"}],"accessed":{"date-parts":[["2026",1,27]]},"issued":{"date-parts":[["2022",1,10]]}}}],"schema":"https://github.com/citation-style-language/schema/raw/master/csl-citation.json"} </w:instrText>
      </w:r>
      <w:r w:rsidR="008C4621">
        <w:rPr>
          <w:rFonts w:ascii="Times New Roman" w:hAnsi="Times New Roman" w:cs="Times New Roman"/>
        </w:rPr>
        <w:fldChar w:fldCharType="separate"/>
      </w:r>
      <w:r w:rsidR="0086349B" w:rsidRPr="0086349B">
        <w:rPr>
          <w:rFonts w:ascii="Times New Roman" w:hAnsi="Times New Roman" w:cs="Times New Roman"/>
        </w:rPr>
        <w:t>[29]</w:t>
      </w:r>
      <w:r w:rsidR="008C4621">
        <w:rPr>
          <w:rFonts w:ascii="Times New Roman" w:hAnsi="Times New Roman" w:cs="Times New Roman"/>
        </w:rPr>
        <w:fldChar w:fldCharType="end"/>
      </w:r>
      <w:r w:rsidR="00D11F6D">
        <w:rPr>
          <w:rFonts w:ascii="Times New Roman" w:hAnsi="Times New Roman" w:cs="Times New Roman"/>
        </w:rPr>
        <w:t xml:space="preserve">. </w:t>
      </w:r>
      <w:r w:rsidRPr="00936B01">
        <w:rPr>
          <w:rFonts w:ascii="Times New Roman" w:hAnsi="Times New Roman" w:cs="Times New Roman"/>
        </w:rPr>
        <w:t xml:space="preserve"> </w:t>
      </w:r>
      <w:r w:rsidR="00D11F6D" w:rsidRPr="00936B01">
        <w:rPr>
          <w:rFonts w:ascii="Times New Roman" w:hAnsi="Times New Roman" w:cs="Times New Roman"/>
        </w:rPr>
        <w:t xml:space="preserve">Against this backdrop, this study investigates how financing arrangements influence effective hypertension and diabetes management in Seme Sub County primary health care facilities. Specifically, the study aims to: (1) identify sources of funding for noncommunicable disease management; (2) examine planning and budgeting processes; (3) assess allocation and utilization of financial resources; and (4) </w:t>
      </w:r>
      <w:proofErr w:type="spellStart"/>
      <w:r w:rsidR="00D11F6D" w:rsidRPr="00936B01">
        <w:rPr>
          <w:rFonts w:ascii="Times New Roman" w:hAnsi="Times New Roman" w:cs="Times New Roman"/>
        </w:rPr>
        <w:t>analyse</w:t>
      </w:r>
      <w:proofErr w:type="spellEnd"/>
      <w:r w:rsidR="00D11F6D" w:rsidRPr="00936B01">
        <w:rPr>
          <w:rFonts w:ascii="Times New Roman" w:hAnsi="Times New Roman" w:cs="Times New Roman"/>
        </w:rPr>
        <w:t xml:space="preserve"> how financing mechanisms influence the effectiveness of noncommunicable disease service delivery. Findings aim to provide actionable evidence to inform Kenya’s ongoing pursuit of universal health coverage and strengthen financial resilience within devolved health systems.</w:t>
      </w:r>
    </w:p>
    <w:p w14:paraId="648A6F32"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Methods</w:t>
      </w:r>
    </w:p>
    <w:p w14:paraId="2DD8C262" w14:textId="620484BD"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 xml:space="preserve">Study design </w:t>
      </w:r>
    </w:p>
    <w:p w14:paraId="4DF0D4BB" w14:textId="00D83F88" w:rsidR="00951726" w:rsidRDefault="00951726" w:rsidP="00C974EE">
      <w:pPr>
        <w:spacing w:line="360" w:lineRule="auto"/>
        <w:rPr>
          <w:rFonts w:ascii="Times New Roman" w:hAnsi="Times New Roman" w:cs="Times New Roman"/>
        </w:rPr>
      </w:pPr>
      <w:r w:rsidRPr="00951726">
        <w:rPr>
          <w:rFonts w:ascii="Times New Roman" w:hAnsi="Times New Roman" w:cs="Times New Roman"/>
        </w:rPr>
        <w:t xml:space="preserve">We conducted a convergent parallel mixed-methods cross-sectional study using a multi-site case study approach </w:t>
      </w:r>
      <w:r w:rsidRPr="00C974EE">
        <w:rPr>
          <w:rFonts w:ascii="Times New Roman" w:hAnsi="Times New Roman" w:cs="Times New Roman"/>
        </w:rPr>
        <w:t xml:space="preserve"> </w:t>
      </w:r>
      <w:r w:rsidRPr="00C974EE">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{"citationID":"FpzB2xjI","properties":{"formattedCitation":"[30]","plainCitation":"[30]","noteIndex":0},"citationItems":[{"id":34,"uris":["http://zotero.org/users/local/C4anYv1I/items/QN5YUXKQ"],"itemData":{"id":34,"type":"article-journal","container-title":"Quality &amp; quantity","issue":"2","page":"265–275","publisher":"Springer","title":"A typology of mixed methods research designs","volume":"43","author":[{"family":"Leech","given":"Nancy L"},{"family":"Onwuegbuzie","given":"Anthony J"}],"issued":{"date-parts":[["2009"]]}}}],"schema":"https://github.com/citation-style-language/schema/raw/master/csl-citation.json"} </w:instrText>
      </w:r>
      <w:r w:rsidRPr="00C974EE">
        <w:rPr>
          <w:rFonts w:ascii="Times New Roman" w:hAnsi="Times New Roman" w:cs="Times New Roman"/>
        </w:rPr>
        <w:fldChar w:fldCharType="separate"/>
      </w:r>
      <w:r w:rsidR="0086349B" w:rsidRPr="0086349B">
        <w:rPr>
          <w:rFonts w:ascii="Times New Roman" w:hAnsi="Times New Roman" w:cs="Times New Roman"/>
        </w:rPr>
        <w:t>[30]</w:t>
      </w:r>
      <w:r w:rsidRPr="00C974EE">
        <w:rPr>
          <w:rFonts w:ascii="Times New Roman" w:hAnsi="Times New Roman" w:cs="Times New Roman"/>
        </w:rPr>
        <w:fldChar w:fldCharType="end"/>
      </w:r>
      <w:r>
        <w:rPr>
          <w:rFonts w:ascii="Times New Roman" w:hAnsi="Times New Roman" w:cs="Times New Roman"/>
        </w:rPr>
        <w:t xml:space="preserve">. </w:t>
      </w:r>
      <w:r w:rsidRPr="00951726">
        <w:rPr>
          <w:rFonts w:ascii="Times New Roman" w:hAnsi="Times New Roman" w:cs="Times New Roman"/>
        </w:rPr>
        <w:t xml:space="preserve">Quantitative and qualitative data were collected concurrently, analyzed separately, and integrated during interpretation to generate complementary insights into facility financing mechanisms. The design was QUAL-dominant at the analytical stage because the small facility sample size (N = 7) limited statistical inference, while qualitative data provided essential contextual understanding </w:t>
      </w:r>
      <w:r w:rsidRPr="00C974EE">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qfsjM1Tx","properties":{"formattedCitation":"[31]","plainCitation":"[31]","noteIndex":0},"citationItems":[{"id":35,"uris":["http://zotero.org/users/local/C4anYv1I/items/E6V2EKN5"],"itemData":{"id":35,"type":"article-journal","container-title":"Circulation","issue":"10","page":"1442–1452","publisher":"Lippincott Williams &amp; Wilkins","title":"Qualitative and mixed methods provide unique contributions to outcomes research","volume":"119","author":[{"family":"Curry","given":"Leslie A"},{"family":"Nembhard","given":"Ingrid M"},{"family":"Bradley","given":"Elizabeth H"}],"issued":{"date-parts":[["2009"]]}}}],"schema":"https://github.com/citation-style-language/schema/raw/master/csl-citation.json"} </w:instrText>
      </w:r>
      <w:r w:rsidRPr="00C974EE">
        <w:rPr>
          <w:rFonts w:ascii="Times New Roman" w:hAnsi="Times New Roman" w:cs="Times New Roman"/>
        </w:rPr>
        <w:fldChar w:fldCharType="separate"/>
      </w:r>
      <w:r w:rsidR="0086349B" w:rsidRPr="0086349B">
        <w:rPr>
          <w:rFonts w:ascii="Times New Roman" w:hAnsi="Times New Roman" w:cs="Times New Roman"/>
        </w:rPr>
        <w:t>[31]</w:t>
      </w:r>
      <w:r w:rsidRPr="00C974EE">
        <w:rPr>
          <w:rFonts w:ascii="Times New Roman" w:hAnsi="Times New Roman" w:cs="Times New Roman"/>
        </w:rPr>
        <w:fldChar w:fldCharType="end"/>
      </w:r>
      <w:r w:rsidRPr="00C974EE">
        <w:rPr>
          <w:rFonts w:ascii="Times New Roman" w:hAnsi="Times New Roman" w:cs="Times New Roman"/>
        </w:rPr>
        <w:t xml:space="preserve">. </w:t>
      </w:r>
      <w:r w:rsidRPr="00951726">
        <w:rPr>
          <w:rFonts w:ascii="Times New Roman" w:hAnsi="Times New Roman" w:cs="Times New Roman"/>
        </w:rPr>
        <w:t xml:space="preserve"> Both data types were, however, equally valued during data collection and interpretation.</w:t>
      </w:r>
    </w:p>
    <w:p w14:paraId="22720EF4" w14:textId="6244D128" w:rsidR="00D06E78" w:rsidRPr="00C974EE" w:rsidRDefault="00D06E78" w:rsidP="00C974EE">
      <w:pPr>
        <w:spacing w:line="360" w:lineRule="auto"/>
        <w:rPr>
          <w:rFonts w:ascii="Times New Roman" w:hAnsi="Times New Roman" w:cs="Times New Roman"/>
          <w:b/>
          <w:bCs/>
        </w:rPr>
      </w:pPr>
      <w:r w:rsidRPr="00C974EE">
        <w:rPr>
          <w:rFonts w:ascii="Times New Roman" w:hAnsi="Times New Roman" w:cs="Times New Roman"/>
          <w:b/>
          <w:bCs/>
        </w:rPr>
        <w:t xml:space="preserve">Study setting </w:t>
      </w:r>
    </w:p>
    <w:p w14:paraId="3B8DCDDB" w14:textId="5044A1C6" w:rsidR="000361BD" w:rsidRDefault="000361BD" w:rsidP="00830499">
      <w:pPr>
        <w:spacing w:line="360" w:lineRule="auto"/>
        <w:rPr>
          <w:rFonts w:ascii="Times New Roman" w:hAnsi="Times New Roman" w:cs="Times New Roman"/>
        </w:rPr>
      </w:pPr>
      <w:r w:rsidRPr="000361BD">
        <w:rPr>
          <w:rFonts w:ascii="Times New Roman" w:hAnsi="Times New Roman" w:cs="Times New Roman"/>
        </w:rPr>
        <w:t xml:space="preserve">The study was conducted in Seme Sub County, a predominantly rural sub county of Kisumu County in western Kenya. Kisumu County is one of Kenya’s 47 counties and comprises seven sub counties, with an estimated population of about 1.2 million served by approximately 70 primary health care facilities at levels 2 to 4, including dispensaries, health </w:t>
      </w:r>
      <w:proofErr w:type="spellStart"/>
      <w:r w:rsidRPr="000361BD">
        <w:rPr>
          <w:rFonts w:ascii="Times New Roman" w:hAnsi="Times New Roman" w:cs="Times New Roman"/>
        </w:rPr>
        <w:t>centres</w:t>
      </w:r>
      <w:proofErr w:type="spellEnd"/>
      <w:r w:rsidRPr="000361BD">
        <w:rPr>
          <w:rFonts w:ascii="Times New Roman" w:hAnsi="Times New Roman" w:cs="Times New Roman"/>
        </w:rPr>
        <w:t>, and sub county hospitals</w:t>
      </w:r>
      <w:r w:rsidR="00AF3775">
        <w:rPr>
          <w:rFonts w:ascii="Times New Roman" w:hAnsi="Times New Roman" w:cs="Times New Roman"/>
        </w:rPr>
        <w:t xml:space="preserve"> </w:t>
      </w:r>
      <w:r w:rsidR="00AF3775">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{"citationID":"V0fXxlZA","properties":{"formattedCitation":"[28]","plainCitation":"[28]","noteIndex":0},"citationItems":[{"id":132,"uris":["http://zotero.org/users/local/C4anYv1I/items/VIVDZBUD"],"itemData":{"id":132,"type":"article-journal","abstract":"BACKGROUND: The burden of non-communicable diseases (NCDs) like hypertension and diabetes is rapidly increasing in sub-Saharan Africa, with cardiovascular conditions contributing to about 40% of all NCD-related morbidity. The increase poses considerable challenges, including governance, prevention of risk factors, monitoring, surveillance, and evaluation of health systems. In Kenya, NCD-related mortality is approximately 600 per 100,000 for males and 500 per 100,000 for females, with Kisumu County reporting approximately 1,118 per 100,000 populations annually, compounded by a high HIV burden. Primary healthcare (PHC) provides essential care that could ensure proactive, patient-centered, community-based, and sustainable care to prevent and manage NCDs, yet its implementation remains weak with large regional and subnational differences.\nMETHODS: This mixed-methods study was conducted between October 2023 and September 2024 in Kisumu County, Kenya, and included a facility assessment survey, PHC worker surveys, and focus group discussions (FGDs) with 20 patients living with DM and/or HTN. Ten facilities out of 29, classified as level 2 to 4 under the Kenya Essential Package for Health (KEPH), were purposively selected for the study. The evaluation assessed service availability and performance in NCD care using the World Health Organization (WHO) Service Availability and Readiness Assessment (SARA) toolkit. Key aspects included essential drugs, guidelines, equipment, patient follow-up, counseling systems, support supervision, and the training, knowledge, perceptions, and practices of PHC workers.\nRESULTS: While most facilities conducted routine DM and HTN screenings, only 20% of them had visible national guidelines, indicating a significant policy-implementation gap. Over 80% of PHC workers had not received post-basic training in DM and HTN management, and only 50% were proficient, with an average knowledge score of 2.2 out of 4. Nearly 80% [95% CI: 49.0%, 94.3%] of facilities referred patients to higher-level facilities due to inadequate clinical capacity or a lack of essential medicines. Patient follow-up and counseling on self-care and lifestyle changes were rated poorly, averaging 2.9 [95% CI: 1.4, 4.4] out of 6. A qualitative study through FGDs revealed frequent medication shortages, a lack of basic equipment, and insufficient patient information on self-care, diet, and exercise.\nCONCLUSIONS AND RECOMMENDATIONS: Significant gaps exist in the organizational and workforce capacity of PHC facilities in Kisumu County, Kenya. Addressing these modifiable issues requires targeted strategies and investments to scale up effective interventions. Priority areas include expanding training programs for PHC workers in NCD management, particularly diabetes and hypertension, tailored to local and linguistic contexts, improving infrastructure to support individualized counselling and follow-up, and strengthening the integration of community health promoters (CHPs) to bridge communication gaps and improve continuity of care. This could proffer far-reaching implications for health outcomes and overall health system efficiency.","container-title":"BMC health services research","DOI":"10.1186/s12913-025-13390-5","ISSN":"1472-6963","issue":"1","journalAbbreviation":"BMC Health Serv Res","language":"eng","page":"1221","PMID":"41029377","PMCID":"PMC12482475","source":"PubMed","title":"Assessing the capacity of primary healthcare facilities and healthcare workers in managing diabetes and hypertension in Kisumu county, Kenya","volume":"25","author":[{"family":"Ouma","given":"Ogol Japheth"},{"family":"Omondi","given":"Dickens"},{"family":"Museve","given":"Elijah"},{"family":"Owenga","given":"Jane"},{"family":"Bogers","given":"Johannes"},{"family":"Abrams","given":"Steven"},{"family":"Olmen","given":"Josefien","non-dropping-particle":"van"}],"issued":{"date-parts":[["2025",9,30]]}}}],"schema":"https://github.com/citation-style-language/schema/raw/master/csl-citation.json"} </w:instrText>
      </w:r>
      <w:r w:rsidR="00AF3775">
        <w:rPr>
          <w:rFonts w:ascii="Times New Roman" w:hAnsi="Times New Roman" w:cs="Times New Roman"/>
        </w:rPr>
        <w:fldChar w:fldCharType="separate"/>
      </w:r>
      <w:r w:rsidR="0086349B" w:rsidRPr="0086349B">
        <w:rPr>
          <w:rFonts w:ascii="Times New Roman" w:hAnsi="Times New Roman" w:cs="Times New Roman"/>
        </w:rPr>
        <w:t>[28]</w:t>
      </w:r>
      <w:r w:rsidR="00AF3775">
        <w:rPr>
          <w:rFonts w:ascii="Times New Roman" w:hAnsi="Times New Roman" w:cs="Times New Roman"/>
        </w:rPr>
        <w:fldChar w:fldCharType="end"/>
      </w:r>
      <w:r w:rsidRPr="000361BD">
        <w:rPr>
          <w:rFonts w:ascii="Times New Roman" w:hAnsi="Times New Roman" w:cs="Times New Roman"/>
        </w:rPr>
        <w:t xml:space="preserve">. </w:t>
      </w:r>
      <w:r w:rsidR="00AF3775" w:rsidRPr="00AF3775">
        <w:rPr>
          <w:rFonts w:ascii="Times New Roman" w:hAnsi="Times New Roman" w:cs="Times New Roman"/>
        </w:rPr>
        <w:t>Kisumu County was purposively selected because recent studies conducted in the county have reported a substantial burden of hypertension in care seeking populations and have documented gaps in primary health care capacity for hypertension and diabetes management</w:t>
      </w:r>
      <w:r w:rsidR="00AF3775">
        <w:rPr>
          <w:rFonts w:ascii="Times New Roman" w:hAnsi="Times New Roman" w:cs="Times New Roman"/>
        </w:rPr>
        <w:t xml:space="preserve"> </w:t>
      </w:r>
      <w:r w:rsidR="00AF3775">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{"citationID":"dp85yjNp","properties":{"formattedCitation":"[29]","plainCitation":"[29]","noteIndex":0},"citationItems":[{"id":134,"uris":["http://zotero.org/users/local/C4anYv1I/items/IDKT6555"],"itemData":{"id":134,"type":"article-journal","abstract":"Introduction The burden of cardiovascular disease (CVD) is increasing in sub-Saharan Africa with untreated hypertension being a major contributing factor. Understanding the magnitude of the problem and risk factors associated with HIV and long-term antiretroviral therapy (ART) is critically important for designing effective programs for diagnosing and treating hypertension in Kenya. Methods In this cross-sectional study, we enrolled 300 persons with HIV (PWH) on long term ART (≥6 months) and 298 HIV-negative adults seeking care at the Kisumu County Hospital between September 2017 and May 2018. Hypertension was defined as blood pressure of ≥140/90mmHg or a previous hypertension diagnosis. Multivariate regression was used to assess the association between hypertension and HIV adjusting for age, sex, and known CVD risk factors. Results Overall prevalence of hypertension was 22%. PWH had a lower prevalence of hypertension than HIV-negative persons (16% vs 27% respectively; p&lt;0.002). In multivariate analyses, persons with HIV were 37% less likely to have hypertension compared to HIV-negative individuals (adjusted prevalence ratio 0.63; 95% confidence interval: 0.46–0.86). Other factors that were associated with hypertension in all participants included older age &gt;40 years, body mass index (BMI) &gt;25 kg/m2 and low-density lipoproteins ≥130mg/dL. Among PWH, being older than 40 years and higher BMI &gt;30 kg/m2 were associated with hypertension. Conclusion Prevalence of hypertension was high, affecting nearly one in every 4 adults, and associated with older age, higher BMI and high low-density lipoproteins. PWH on long-term ART had significantly lower prevalence of hypertension compared to HIV-negative individuals, potentially due to increased access to healthcare services and interaction with prevention messaging. Interventions to increase screening for and prevention of hypertension in the community for all adults are warranted.","container-title":"PLOS ONE","DOI":"10.1371/journal.pone.0262400","ISSN":"1932-6203","issue":"1","journalAbbreviation":"PLOS ONE","language":"en","page":"e0262400","publisher":"Public Library of Science","source":"PLoS Journals","title":"Prevalence and factors associated with hypertension among adults with and without HIV in Western Kenya","URL":"https://journals.plos.org/plosone/article?id=10.1371/journal.pone.0262400","volume":"17","author":[{"family":"Mogaka","given":"Jerusha Nyabiage"},{"family":"Sharma","given":"Monisha"},{"family":"Temu","given":"Tecla"},{"family":"Masyuko","given":"Sarah"},{"family":"Kinuthia","given":"John"},{"family":"Osoti","given":"Alfred"},{"family":"Zifodya","given":"Jerry"},{"family":"Nakanjako","given":"Damalie"},{"family":"Njoroge","given":"Anne"},{"family":"Otedo","given":"Amos"},{"family":"Page","given":"Stephanie"},{"family":"Farquhar","given":"Carey"}],"accessed":{"date-parts":[["2026",1,27]]},"issued":{"date-parts":[["2022",1,10]]}}}],"schema":"https://github.com/citation-style-language/schema/raw/master/csl-citation.json"} </w:instrText>
      </w:r>
      <w:r w:rsidR="00AF3775">
        <w:rPr>
          <w:rFonts w:ascii="Times New Roman" w:hAnsi="Times New Roman" w:cs="Times New Roman"/>
        </w:rPr>
        <w:fldChar w:fldCharType="separate"/>
      </w:r>
      <w:r w:rsidR="0086349B" w:rsidRPr="0086349B">
        <w:rPr>
          <w:rFonts w:ascii="Times New Roman" w:hAnsi="Times New Roman" w:cs="Times New Roman"/>
        </w:rPr>
        <w:t>[29]</w:t>
      </w:r>
      <w:r w:rsidR="00AF3775">
        <w:rPr>
          <w:rFonts w:ascii="Times New Roman" w:hAnsi="Times New Roman" w:cs="Times New Roman"/>
        </w:rPr>
        <w:fldChar w:fldCharType="end"/>
      </w:r>
      <w:r w:rsidR="00AF3775" w:rsidRPr="00AF3775">
        <w:rPr>
          <w:rFonts w:ascii="Times New Roman" w:hAnsi="Times New Roman" w:cs="Times New Roman"/>
        </w:rPr>
        <w:t>.</w:t>
      </w:r>
    </w:p>
    <w:p w14:paraId="6CFD3502" w14:textId="2E010518" w:rsidR="001E7CB8" w:rsidRPr="001E7CB8" w:rsidRDefault="00AF3775" w:rsidP="001E7CB8">
      <w:pPr>
        <w:spacing w:line="360" w:lineRule="auto"/>
        <w:rPr>
          <w:rFonts w:ascii="Times New Roman" w:hAnsi="Times New Roman" w:cs="Times New Roman"/>
        </w:rPr>
      </w:pPr>
      <w:r w:rsidRPr="00AF3775">
        <w:rPr>
          <w:rFonts w:ascii="Times New Roman" w:hAnsi="Times New Roman" w:cs="Times New Roman"/>
        </w:rPr>
        <w:t xml:space="preserve">Kisumu provides a relevant implementation context because it has been involved in national and county efforts to strengthen primary health care coordination through Primary Care Networks and digital health initiatives. Primary Care Networks in Kenya are </w:t>
      </w:r>
      <w:r w:rsidR="001E7CB8" w:rsidRPr="00AF3775">
        <w:rPr>
          <w:rFonts w:ascii="Times New Roman" w:hAnsi="Times New Roman" w:cs="Times New Roman"/>
        </w:rPr>
        <w:t>organized</w:t>
      </w:r>
      <w:r w:rsidRPr="00AF3775">
        <w:rPr>
          <w:rFonts w:ascii="Times New Roman" w:hAnsi="Times New Roman" w:cs="Times New Roman"/>
        </w:rPr>
        <w:t xml:space="preserve"> using a hub and spoke model in which a level 4 facility functions as a coordination hub that supports surrounding level 2 and level 3 facilities and community health units, with the aim of strengthening continuity of care through structured referral and counter referral across levels of care</w:t>
      </w:r>
      <w:r w:rsidR="001E7CB8">
        <w:rPr>
          <w:rFonts w:ascii="Times New Roman" w:hAnsi="Times New Roman" w:cs="Times New Roman"/>
        </w:rPr>
        <w:t xml:space="preserve"> </w:t>
      </w:r>
      <w:r w:rsidR="001E7CB8">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{"citationID":"DUhyBXA3","properties":{"formattedCitation":"[32]","plainCitation":"[32]","noteIndex":0},"citationItems":[{"id":137,"uris":["http://zotero.org/users/local/C4anYv1I/items/6BA8WJ9A"],"itemData":{"id":137,"type":"report","title":"APPROACHES TO IMPLEMENTING AND FINANCING PRIMARY HEALTH CARE IN KENYA","author":[{"family":"Ministry of Health, Kenya.","given":""}],"issued":{"date-parts":[["2024"]]}}}],"schema":"https://github.com/citation-style-language/schema/raw/master/csl-citation.json"} </w:instrText>
      </w:r>
      <w:r w:rsidR="001E7CB8">
        <w:rPr>
          <w:rFonts w:ascii="Times New Roman" w:hAnsi="Times New Roman" w:cs="Times New Roman"/>
        </w:rPr>
        <w:fldChar w:fldCharType="separate"/>
      </w:r>
      <w:r w:rsidR="0086349B" w:rsidRPr="0086349B">
        <w:rPr>
          <w:rFonts w:ascii="Times New Roman" w:hAnsi="Times New Roman" w:cs="Times New Roman"/>
        </w:rPr>
        <w:t>[32]</w:t>
      </w:r>
      <w:r w:rsidR="001E7CB8">
        <w:rPr>
          <w:rFonts w:ascii="Times New Roman" w:hAnsi="Times New Roman" w:cs="Times New Roman"/>
        </w:rPr>
        <w:fldChar w:fldCharType="end"/>
      </w:r>
      <w:r w:rsidRPr="00AF3775">
        <w:rPr>
          <w:rFonts w:ascii="Times New Roman" w:hAnsi="Times New Roman" w:cs="Times New Roman"/>
        </w:rPr>
        <w:t xml:space="preserve">. Kisumu has also been an early implementation county for the electronic Community Health Information System. </w:t>
      </w:r>
      <w:proofErr w:type="spellStart"/>
      <w:r w:rsidRPr="00AF3775">
        <w:rPr>
          <w:rFonts w:ascii="Times New Roman" w:hAnsi="Times New Roman" w:cs="Times New Roman"/>
        </w:rPr>
        <w:t>eCHIS</w:t>
      </w:r>
      <w:proofErr w:type="spellEnd"/>
      <w:r w:rsidRPr="00AF3775">
        <w:rPr>
          <w:rFonts w:ascii="Times New Roman" w:hAnsi="Times New Roman" w:cs="Times New Roman"/>
        </w:rPr>
        <w:t xml:space="preserve"> deployment began with a pilot in Kisumu County in 2021 followed by national rollout, and county planning documents describe </w:t>
      </w:r>
      <w:r w:rsidR="001E7CB8" w:rsidRPr="00AF3775">
        <w:rPr>
          <w:rFonts w:ascii="Times New Roman" w:hAnsi="Times New Roman" w:cs="Times New Roman"/>
        </w:rPr>
        <w:t>digitization</w:t>
      </w:r>
      <w:r w:rsidRPr="00AF3775">
        <w:rPr>
          <w:rFonts w:ascii="Times New Roman" w:hAnsi="Times New Roman" w:cs="Times New Roman"/>
        </w:rPr>
        <w:t xml:space="preserve"> efforts aimed at improving information flow and coordination between community and facility platforms</w:t>
      </w:r>
      <w:r w:rsidR="001E7CB8">
        <w:rPr>
          <w:rFonts w:ascii="Times New Roman" w:hAnsi="Times New Roman" w:cs="Times New Roman"/>
        </w:rPr>
        <w:t xml:space="preserve"> </w:t>
      </w:r>
      <w:r w:rsidR="001E7CB8">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{"citationID":"YjOoLNXQ","properties":{"formattedCitation":"[33]","plainCitation":"[33]","noteIndex":0},"citationItems":[{"id":138,"uris":["http://zotero.org/users/local/C4anYv1I/items/NAHRLS8M"],"itemData":{"id":138,"type":"webpage","title":"An exploration of the successful scale-up of the electronic community health information system in Kenya - PMC","URL":"https://pmc.ncbi.nlm.nih.gov/articles/PMC12448183/?utm_source=chatgpt.com","accessed":{"date-parts":[["2026",1,27]]}}}],"schema":"https://github.com/citation-style-language/schema/raw/master/csl-citation.json"} </w:instrText>
      </w:r>
      <w:r w:rsidR="001E7CB8">
        <w:rPr>
          <w:rFonts w:ascii="Times New Roman" w:hAnsi="Times New Roman" w:cs="Times New Roman"/>
        </w:rPr>
        <w:fldChar w:fldCharType="separate"/>
      </w:r>
      <w:r w:rsidR="0086349B" w:rsidRPr="0086349B">
        <w:rPr>
          <w:rFonts w:ascii="Times New Roman" w:hAnsi="Times New Roman" w:cs="Times New Roman"/>
        </w:rPr>
        <w:t>[33]</w:t>
      </w:r>
      <w:r w:rsidR="001E7CB8">
        <w:rPr>
          <w:rFonts w:ascii="Times New Roman" w:hAnsi="Times New Roman" w:cs="Times New Roman"/>
        </w:rPr>
        <w:fldChar w:fldCharType="end"/>
      </w:r>
      <w:r w:rsidRPr="00AF3775">
        <w:rPr>
          <w:rFonts w:ascii="Times New Roman" w:hAnsi="Times New Roman" w:cs="Times New Roman"/>
        </w:rPr>
        <w:t>.</w:t>
      </w:r>
      <w:r w:rsidR="00991485">
        <w:rPr>
          <w:rFonts w:ascii="Times New Roman" w:hAnsi="Times New Roman" w:cs="Times New Roman"/>
        </w:rPr>
        <w:t xml:space="preserve"> </w:t>
      </w:r>
      <w:r w:rsidR="001E7CB8" w:rsidRPr="001E7CB8">
        <w:rPr>
          <w:rFonts w:ascii="Times New Roman" w:hAnsi="Times New Roman" w:cs="Times New Roman"/>
        </w:rPr>
        <w:t>Seme Sub County was purposively selected as a predominantly rural setting and because study implementation was feasible based on engagement with the county and sub county health management teams and the availability of routine facility financial records required for the assessment.</w:t>
      </w:r>
    </w:p>
    <w:p w14:paraId="722C9404" w14:textId="48EA816C" w:rsidR="000361BD" w:rsidRPr="00C974EE" w:rsidRDefault="0086349B" w:rsidP="00C974EE">
      <w:pPr>
        <w:spacing w:line="360" w:lineRule="auto"/>
        <w:rPr>
          <w:rFonts w:ascii="Times New Roman" w:hAnsi="Times New Roman" w:cs="Times New Roman"/>
        </w:rPr>
      </w:pPr>
      <w:r w:rsidRPr="0086349B">
        <w:rPr>
          <w:rFonts w:ascii="Times New Roman" w:hAnsi="Times New Roman" w:cs="Times New Roman"/>
        </w:rPr>
        <w:t xml:space="preserve">This research was conducted within the context of the Flemish Interuniversity Council-Institutional University Cooperation (VLIR-IUC) and JOOUST </w:t>
      </w:r>
      <w:proofErr w:type="spellStart"/>
      <w:r w:rsidRPr="0086349B">
        <w:rPr>
          <w:rFonts w:ascii="Times New Roman" w:hAnsi="Times New Roman" w:cs="Times New Roman"/>
        </w:rPr>
        <w:t>programme</w:t>
      </w:r>
      <w:proofErr w:type="spellEnd"/>
      <w:r w:rsidR="001E7CB8" w:rsidRPr="001E7CB8">
        <w:rPr>
          <w:rFonts w:ascii="Times New Roman" w:hAnsi="Times New Roman" w:cs="Times New Roman"/>
        </w:rPr>
        <w:t>, a long term collaboration between JOOUST and Flemish universities that aims to strengthen university capacity in research and training across domains including health</w:t>
      </w:r>
      <w:r w:rsidR="00094241">
        <w:rPr>
          <w:rFonts w:ascii="Times New Roman" w:hAnsi="Times New Roman" w:cs="Times New Roman"/>
        </w:rPr>
        <w:t xml:space="preserve"> </w:t>
      </w:r>
      <w:r w:rsidR="00094241">
        <w:rPr>
          <w:rFonts w:ascii="Times New Roman" w:hAnsi="Times New Roman" w:cs="Times New Roman"/>
        </w:rPr>
        <w:fldChar w:fldCharType="begin"/>
      </w:r>
      <w:r>
        <w:rPr>
          <w:rFonts w:ascii="Times New Roman" w:hAnsi="Times New Roman" w:cs="Times New Roman"/>
        </w:rPr>
        <w:instrText xml:space="preserve"> ADDIN ZOTERO_ITEM CSL_CITATION {"citationID":"dSz0Tlsz","properties":{"formattedCitation":"[34]","plainCitation":"[34]","noteIndex":0},"citationItems":[{"id":140,"uris":["http://zotero.org/users/local/C4anYv1I/items/C3U2XYPI"],"itemData":{"id":140,"type":"post-weblog","language":"en-US","title":"JOOUST VLIR-IUC PROJECT – DRIE","URL":"https://drie.jooust.ac.ke/nproject/jooust-vlir-iuc-project/","accessed":{"date-parts":[["2026",1,27]]}}}],"schema":"https://github.com/citation-style-language/schema/raw/master/csl-citation.json"} </w:instrText>
      </w:r>
      <w:r w:rsidR="00094241">
        <w:rPr>
          <w:rFonts w:ascii="Times New Roman" w:hAnsi="Times New Roman" w:cs="Times New Roman"/>
        </w:rPr>
        <w:fldChar w:fldCharType="separate"/>
      </w:r>
      <w:r w:rsidRPr="0086349B">
        <w:rPr>
          <w:rFonts w:ascii="Times New Roman" w:hAnsi="Times New Roman" w:cs="Times New Roman"/>
        </w:rPr>
        <w:t>[34]</w:t>
      </w:r>
      <w:r w:rsidR="00094241">
        <w:rPr>
          <w:rFonts w:ascii="Times New Roman" w:hAnsi="Times New Roman" w:cs="Times New Roman"/>
        </w:rPr>
        <w:fldChar w:fldCharType="end"/>
      </w:r>
      <w:r w:rsidR="001E7CB8" w:rsidRPr="001E7CB8">
        <w:rPr>
          <w:rFonts w:ascii="Times New Roman" w:hAnsi="Times New Roman" w:cs="Times New Roman"/>
        </w:rPr>
        <w:t xml:space="preserve">. Within this </w:t>
      </w:r>
      <w:proofErr w:type="spellStart"/>
      <w:r w:rsidR="001E7CB8" w:rsidRPr="001E7CB8">
        <w:rPr>
          <w:rFonts w:ascii="Times New Roman" w:hAnsi="Times New Roman" w:cs="Times New Roman"/>
        </w:rPr>
        <w:t>programme</w:t>
      </w:r>
      <w:proofErr w:type="spellEnd"/>
      <w:r w:rsidR="001E7CB8" w:rsidRPr="001E7CB8">
        <w:rPr>
          <w:rFonts w:ascii="Times New Roman" w:hAnsi="Times New Roman" w:cs="Times New Roman"/>
        </w:rPr>
        <w:t>, Subproject 3 focuses on building capacity for research, management, and control of communicable and noncommunicable diseases, including type 2 diabetes and hypertension, and strengthening local laboratory capacity</w:t>
      </w:r>
      <w:r w:rsidR="00094241">
        <w:rPr>
          <w:rFonts w:ascii="Times New Roman" w:hAnsi="Times New Roman" w:cs="Times New Roman"/>
        </w:rPr>
        <w:t xml:space="preserve"> </w:t>
      </w:r>
      <w:r w:rsidR="00094241">
        <w:rPr>
          <w:rFonts w:ascii="Times New Roman" w:hAnsi="Times New Roman" w:cs="Times New Roman"/>
        </w:rPr>
        <w:fldChar w:fldCharType="begin"/>
      </w:r>
      <w:r>
        <w:rPr>
          <w:rFonts w:ascii="Times New Roman" w:hAnsi="Times New Roman" w:cs="Times New Roman"/>
        </w:rPr>
        <w:instrText xml:space="preserve"> ADDIN ZOTERO_ITEM CSL_CITATION {"citationID":"HCfMdwSW","properties":{"formattedCitation":"[34]","plainCitation":"[34]","noteIndex":0},"citationItems":[{"id":140,"uris":["http://zotero.org/users/local/C4anYv1I/items/C3U2XYPI"],"itemData":{"id":140,"type":"post-weblog","language":"en-US","title":"JOOUST VLIR-IUC PROJECT – DRIE","URL":"https://drie.jooust.ac.ke/nproject/jooust-vlir-iuc-project/","accessed":{"date-parts":[["2026",1,27]]}}}],"schema":"https://github.com/citation-style-language/schema/raw/master/csl-citation.json"} </w:instrText>
      </w:r>
      <w:r w:rsidR="00094241">
        <w:rPr>
          <w:rFonts w:ascii="Times New Roman" w:hAnsi="Times New Roman" w:cs="Times New Roman"/>
        </w:rPr>
        <w:fldChar w:fldCharType="separate"/>
      </w:r>
      <w:r w:rsidRPr="0086349B">
        <w:rPr>
          <w:rFonts w:ascii="Times New Roman" w:hAnsi="Times New Roman" w:cs="Times New Roman"/>
        </w:rPr>
        <w:t>[34]</w:t>
      </w:r>
      <w:r w:rsidR="00094241">
        <w:rPr>
          <w:rFonts w:ascii="Times New Roman" w:hAnsi="Times New Roman" w:cs="Times New Roman"/>
        </w:rPr>
        <w:fldChar w:fldCharType="end"/>
      </w:r>
      <w:r w:rsidR="001E7CB8" w:rsidRPr="001E7CB8">
        <w:rPr>
          <w:rFonts w:ascii="Times New Roman" w:hAnsi="Times New Roman" w:cs="Times New Roman"/>
        </w:rPr>
        <w:t xml:space="preserve">. For the current study, this </w:t>
      </w:r>
      <w:proofErr w:type="spellStart"/>
      <w:r w:rsidR="001E7CB8" w:rsidRPr="001E7CB8">
        <w:rPr>
          <w:rFonts w:ascii="Times New Roman" w:hAnsi="Times New Roman" w:cs="Times New Roman"/>
        </w:rPr>
        <w:t>programme</w:t>
      </w:r>
      <w:proofErr w:type="spellEnd"/>
      <w:r w:rsidR="001E7CB8" w:rsidRPr="001E7CB8">
        <w:rPr>
          <w:rFonts w:ascii="Times New Roman" w:hAnsi="Times New Roman" w:cs="Times New Roman"/>
        </w:rPr>
        <w:t xml:space="preserve"> facilitated engagement with county and sub county stakeholders and supported access to participating facilities, but it did not influence the study objectives, tool development, data collection, analysis, or interpretation. Data were collected between January and August 2024.</w:t>
      </w:r>
    </w:p>
    <w:p w14:paraId="03D619F6" w14:textId="00B58864"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Study population and sampling</w:t>
      </w:r>
    </w:p>
    <w:p w14:paraId="1F49C868" w14:textId="0F02CCF4" w:rsidR="00FA6263" w:rsidRDefault="00464F6D" w:rsidP="00C974EE">
      <w:pPr>
        <w:spacing w:line="360" w:lineRule="auto"/>
        <w:rPr>
          <w:rFonts w:ascii="Times New Roman" w:hAnsi="Times New Roman" w:cs="Times New Roman"/>
        </w:rPr>
      </w:pPr>
      <w:r w:rsidRPr="00464F6D">
        <w:rPr>
          <w:rFonts w:ascii="Times New Roman" w:hAnsi="Times New Roman" w:cs="Times New Roman"/>
        </w:rPr>
        <w:t xml:space="preserve">The target population comprised public primary health care facilities providing hypertension and diabetes services in Seme Sub County. In the wider Seme sub county setting, primary health care services are delivered through facilities at levels 2 to 4. In consultation with the Seme Sub County Health Management Team, we identified </w:t>
      </w:r>
      <w:r w:rsidR="00FA6263">
        <w:rPr>
          <w:rFonts w:ascii="Times New Roman" w:hAnsi="Times New Roman" w:cs="Times New Roman"/>
        </w:rPr>
        <w:t xml:space="preserve">8 </w:t>
      </w:r>
      <w:r w:rsidR="001F158E">
        <w:rPr>
          <w:rFonts w:ascii="Times New Roman" w:hAnsi="Times New Roman" w:cs="Times New Roman"/>
        </w:rPr>
        <w:t xml:space="preserve">out of 29 </w:t>
      </w:r>
      <w:r w:rsidR="00FA6263">
        <w:rPr>
          <w:rFonts w:ascii="Times New Roman" w:hAnsi="Times New Roman" w:cs="Times New Roman"/>
        </w:rPr>
        <w:t xml:space="preserve">PHC </w:t>
      </w:r>
      <w:r w:rsidRPr="00464F6D">
        <w:rPr>
          <w:rFonts w:ascii="Times New Roman" w:hAnsi="Times New Roman" w:cs="Times New Roman"/>
        </w:rPr>
        <w:t>facilities providing both hypertension and diabetes services. All eight public facilities are located in rural catchment areas.</w:t>
      </w:r>
      <w:r w:rsidR="00105619">
        <w:rPr>
          <w:rFonts w:ascii="Times New Roman" w:hAnsi="Times New Roman" w:cs="Times New Roman"/>
        </w:rPr>
        <w:t xml:space="preserve"> </w:t>
      </w:r>
      <w:r w:rsidRPr="00464F6D">
        <w:rPr>
          <w:rFonts w:ascii="Times New Roman" w:hAnsi="Times New Roman" w:cs="Times New Roman"/>
        </w:rPr>
        <w:t xml:space="preserve">Seven facilities ultimately participated after one facility declined due to administrative constraints. The participating facilities included two level 4 facilities, three level 3 facilities, and two level 2 facilities, consistent with the Kenya Essential Package for Health </w:t>
      </w:r>
      <w:r w:rsidR="00FA6263">
        <w:rPr>
          <w:rFonts w:ascii="Times New Roman" w:hAnsi="Times New Roman" w:cs="Times New Roman"/>
        </w:rPr>
        <w:t>(</w:t>
      </w:r>
      <w:r w:rsidR="00FA6263" w:rsidRPr="00FA6263">
        <w:rPr>
          <w:rFonts w:ascii="Times New Roman" w:hAnsi="Times New Roman" w:cs="Times New Roman"/>
        </w:rPr>
        <w:t>KEPH</w:t>
      </w:r>
      <w:r w:rsidR="00FA6263">
        <w:rPr>
          <w:rFonts w:ascii="Times New Roman" w:hAnsi="Times New Roman" w:cs="Times New Roman"/>
        </w:rPr>
        <w:t xml:space="preserve">) </w:t>
      </w:r>
      <w:r w:rsidRPr="00464F6D">
        <w:rPr>
          <w:rFonts w:ascii="Times New Roman" w:hAnsi="Times New Roman" w:cs="Times New Roman"/>
        </w:rPr>
        <w:t>classification.</w:t>
      </w:r>
    </w:p>
    <w:p w14:paraId="5B93B847" w14:textId="30D0103D" w:rsidR="00D06E78" w:rsidRDefault="001F158E" w:rsidP="00C974EE">
      <w:pPr>
        <w:spacing w:line="360" w:lineRule="auto"/>
        <w:rPr>
          <w:rFonts w:ascii="Times New Roman" w:hAnsi="Times New Roman" w:cs="Times New Roman"/>
        </w:rPr>
      </w:pPr>
      <w:r w:rsidRPr="00464F6D">
        <w:rPr>
          <w:rFonts w:ascii="Times New Roman" w:hAnsi="Times New Roman" w:cs="Times New Roman"/>
        </w:rPr>
        <w:t>Facilities were purposively selected using the following criteria: the facility is publicly owned and managed under the county health system, provides services for both hypertension and diabetes, and the facility management team agreed to participate. Although the facility sample was small, it captured the major public primary care facilities providing these services in the sub county across levels 2 to 4.</w:t>
      </w:r>
      <w:r>
        <w:rPr>
          <w:rFonts w:ascii="Times New Roman" w:hAnsi="Times New Roman" w:cs="Times New Roman"/>
        </w:rPr>
        <w:t xml:space="preserve"> </w:t>
      </w:r>
      <w:r w:rsidR="00D06E78" w:rsidRPr="00C974EE">
        <w:rPr>
          <w:rFonts w:ascii="Times New Roman" w:hAnsi="Times New Roman" w:cs="Times New Roman"/>
        </w:rPr>
        <w:t>The facilities exhibit typical characteristics of rural primary health</w:t>
      </w:r>
      <w:r w:rsidR="00BF365F" w:rsidRPr="00C974EE">
        <w:rPr>
          <w:rFonts w:ascii="Times New Roman" w:hAnsi="Times New Roman" w:cs="Times New Roman"/>
        </w:rPr>
        <w:t xml:space="preserve"> </w:t>
      </w:r>
      <w:r w:rsidR="00D06E78" w:rsidRPr="00C974EE">
        <w:rPr>
          <w:rFonts w:ascii="Times New Roman" w:hAnsi="Times New Roman" w:cs="Times New Roman"/>
        </w:rPr>
        <w:t>care facilities in western Kenya: government-owned, county-managed, serving predominantly rural populations, and operating under similar policy and financing frameworks. These characteristics enhance transferability of findings to similar rural contexts in Kenya, though variations in county governance capacity and resource availability must be acknowledged.</w:t>
      </w:r>
    </w:p>
    <w:p w14:paraId="5DC68A29" w14:textId="5836A394" w:rsidR="008271D4" w:rsidRPr="00C974EE" w:rsidRDefault="008271D4" w:rsidP="00C974EE">
      <w:pPr>
        <w:spacing w:line="360" w:lineRule="auto"/>
        <w:rPr>
          <w:rFonts w:ascii="Times New Roman" w:hAnsi="Times New Roman" w:cs="Times New Roman"/>
        </w:rPr>
      </w:pPr>
      <w:r w:rsidRPr="008271D4">
        <w:rPr>
          <w:rFonts w:ascii="Times New Roman" w:hAnsi="Times New Roman" w:cs="Times New Roman"/>
        </w:rPr>
        <w:t xml:space="preserve">Because this study used a multi-site case study approach, each facility constituted an analytic case. The facility sample was intended to achieve coverage across the public primary care levels that provide hypertension and diabetes services in the sub county and to enable cross case comparison of financing arrangements and decision space across levels 2 to 4. In practice, the sample approximated a census of eligible public facilities in Seme that provided both hypertension and diabetes services during the study period. Seven facilities provided sufficient variation for analytic comparison while remaining feasible for detailed review of routine financial records and </w:t>
      </w:r>
      <w:proofErr w:type="gramStart"/>
      <w:r w:rsidRPr="008271D4">
        <w:rPr>
          <w:rFonts w:ascii="Times New Roman" w:hAnsi="Times New Roman" w:cs="Times New Roman"/>
        </w:rPr>
        <w:t>in</w:t>
      </w:r>
      <w:r w:rsidR="00105619">
        <w:rPr>
          <w:rFonts w:ascii="Times New Roman" w:hAnsi="Times New Roman" w:cs="Times New Roman"/>
        </w:rPr>
        <w:t xml:space="preserve"> </w:t>
      </w:r>
      <w:r w:rsidRPr="008271D4">
        <w:rPr>
          <w:rFonts w:ascii="Times New Roman" w:hAnsi="Times New Roman" w:cs="Times New Roman"/>
        </w:rPr>
        <w:t>depth</w:t>
      </w:r>
      <w:proofErr w:type="gramEnd"/>
      <w:r w:rsidRPr="008271D4">
        <w:rPr>
          <w:rFonts w:ascii="Times New Roman" w:hAnsi="Times New Roman" w:cs="Times New Roman"/>
        </w:rPr>
        <w:t xml:space="preserve"> key informant interviews with facility in charges.</w:t>
      </w:r>
    </w:p>
    <w:p w14:paraId="22AE28D1" w14:textId="33F838AD" w:rsidR="00464F6D" w:rsidRDefault="00105619" w:rsidP="00C974EE">
      <w:pPr>
        <w:spacing w:line="360" w:lineRule="auto"/>
        <w:rPr>
          <w:rFonts w:ascii="Times New Roman" w:hAnsi="Times New Roman" w:cs="Times New Roman"/>
        </w:rPr>
      </w:pPr>
      <w:r w:rsidRPr="00105619">
        <w:rPr>
          <w:rFonts w:ascii="Times New Roman" w:hAnsi="Times New Roman" w:cs="Times New Roman"/>
        </w:rPr>
        <w:t xml:space="preserve">We conducted one key informant interview </w:t>
      </w:r>
      <w:r>
        <w:rPr>
          <w:rFonts w:ascii="Times New Roman" w:hAnsi="Times New Roman" w:cs="Times New Roman"/>
        </w:rPr>
        <w:t>at each</w:t>
      </w:r>
      <w:r w:rsidRPr="00105619">
        <w:rPr>
          <w:rFonts w:ascii="Times New Roman" w:hAnsi="Times New Roman" w:cs="Times New Roman"/>
        </w:rPr>
        <w:t xml:space="preserve"> facility, resulting in seven key informant interviews in total.</w:t>
      </w:r>
      <w:r>
        <w:rPr>
          <w:rFonts w:ascii="Times New Roman" w:hAnsi="Times New Roman" w:cs="Times New Roman"/>
        </w:rPr>
        <w:t xml:space="preserve"> The</w:t>
      </w:r>
      <w:r w:rsidR="001F158E">
        <w:rPr>
          <w:rFonts w:ascii="Times New Roman" w:hAnsi="Times New Roman" w:cs="Times New Roman"/>
        </w:rPr>
        <w:t xml:space="preserve"> </w:t>
      </w:r>
      <w:r w:rsidR="00825312" w:rsidRPr="00C974EE">
        <w:rPr>
          <w:rFonts w:ascii="Times New Roman" w:hAnsi="Times New Roman" w:cs="Times New Roman"/>
        </w:rPr>
        <w:t>key informant</w:t>
      </w:r>
      <w:r>
        <w:rPr>
          <w:rFonts w:ascii="Times New Roman" w:hAnsi="Times New Roman" w:cs="Times New Roman"/>
        </w:rPr>
        <w:t>s</w:t>
      </w:r>
      <w:r w:rsidR="00825312" w:rsidRPr="00C974EE">
        <w:rPr>
          <w:rFonts w:ascii="Times New Roman" w:hAnsi="Times New Roman" w:cs="Times New Roman"/>
        </w:rPr>
        <w:t xml:space="preserve"> w</w:t>
      </w:r>
      <w:r>
        <w:rPr>
          <w:rFonts w:ascii="Times New Roman" w:hAnsi="Times New Roman" w:cs="Times New Roman"/>
        </w:rPr>
        <w:t>ere</w:t>
      </w:r>
      <w:r w:rsidR="00825312" w:rsidRPr="00C974EE">
        <w:rPr>
          <w:rFonts w:ascii="Times New Roman" w:hAnsi="Times New Roman" w:cs="Times New Roman"/>
        </w:rPr>
        <w:t xml:space="preserve"> purposively selected based on their roles and direct involvement in financial management or NCD service delivery. Primary informants were facility in-charges, who possessed comprehensive knowledge of facility operations, budgeting processes, and service delivery challenges.</w:t>
      </w:r>
    </w:p>
    <w:p w14:paraId="529C6865" w14:textId="2DC683FF" w:rsidR="00BA4F06" w:rsidRPr="00C974EE" w:rsidRDefault="00BA4F06" w:rsidP="00C974EE">
      <w:pPr>
        <w:spacing w:line="360" w:lineRule="auto"/>
        <w:rPr>
          <w:rFonts w:ascii="Times New Roman" w:hAnsi="Times New Roman" w:cs="Times New Roman"/>
        </w:rPr>
      </w:pPr>
      <w:r w:rsidRPr="00BA4F06">
        <w:rPr>
          <w:rFonts w:ascii="Times New Roman" w:hAnsi="Times New Roman" w:cs="Times New Roman"/>
        </w:rPr>
        <w:t xml:space="preserve">Although the study is not designed for statistical </w:t>
      </w:r>
      <w:proofErr w:type="spellStart"/>
      <w:r w:rsidRPr="00BA4F06">
        <w:rPr>
          <w:rFonts w:ascii="Times New Roman" w:hAnsi="Times New Roman" w:cs="Times New Roman"/>
        </w:rPr>
        <w:t>generalisation</w:t>
      </w:r>
      <w:proofErr w:type="spellEnd"/>
      <w:r w:rsidRPr="00BA4F06">
        <w:rPr>
          <w:rFonts w:ascii="Times New Roman" w:hAnsi="Times New Roman" w:cs="Times New Roman"/>
        </w:rPr>
        <w:t xml:space="preserve"> beyond the seven facilities, it supports analytic </w:t>
      </w:r>
      <w:proofErr w:type="spellStart"/>
      <w:r w:rsidRPr="00BA4F06">
        <w:rPr>
          <w:rFonts w:ascii="Times New Roman" w:hAnsi="Times New Roman" w:cs="Times New Roman"/>
        </w:rPr>
        <w:t>generalisability</w:t>
      </w:r>
      <w:proofErr w:type="spellEnd"/>
      <w:r w:rsidRPr="00BA4F06">
        <w:rPr>
          <w:rFonts w:ascii="Times New Roman" w:hAnsi="Times New Roman" w:cs="Times New Roman"/>
        </w:rPr>
        <w:t xml:space="preserve"> by identifying mechanisms through which financing architecture and facility decision space shape continuity of chronic care. These mechanisms, including predictability of funding, approval turnaround times, and the ability to procure during supply gaps, are plausibly applicable to other rural primary health care settings operating under similar devolved public finance rules and purchasing arrangements.</w:t>
      </w:r>
    </w:p>
    <w:p w14:paraId="59080BBC"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Conceptual framework</w:t>
      </w:r>
    </w:p>
    <w:p w14:paraId="28D89FA9" w14:textId="3006EBDA" w:rsidR="007740D2" w:rsidRPr="009B12F0" w:rsidRDefault="00830499" w:rsidP="00C974EE">
      <w:pPr>
        <w:spacing w:line="360" w:lineRule="auto"/>
        <w:rPr>
          <w:rFonts w:ascii="Times New Roman" w:hAnsi="Times New Roman" w:cs="Times New Roman"/>
        </w:rPr>
      </w:pPr>
      <w:r w:rsidRPr="00830499">
        <w:rPr>
          <w:rFonts w:ascii="Times New Roman" w:hAnsi="Times New Roman" w:cs="Times New Roman"/>
        </w:rPr>
        <w:t>The study was guided by the World Health Organization (WHO) health financing framework, adapted to the facility level. This framework conceptualizes NCD care effectiveness as influenced by four interrelated financial dimensions</w:t>
      </w:r>
      <w:r w:rsidR="008C1896">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{"citationID":"ARCXpRUV","properties":{"custom":"[24, 28]","formattedCitation":"[24, 28]","plainCitation":"[24, 28]","noteIndex":0},"citationItems":[{"id":47,"uris":["http://zotero.org/users/local/C4anYv1I/items/ZC6LTHM4"],"itemData":{"id":47,"type":"webpage","abstract":"This report summarizes the findings of the Health Financing Progress Matrix assessment, WHO’s standardized assessment of a country’s health financing policies, for Kenya. The report highlights both strengths and weaknesses in Kenya's current health financing arrangements, assessed against the desirable attributes of a health financing system, based on global evidence. Based on the findings, the report suggests a number of policy adjustments to drive accelerated progress towards universal health coverage (UHC) in the country.","language":"en","title":"Health Financing Progress Matrix assessment, Kenya 2023: summary of findings and recommendations","title-short":"Health Financing Progress Matrix assessment, Kenya 2023","URL":"https://www.who.int/publications/i/item/9789240094307","author":[{"family":"WHO","given":""}],"accessed":{"date-parts":[["2025",10,6]]}},"label":"page"},{"id":33,"uris":["http://zotero.org/users/local/C4anYv1I/items/Q6YPEV7L"],"itemData":{"id":33,"type":"article-journal","container-title":"Health policy","issue":"3","page":"171–204","publisher":"Elsevier","title":"A descriptive framework for country-level analysis of health care financing arrangements","volume":"56","author":[{"family":"Kutzin","given":"Joseph"}],"issued":{"date-parts":[["2001"]]}},"label":"page"}],"schema":"https://github.com/citation-style-language/schema/raw/master/csl-citation.json"}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[24, 28]</w:t>
      </w:r>
      <w:r w:rsidR="008C1896">
        <w:rPr>
          <w:rFonts w:ascii="Times New Roman" w:hAnsi="Times New Roman" w:cs="Times New Roman"/>
        </w:rPr>
        <w:fldChar w:fldCharType="end"/>
      </w:r>
      <w:r w:rsidR="007740D2" w:rsidRPr="00D500F2">
        <w:rPr>
          <w:rFonts w:ascii="Times New Roman" w:hAnsi="Times New Roman" w:cs="Times New Roman"/>
        </w:rPr>
        <w:t xml:space="preserve">. </w:t>
      </w:r>
      <w:r w:rsidR="007740D2" w:rsidRPr="009B12F0">
        <w:rPr>
          <w:rFonts w:ascii="Times New Roman" w:hAnsi="Times New Roman" w:cs="Times New Roman"/>
        </w:rPr>
        <w:t xml:space="preserve">Figure 1 illustrates the conceptual framework guiding this study. The framework posits that NCD care effectiveness is influenced by a cascade of financial determinants organized into four interrelated dimensions: (1) sources of financing (diversity and mix of funding sources including government, user fees, NHIF, </w:t>
      </w:r>
      <w:r w:rsidR="007740D2" w:rsidRPr="00C974EE">
        <w:rPr>
          <w:rFonts w:ascii="Times New Roman" w:hAnsi="Times New Roman" w:cs="Times New Roman"/>
        </w:rPr>
        <w:t xml:space="preserve">Facility Improvement Fund (FIF) - a conditional grant designed to support facility-level infrastructure and operational improvements, </w:t>
      </w:r>
      <w:r w:rsidR="007740D2" w:rsidRPr="009B12F0">
        <w:rPr>
          <w:rFonts w:ascii="Times New Roman" w:hAnsi="Times New Roman" w:cs="Times New Roman"/>
        </w:rPr>
        <w:t>donors; reliability and consistency of inflows; share of revenue allocated to NCDs); (2) planning and budgeting (planning processes and NCD inclusion; NCD-specific budgeting and transparency; alignment with NCD burden); (3) resource allocation (predictability of allocations; facility autonomy and flexibility; NCD prioritization in allocation); and (4) financial resource utilization (efficiency of expenditure in procurement and disbursement; accountability and oversight; responsiveness to NCD needs). These dimensions are moderated by health facility characteristics (size, staffing, facility type/KEPH level) and collectively determine the dependent variable: effectiveness of hypertension and diabetes care, measured through availability of essential NCD commodities, access to comprehensive NCD services, quality and continuity of care, and equity in service provision.</w:t>
      </w:r>
    </w:p>
    <w:p w14:paraId="0709C648" w14:textId="2E7F2B7B" w:rsidR="00C109A4" w:rsidRPr="00C974EE" w:rsidRDefault="00C109A4" w:rsidP="00C974EE">
      <w:pPr>
        <w:spacing w:before="280" w:after="280" w:line="360" w:lineRule="auto"/>
        <w:rPr>
          <w:rFonts w:ascii="Times New Roman" w:eastAsia="Times New Roman" w:hAnsi="Times New Roman" w:cs="Times New Roman"/>
          <w:highlight w:val="white"/>
        </w:rPr>
      </w:pPr>
      <w:r w:rsidRPr="00C974EE">
        <w:rPr>
          <w:rFonts w:ascii="Times New Roman" w:hAnsi="Times New Roman" w:cs="Times New Roman"/>
          <w:noProof/>
          <w:sz w:val="22"/>
          <w:szCs w:val="22"/>
        </w:rPr>
        <mc:AlternateContent>
          <mc:Choice Requires="wpg">
            <w:drawing>
              <wp:inline distT="0" distB="0" distL="0" distR="0" wp14:anchorId="68AE2528" wp14:editId="39B58F25">
                <wp:extent cx="6623050" cy="5410200"/>
                <wp:effectExtent l="0" t="0" r="25400" b="190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050" cy="5410200"/>
                          <a:chOff x="152" y="1801"/>
                          <a:chExt cx="97383" cy="55289"/>
                        </a:xfrm>
                      </wpg:grpSpPr>
                      <wpg:grpSp>
                        <wpg:cNvPr id="2" name="Group 16"/>
                        <wpg:cNvGrpSpPr>
                          <a:grpSpLocks/>
                        </wpg:cNvGrpSpPr>
                        <wpg:grpSpPr bwMode="auto">
                          <a:xfrm>
                            <a:off x="200" y="7605"/>
                            <a:ext cx="97335" cy="49437"/>
                            <a:chOff x="200" y="7505"/>
                            <a:chExt cx="97335" cy="49536"/>
                          </a:xfrm>
                        </wpg:grpSpPr>
                        <wps:wsp>
                          <wps:cNvPr id="3" name="Rectangle 17"/>
                          <wps:cNvSpPr>
                            <a:spLocks noChangeArrowheads="1"/>
                          </wps:cNvSpPr>
                          <wps:spPr bwMode="auto">
                            <a:xfrm>
                              <a:off x="200" y="7505"/>
                              <a:ext cx="97335" cy="49536"/>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E48628F" w14:textId="77777777" w:rsidR="00C109A4" w:rsidRPr="00D47864" w:rsidRDefault="00C109A4" w:rsidP="00C109A4">
                                <w:pPr>
                                  <w:spacing w:after="0" w:line="240" w:lineRule="auto"/>
                                  <w:ind w:left="-144"/>
                                  <w:jc w:val="center"/>
                                  <w:textDirection w:val="btLr"/>
                                  <w:rPr>
                                    <w:rFonts w:ascii="Times New Roman" w:hAnsi="Times New Roman" w:cs="Times New Roman"/>
                                    <w:sz w:val="20"/>
                                    <w:szCs w:val="20"/>
                                  </w:rPr>
                                </w:pPr>
                              </w:p>
                            </w:txbxContent>
                          </wps:txbx>
                          <wps:bodyPr rot="0" vert="horz" wrap="square" lIns="91425" tIns="91425" rIns="91425" bIns="91425" anchor="ctr" anchorCtr="0" upright="1">
                            <a:noAutofit/>
                          </wps:bodyPr>
                        </wps:wsp>
                        <wpg:grpSp>
                          <wpg:cNvPr id="4" name="Group 18"/>
                          <wpg:cNvGrpSpPr>
                            <a:grpSpLocks/>
                          </wpg:cNvGrpSpPr>
                          <wpg:grpSpPr bwMode="auto">
                            <a:xfrm>
                              <a:off x="200" y="9606"/>
                              <a:ext cx="48832" cy="46534"/>
                              <a:chOff x="200" y="9606"/>
                              <a:chExt cx="48735" cy="46533"/>
                            </a:xfrm>
                          </wpg:grpSpPr>
                          <wpg:grpSp>
                            <wpg:cNvPr id="5" name="Group 19"/>
                            <wpg:cNvGrpSpPr>
                              <a:grpSpLocks/>
                            </wpg:cNvGrpSpPr>
                            <wpg:grpSpPr bwMode="auto">
                              <a:xfrm>
                                <a:off x="200" y="17281"/>
                                <a:ext cx="48735" cy="38859"/>
                                <a:chOff x="200" y="17281"/>
                                <a:chExt cx="48735" cy="38859"/>
                              </a:xfrm>
                            </wpg:grpSpPr>
                            <wps:wsp>
                              <wps:cNvPr id="6" name="Rectangle 20"/>
                              <wps:cNvSpPr>
                                <a:spLocks noChangeArrowheads="1"/>
                              </wps:cNvSpPr>
                              <wps:spPr bwMode="auto">
                                <a:xfrm>
                                  <a:off x="200" y="17281"/>
                                  <a:ext cx="48735" cy="38859"/>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00D6E6F" w14:textId="77777777" w:rsidR="00C109A4" w:rsidRPr="00D47864" w:rsidRDefault="00C109A4" w:rsidP="00C109A4">
                                    <w:pPr>
                                      <w:spacing w:after="0" w:line="240" w:lineRule="auto"/>
                                      <w:ind w:left="-144"/>
                                      <w:jc w:val="center"/>
                                      <w:textDirection w:val="btLr"/>
                                      <w:rPr>
                                        <w:rFonts w:ascii="Times New Roman" w:hAnsi="Times New Roman" w:cs="Times New Roman"/>
                                      </w:rPr>
                                    </w:pPr>
                                  </w:p>
                                </w:txbxContent>
                              </wps:txbx>
                              <wps:bodyPr rot="0" vert="horz" wrap="square" lIns="91425" tIns="91425" rIns="91425" bIns="91425" anchor="ctr" anchorCtr="0" upright="1">
                                <a:noAutofit/>
                              </wps:bodyPr>
                            </wps:wsp>
                            <wpg:grpSp>
                              <wpg:cNvPr id="7" name="Group 21"/>
                              <wpg:cNvGrpSpPr>
                                <a:grpSpLocks/>
                              </wpg:cNvGrpSpPr>
                              <wpg:grpSpPr bwMode="auto">
                                <a:xfrm>
                                  <a:off x="601" y="18117"/>
                                  <a:ext cx="45149" cy="10332"/>
                                  <a:chOff x="1401" y="17644"/>
                                  <a:chExt cx="45149" cy="10332"/>
                                </a:xfrm>
                              </wpg:grpSpPr>
                              <wps:wsp>
                                <wps:cNvPr id="8" name="Rectangle 22"/>
                                <wps:cNvSpPr>
                                  <a:spLocks noChangeArrowheads="1"/>
                                </wps:cNvSpPr>
                                <wps:spPr bwMode="auto">
                                  <a:xfrm>
                                    <a:off x="1401" y="19701"/>
                                    <a:ext cx="12678" cy="6105"/>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1228B2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Sources of Financing</w:t>
                                      </w:r>
                                    </w:p>
                                  </w:txbxContent>
                                </wps:txbx>
                                <wps:bodyPr rot="0" vert="horz" wrap="square" lIns="91425" tIns="91425" rIns="91425" bIns="91425" anchor="ctr" anchorCtr="0" upright="1">
                                  <a:noAutofit/>
                                </wps:bodyPr>
                              </wps:wsp>
                              <wps:wsp>
                                <wps:cNvPr id="9" name="Rectangle 23"/>
                                <wps:cNvSpPr>
                                  <a:spLocks noChangeArrowheads="1"/>
                                </wps:cNvSpPr>
                                <wps:spPr bwMode="auto">
                                  <a:xfrm>
                                    <a:off x="19314" y="17644"/>
                                    <a:ext cx="27237" cy="10332"/>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B510419"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Diversity &amp; Mix of Sources (Govt, User Fees, NHIF, Donors)</w:t>
                                      </w:r>
                                    </w:p>
                                    <w:p w14:paraId="2E171577"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Reliability &amp; Consistency of Inflows</w:t>
                                      </w:r>
                                    </w:p>
                                    <w:p w14:paraId="469F3CAA"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Share of revenue allocated to NCDs</w:t>
                                      </w:r>
                                    </w:p>
                                  </w:txbxContent>
                                </wps:txbx>
                                <wps:bodyPr rot="0" vert="horz" wrap="square" lIns="91425" tIns="91425" rIns="91425" bIns="91425" anchor="ctr" anchorCtr="0" upright="1">
                                  <a:noAutofit/>
                                </wps:bodyPr>
                              </wps:wsp>
                              <wps:wsp>
                                <wps:cNvPr id="10" name="Straight Arrow Connector 24"/>
                                <wps:cNvCnPr>
                                  <a:cxnSpLocks noChangeShapeType="1"/>
                                </wps:cNvCnPr>
                                <wps:spPr bwMode="auto">
                                  <a:xfrm>
                                    <a:off x="14079" y="22753"/>
                                    <a:ext cx="5235" cy="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1" name="Group 25"/>
                              <wpg:cNvGrpSpPr>
                                <a:grpSpLocks/>
                              </wpg:cNvGrpSpPr>
                              <wpg:grpSpPr bwMode="auto">
                                <a:xfrm>
                                  <a:off x="601" y="29358"/>
                                  <a:ext cx="45149" cy="9330"/>
                                  <a:chOff x="1000" y="31148"/>
                                  <a:chExt cx="45550" cy="9330"/>
                                </a:xfrm>
                              </wpg:grpSpPr>
                              <wps:wsp>
                                <wps:cNvPr id="12" name="Rectangle 26"/>
                                <wps:cNvSpPr>
                                  <a:spLocks noChangeArrowheads="1"/>
                                </wps:cNvSpPr>
                                <wps:spPr bwMode="auto">
                                  <a:xfrm>
                                    <a:off x="1000" y="32750"/>
                                    <a:ext cx="13080" cy="6105"/>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D38935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Planning &amp; Budgeting</w:t>
                                      </w:r>
                                    </w:p>
                                  </w:txbxContent>
                                </wps:txbx>
                                <wps:bodyPr rot="0" vert="horz" wrap="square" lIns="91425" tIns="91425" rIns="91425" bIns="91425" anchor="ctr" anchorCtr="0" upright="1">
                                  <a:noAutofit/>
                                </wps:bodyPr>
                              </wps:wsp>
                              <wps:wsp>
                                <wps:cNvPr id="13" name="Rectangle 27"/>
                                <wps:cNvSpPr>
                                  <a:spLocks noChangeArrowheads="1"/>
                                </wps:cNvSpPr>
                                <wps:spPr bwMode="auto">
                                  <a:xfrm>
                                    <a:off x="19314" y="31148"/>
                                    <a:ext cx="27237" cy="9330"/>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82206E5"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Planning Process &amp; NCD Inclusion</w:t>
                                      </w:r>
                                    </w:p>
                                    <w:p w14:paraId="7C6F7CC5"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NCD-Specific Budgeting &amp; Transparency</w:t>
                                      </w:r>
                                    </w:p>
                                    <w:p w14:paraId="5C127BE3"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Alignment with NCD Burden</w:t>
                                      </w:r>
                                    </w:p>
                                  </w:txbxContent>
                                </wps:txbx>
                                <wps:bodyPr rot="0" vert="horz" wrap="square" lIns="91425" tIns="91425" rIns="91425" bIns="91425" anchor="ctr" anchorCtr="0" upright="1">
                                  <a:noAutofit/>
                                </wps:bodyPr>
                              </wps:wsp>
                              <wps:wsp>
                                <wps:cNvPr id="14" name="Straight Arrow Connector 28"/>
                                <wps:cNvCnPr>
                                  <a:cxnSpLocks noChangeShapeType="1"/>
                                </wps:cNvCnPr>
                                <wps:spPr bwMode="auto">
                                  <a:xfrm>
                                    <a:off x="14080" y="35803"/>
                                    <a:ext cx="5232" cy="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5" name="Group 29"/>
                              <wpg:cNvGrpSpPr>
                                <a:grpSpLocks/>
                              </wpg:cNvGrpSpPr>
                              <wpg:grpSpPr bwMode="auto">
                                <a:xfrm>
                                  <a:off x="600" y="39597"/>
                                  <a:ext cx="45151" cy="6906"/>
                                  <a:chOff x="800" y="44939"/>
                                  <a:chExt cx="45750" cy="6906"/>
                                </a:xfrm>
                              </wpg:grpSpPr>
                              <wps:wsp>
                                <wps:cNvPr id="16" name="Rectangle 30"/>
                                <wps:cNvSpPr>
                                  <a:spLocks noChangeArrowheads="1"/>
                                </wps:cNvSpPr>
                                <wps:spPr bwMode="auto">
                                  <a:xfrm>
                                    <a:off x="800" y="45800"/>
                                    <a:ext cx="13080" cy="5358"/>
                                  </a:xfrm>
                                  <a:prstGeom prst="rect">
                                    <a:avLst/>
                                  </a:prstGeom>
                                  <a:solidFill>
                                    <a:srgbClr val="FFFFFF"/>
                                  </a:solidFill>
                                  <a:ln w="9525">
                                    <a:solidFill>
                                      <a:srgbClr val="000000"/>
                                    </a:solidFill>
                                    <a:round/>
                                    <a:headEnd type="none" w="sm" len="sm"/>
                                    <a:tailEnd type="none" w="sm" len="sm"/>
                                  </a:ln>
                                </wps:spPr>
                                <wps:txbx>
                                  <w:txbxContent>
                                    <w:p w14:paraId="28B48959"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Resource Allocation</w:t>
                                      </w:r>
                                    </w:p>
                                  </w:txbxContent>
                                </wps:txbx>
                                <wps:bodyPr rot="0" vert="horz" wrap="square" lIns="91425" tIns="91425" rIns="91425" bIns="91425" anchor="ctr" anchorCtr="0" upright="1">
                                  <a:noAutofit/>
                                </wps:bodyPr>
                              </wps:wsp>
                              <wps:wsp>
                                <wps:cNvPr id="17" name="Rectangle 31"/>
                                <wps:cNvSpPr>
                                  <a:spLocks noChangeArrowheads="1"/>
                                </wps:cNvSpPr>
                                <wps:spPr bwMode="auto">
                                  <a:xfrm>
                                    <a:off x="19314" y="44939"/>
                                    <a:ext cx="27237" cy="6906"/>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B1A3BFC"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Predictability of Allocations</w:t>
                                      </w:r>
                                    </w:p>
                                    <w:p w14:paraId="487C1B12"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Facility Autonomy &amp; Flexibility</w:t>
                                      </w:r>
                                    </w:p>
                                    <w:p w14:paraId="5C276A4A"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NCD Prioritization in Allocation</w:t>
                                      </w:r>
                                    </w:p>
                                  </w:txbxContent>
                                </wps:txbx>
                                <wps:bodyPr rot="0" vert="horz" wrap="square" lIns="91425" tIns="91425" rIns="91425" bIns="91425" anchor="ctr" anchorCtr="0" upright="1">
                                  <a:noAutofit/>
                                </wps:bodyPr>
                              </wps:wsp>
                              <wps:wsp>
                                <wps:cNvPr id="18" name="Straight Arrow Connector 32"/>
                                <wps:cNvCnPr>
                                  <a:cxnSpLocks noChangeShapeType="1"/>
                                </wps:cNvCnPr>
                                <wps:spPr bwMode="auto">
                                  <a:xfrm rot="10800000" flipH="1">
                                    <a:off x="13880" y="48392"/>
                                    <a:ext cx="5433" cy="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9" name="Group 33"/>
                              <wpg:cNvGrpSpPr>
                                <a:grpSpLocks/>
                              </wpg:cNvGrpSpPr>
                              <wpg:grpSpPr bwMode="auto">
                                <a:xfrm>
                                  <a:off x="499" y="47412"/>
                                  <a:ext cx="45150" cy="8238"/>
                                  <a:chOff x="1000" y="56607"/>
                                  <a:chExt cx="45551" cy="8238"/>
                                </a:xfrm>
                              </wpg:grpSpPr>
                              <wps:wsp>
                                <wps:cNvPr id="20" name="Rectangle 34"/>
                                <wps:cNvSpPr>
                                  <a:spLocks noChangeArrowheads="1"/>
                                </wps:cNvSpPr>
                                <wps:spPr bwMode="auto">
                                  <a:xfrm>
                                    <a:off x="1000" y="57273"/>
                                    <a:ext cx="13080" cy="7342"/>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A4D3948"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Financial Resource Utilization</w:t>
                                      </w:r>
                                    </w:p>
                                  </w:txbxContent>
                                </wps:txbx>
                                <wps:bodyPr rot="0" vert="horz" wrap="square" lIns="91425" tIns="91425" rIns="91425" bIns="91425" anchor="ctr" anchorCtr="0" upright="1">
                                  <a:noAutofit/>
                                </wps:bodyPr>
                              </wps:wsp>
                              <wps:wsp>
                                <wps:cNvPr id="21" name="Rectangle 35"/>
                                <wps:cNvSpPr>
                                  <a:spLocks noChangeArrowheads="1"/>
                                </wps:cNvSpPr>
                                <wps:spPr bwMode="auto">
                                  <a:xfrm>
                                    <a:off x="19314" y="56607"/>
                                    <a:ext cx="27237" cy="8238"/>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DE15A53"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Efficiency of Expenditure (Procurement, Disbursement)</w:t>
                                      </w:r>
                                    </w:p>
                                    <w:p w14:paraId="1952CC31"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Accountability &amp; Oversight</w:t>
                                      </w:r>
                                    </w:p>
                                    <w:p w14:paraId="18702375"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Responsiveness to NCD Needs</w:t>
                                      </w:r>
                                    </w:p>
                                  </w:txbxContent>
                                </wps:txbx>
                                <wps:bodyPr rot="0" vert="horz" wrap="square" lIns="91425" tIns="91425" rIns="91425" bIns="91425" anchor="ctr" anchorCtr="0" upright="1">
                                  <a:noAutofit/>
                                </wps:bodyPr>
                              </wps:wsp>
                              <wps:wsp>
                                <wps:cNvPr id="22" name="Straight Arrow Connector 36"/>
                                <wps:cNvCnPr>
                                  <a:cxnSpLocks noChangeShapeType="1"/>
                                </wps:cNvCnPr>
                                <wps:spPr bwMode="auto">
                                  <a:xfrm>
                                    <a:off x="14080" y="60726"/>
                                    <a:ext cx="5232"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23" name="Rectangle 37"/>
                            <wps:cNvSpPr>
                              <a:spLocks noChangeArrowheads="1"/>
                            </wps:cNvSpPr>
                            <wps:spPr bwMode="auto">
                              <a:xfrm>
                                <a:off x="601" y="9606"/>
                                <a:ext cx="44532" cy="5808"/>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BD4B63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Independent Variables</w:t>
                                  </w:r>
                                </w:p>
                              </w:txbxContent>
                            </wps:txbx>
                            <wps:bodyPr rot="0" vert="horz" wrap="square" lIns="91425" tIns="91425" rIns="91425" bIns="91425" anchor="ctr" anchorCtr="0" upright="1">
                              <a:noAutofit/>
                            </wps:bodyPr>
                          </wps:wsp>
                        </wpg:grpSp>
                        <wps:wsp>
                          <wps:cNvPr id="24" name="Rectangle 38"/>
                          <wps:cNvSpPr>
                            <a:spLocks noChangeArrowheads="1"/>
                          </wps:cNvSpPr>
                          <wps:spPr bwMode="auto">
                            <a:xfrm>
                              <a:off x="50349" y="9606"/>
                              <a:ext cx="23663" cy="5808"/>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60708D9"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Modifying Factors</w:t>
                                </w:r>
                              </w:p>
                            </w:txbxContent>
                          </wps:txbx>
                          <wps:bodyPr rot="0" vert="horz" wrap="square" lIns="91425" tIns="91425" rIns="91425" bIns="91425" anchor="ctr" anchorCtr="0" upright="1">
                            <a:noAutofit/>
                          </wps:bodyPr>
                        </wps:wsp>
                        <wps:wsp>
                          <wps:cNvPr id="25" name="Rectangle 39"/>
                          <wps:cNvSpPr>
                            <a:spLocks noChangeArrowheads="1"/>
                          </wps:cNvSpPr>
                          <wps:spPr bwMode="auto">
                            <a:xfrm>
                              <a:off x="76092" y="9606"/>
                              <a:ext cx="20475" cy="5808"/>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571464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Dependent Variables</w:t>
                                </w:r>
                              </w:p>
                            </w:txbxContent>
                          </wps:txbx>
                          <wps:bodyPr rot="0" vert="horz" wrap="square" lIns="91425" tIns="91425" rIns="91425" bIns="91425" anchor="ctr" anchorCtr="0" upright="1">
                            <a:noAutofit/>
                          </wps:bodyPr>
                        </wps:wsp>
                        <wpg:grpSp>
                          <wpg:cNvPr id="26" name="Group 40"/>
                          <wpg:cNvGrpSpPr>
                            <a:grpSpLocks/>
                          </wpg:cNvGrpSpPr>
                          <wpg:grpSpPr bwMode="auto">
                            <a:xfrm>
                              <a:off x="76089" y="18117"/>
                              <a:ext cx="20887" cy="36046"/>
                              <a:chOff x="71773" y="16006"/>
                              <a:chExt cx="25395" cy="36046"/>
                            </a:xfrm>
                          </wpg:grpSpPr>
                          <wps:wsp>
                            <wps:cNvPr id="27" name="Rectangle 41"/>
                            <wps:cNvSpPr>
                              <a:spLocks noChangeArrowheads="1"/>
                            </wps:cNvSpPr>
                            <wps:spPr bwMode="auto">
                              <a:xfrm>
                                <a:off x="71773" y="16006"/>
                                <a:ext cx="25395" cy="36046"/>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E4986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Effectiveness of Hypertension &amp; Diabetes Care</w:t>
                                  </w:r>
                                </w:p>
                                <w:p w14:paraId="03B6EE1A" w14:textId="77777777" w:rsidR="00C109A4" w:rsidRPr="00D47864" w:rsidRDefault="00C109A4" w:rsidP="00C109A4">
                                  <w:pPr>
                                    <w:spacing w:after="0" w:line="240" w:lineRule="auto"/>
                                    <w:ind w:left="-144"/>
                                    <w:jc w:val="center"/>
                                    <w:textDirection w:val="btLr"/>
                                    <w:rPr>
                                      <w:rFonts w:ascii="Times New Roman" w:hAnsi="Times New Roman" w:cs="Times New Roman"/>
                                    </w:rPr>
                                  </w:pPr>
                                </w:p>
                              </w:txbxContent>
                            </wps:txbx>
                            <wps:bodyPr rot="0" vert="horz" wrap="square" lIns="91425" tIns="91425" rIns="91425" bIns="91425" anchor="t" anchorCtr="0" upright="1">
                              <a:noAutofit/>
                            </wps:bodyPr>
                          </wps:wsp>
                          <wps:wsp>
                            <wps:cNvPr id="28" name="Flowchart: Process 42"/>
                            <wps:cNvSpPr>
                              <a:spLocks noChangeArrowheads="1"/>
                            </wps:cNvSpPr>
                            <wps:spPr bwMode="auto">
                              <a:xfrm>
                                <a:off x="72662" y="23117"/>
                                <a:ext cx="23616" cy="7022"/>
                              </a:xfrm>
                              <a:prstGeom prst="flowChartProcess">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160626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 xml:space="preserve">Availability of Essential NCD Commodities </w:t>
                                  </w:r>
                                </w:p>
                              </w:txbxContent>
                            </wps:txbx>
                            <wps:bodyPr rot="0" vert="horz" wrap="square" lIns="91425" tIns="91425" rIns="91425" bIns="91425" anchor="ctr" anchorCtr="0" upright="1">
                              <a:noAutofit/>
                            </wps:bodyPr>
                          </wps:wsp>
                          <wps:wsp>
                            <wps:cNvPr id="29" name="Rectangle 43"/>
                            <wps:cNvSpPr>
                              <a:spLocks noChangeArrowheads="1"/>
                            </wps:cNvSpPr>
                            <wps:spPr bwMode="auto">
                              <a:xfrm>
                                <a:off x="72662" y="30920"/>
                                <a:ext cx="23616" cy="7932"/>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D721AE0"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Access to Comprehensive NCD Services</w:t>
                                  </w:r>
                                </w:p>
                              </w:txbxContent>
                            </wps:txbx>
                            <wps:bodyPr rot="0" vert="horz" wrap="square" lIns="91425" tIns="91425" rIns="91425" bIns="91425" anchor="ctr" anchorCtr="0" upright="1">
                              <a:noAutofit/>
                            </wps:bodyPr>
                          </wps:wsp>
                          <wps:wsp>
                            <wps:cNvPr id="30" name="Flowchart: Process 44"/>
                            <wps:cNvSpPr>
                              <a:spLocks noChangeArrowheads="1"/>
                            </wps:cNvSpPr>
                            <wps:spPr bwMode="auto">
                              <a:xfrm>
                                <a:off x="72662" y="40543"/>
                                <a:ext cx="23616" cy="6112"/>
                              </a:xfrm>
                              <a:prstGeom prst="flowChartProcess">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DDC1857"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Quality &amp; Continuity of Care</w:t>
                                  </w:r>
                                </w:p>
                              </w:txbxContent>
                            </wps:txbx>
                            <wps:bodyPr rot="0" vert="horz" wrap="square" lIns="91425" tIns="91425" rIns="91425" bIns="91425" anchor="ctr" anchorCtr="0" upright="1">
                              <a:noAutofit/>
                            </wps:bodyPr>
                          </wps:wsp>
                          <wps:wsp>
                            <wps:cNvPr id="31" name="Flowchart: Process 45"/>
                            <wps:cNvSpPr>
                              <a:spLocks noChangeArrowheads="1"/>
                            </wps:cNvSpPr>
                            <wps:spPr bwMode="auto">
                              <a:xfrm>
                                <a:off x="72435" y="47695"/>
                                <a:ext cx="23616" cy="3814"/>
                              </a:xfrm>
                              <a:prstGeom prst="flowChartProcess">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EC1C400"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Equity</w:t>
                                  </w:r>
                                </w:p>
                              </w:txbxContent>
                            </wps:txbx>
                            <wps:bodyPr rot="0" vert="horz" wrap="square" lIns="91425" tIns="91425" rIns="91425" bIns="91425" anchor="ctr" anchorCtr="0" upright="1">
                              <a:noAutofit/>
                            </wps:bodyPr>
                          </wps:wsp>
                        </wpg:grpSp>
                        <wps:wsp>
                          <wps:cNvPr id="32" name="Straight Arrow Connector 46"/>
                          <wps:cNvCnPr>
                            <a:cxnSpLocks noChangeShapeType="1"/>
                          </wps:cNvCnPr>
                          <wps:spPr bwMode="auto">
                            <a:xfrm>
                              <a:off x="49032" y="36711"/>
                              <a:ext cx="27057" cy="6"/>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Rectangle 47"/>
                          <wps:cNvSpPr>
                            <a:spLocks noChangeArrowheads="1"/>
                          </wps:cNvSpPr>
                          <wps:spPr bwMode="auto">
                            <a:xfrm>
                              <a:off x="50349" y="17151"/>
                              <a:ext cx="23663" cy="15771"/>
                            </a:xfrm>
                            <a:prstGeom prst="rect">
                              <a:avLst/>
                            </a:pr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1DA1CD8" w14:textId="77777777" w:rsidR="00C109A4" w:rsidRPr="00D47864" w:rsidRDefault="00C109A4" w:rsidP="00C109A4">
                                <w:pPr>
                                  <w:spacing w:before="240" w:line="17" w:lineRule="auto"/>
                                  <w:ind w:left="-144"/>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Health Facility Characteristics:</w:t>
                                </w:r>
                              </w:p>
                              <w:p w14:paraId="67916CC6" w14:textId="77777777" w:rsidR="00C109A4" w:rsidRPr="00D47864" w:rsidRDefault="00C109A4" w:rsidP="00C109A4">
                                <w:pPr>
                                  <w:spacing w:before="240" w:line="275" w:lineRule="auto"/>
                                  <w:ind w:left="-144" w:firstLine="360"/>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The size (Number and carder of staff)</w:t>
                                </w:r>
                              </w:p>
                              <w:p w14:paraId="5106CDC2" w14:textId="77777777" w:rsidR="00C109A4" w:rsidRPr="00D47864" w:rsidRDefault="00C109A4" w:rsidP="00C109A4">
                                <w:pPr>
                                  <w:spacing w:before="240" w:line="275" w:lineRule="auto"/>
                                  <w:ind w:left="-144" w:firstLine="360"/>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Type (MoH level of category)</w:t>
                                </w:r>
                              </w:p>
                            </w:txbxContent>
                          </wps:txbx>
                          <wps:bodyPr rot="0" vert="horz" wrap="square" lIns="91425" tIns="91425" rIns="91425" bIns="91425" anchor="ctr" anchorCtr="0" upright="1">
                            <a:noAutofit/>
                          </wps:bodyPr>
                        </wps:wsp>
                        <wps:wsp>
                          <wps:cNvPr id="34" name="Straight Arrow Connector 48"/>
                          <wps:cNvCnPr>
                            <a:cxnSpLocks noChangeShapeType="1"/>
                          </wps:cNvCnPr>
                          <wps:spPr bwMode="auto">
                            <a:xfrm>
                              <a:off x="62180" y="32922"/>
                              <a:ext cx="288" cy="370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5" name="Text Box 49"/>
                        <wps:cNvSpPr txBox="1">
                          <a:spLocks noChangeArrowheads="1"/>
                        </wps:cNvSpPr>
                        <wps:spPr bwMode="auto">
                          <a:xfrm>
                            <a:off x="600" y="1801"/>
                            <a:ext cx="96468" cy="5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E500E" w14:textId="77777777" w:rsidR="00C109A4" w:rsidRPr="00D47864" w:rsidRDefault="00C109A4" w:rsidP="00C109A4">
                              <w:pPr>
                                <w:spacing w:after="0" w:line="240" w:lineRule="auto"/>
                                <w:ind w:left="-144"/>
                                <w:textDirection w:val="btLr"/>
                                <w:rPr>
                                  <w:rFonts w:ascii="Times New Roman" w:hAnsi="Times New Roman" w:cs="Times New Roman"/>
                                </w:rPr>
                              </w:pPr>
                              <w:r w:rsidRPr="00D47864">
                                <w:rPr>
                                  <w:rFonts w:ascii="Times New Roman" w:eastAsia="Arial" w:hAnsi="Times New Roman" w:cs="Times New Roman"/>
                                  <w:color w:val="000000"/>
                                </w:rPr>
                                <w:t>Figure 1.: Conceptual Framework Illustrating the Influence of Financial Mechanisms and Contextual Factors on Hypertension and Diabetes Care Effectiveness in Public PHC Facilities, Seme Subcounty.</w:t>
                              </w:r>
                            </w:p>
                          </w:txbxContent>
                        </wps:txbx>
                        <wps:bodyPr rot="0" vert="horz" wrap="square" lIns="91425" tIns="91425" rIns="91425" bIns="91425" anchor="t" anchorCtr="0" upright="1">
                          <a:noAutofit/>
                        </wps:bodyPr>
                      </wps:wsp>
                    </wpg:wgp>
                  </a:graphicData>
                </a:graphic>
              </wp:inline>
            </w:drawing>
          </mc:Choice>
          <mc:Fallback>
            <w:pict>
              <v:group w14:anchorId="68AE2528" id="Group 1" o:spid="_x0000_s1026" style="width:521.5pt;height:426pt;mso-position-horizontal-relative:char;mso-position-vertical-relative:line" coordorigin="152,1801" coordsize="97383,5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">
                <v:group id="Group 16" o:spid="_x0000_s1027" style="position:absolute;left:200;top:7605;width:97335;height:49437" coordorigin="200,7505" coordsize="97335,4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7" o:spid="_x0000_s1028" style="position:absolute;left:200;top:7505;width:97335;height:49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" filled="f">
                    <v:stroke startarrowwidth="narrow" startarrowlength="short" endarrowwidth="narrow" endarrowlength="short" joinstyle="round"/>
                    <v:textbox inset="2.53958mm,2.53958mm,2.53958mm,2.53958mm">
                      <w:txbxContent>
                        <w:p w14:paraId="1E48628F" w14:textId="77777777" w:rsidR="00C109A4" w:rsidRPr="00D47864" w:rsidRDefault="00C109A4" w:rsidP="00C109A4">
                          <w:pPr>
                            <w:spacing w:after="0" w:line="240" w:lineRule="auto"/>
                            <w:ind w:left="-144"/>
                            <w:jc w:val="center"/>
                            <w:textDirection w:val="btLr"/>
                            <w:rPr>
                              <w:rFonts w:ascii="Times New Roman" w:hAnsi="Times New Roman" w:cs="Times New Roman"/>
                              <w:sz w:val="20"/>
                              <w:szCs w:val="20"/>
                            </w:rPr>
                          </w:pPr>
                        </w:p>
                      </w:txbxContent>
                    </v:textbox>
                  </v:rect>
                  <v:group id="Group 18" o:spid="_x0000_s1029" style="position:absolute;left:200;top:9606;width:48832;height:46534" coordorigin="200,9606" coordsize="48735,46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19" o:spid="_x0000_s1030" style="position:absolute;left:200;top:17281;width:48735;height:38859" coordorigin="200,17281" coordsize="48735,3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20" o:spid="_x0000_s1031" style="position:absolute;left:200;top:17281;width:48735;height:38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" filled="f">
                        <v:stroke startarrowwidth="narrow" startarrowlength="short" endarrowwidth="narrow" endarrowlength="short" joinstyle="round"/>
                        <v:textbox inset="2.53958mm,2.53958mm,2.53958mm,2.53958mm">
                          <w:txbxContent>
                            <w:p w14:paraId="600D6E6F" w14:textId="77777777" w:rsidR="00C109A4" w:rsidRPr="00D47864" w:rsidRDefault="00C109A4" w:rsidP="00C109A4">
                              <w:pPr>
                                <w:spacing w:after="0" w:line="240" w:lineRule="auto"/>
                                <w:ind w:left="-144"/>
                                <w:jc w:val="center"/>
                                <w:textDirection w:val="btLr"/>
                                <w:rPr>
                                  <w:rFonts w:ascii="Times New Roman" w:hAnsi="Times New Roman" w:cs="Times New Roman"/>
                                </w:rPr>
                              </w:pPr>
                            </w:p>
                          </w:txbxContent>
                        </v:textbox>
                      </v:rect>
                      <v:group id="Group 21" o:spid="_x0000_s1032" style="position:absolute;left:601;top:18117;width:45149;height:10332" coordorigin="1401,17644" coordsize="45149,1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22" o:spid="_x0000_s1033" style="position:absolute;left:1401;top:19701;width:12678;height:6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" filled="f">
                          <v:stroke startarrowwidth="narrow" startarrowlength="short" endarrowwidth="narrow" endarrowlength="short" joinstyle="round"/>
                          <v:textbox inset="2.53958mm,2.53958mm,2.53958mm,2.53958mm">
                            <w:txbxContent>
                              <w:p w14:paraId="41228B2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Sources of Financing</w:t>
                                </w:r>
                              </w:p>
                            </w:txbxContent>
                          </v:textbox>
                        </v:rect>
                        <v:rect id="Rectangle 23" o:spid="_x0000_s1034" style="position:absolute;left:19314;top:17644;width:27237;height:10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" filled="f">
                          <v:stroke startarrowwidth="narrow" startarrowlength="short" endarrowwidth="narrow" endarrowlength="short" joinstyle="round"/>
                          <v:textbox inset="2.53958mm,2.53958mm,2.53958mm,2.53958mm">
                            <w:txbxContent>
                              <w:p w14:paraId="3B510419"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Diversity &amp; Mix of Sources (Govt, User Fees, NHIF, Donors)</w:t>
                                </w:r>
                              </w:p>
                              <w:p w14:paraId="2E171577"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Reliability &amp; Consistency of Inflows</w:t>
                                </w:r>
                              </w:p>
                              <w:p w14:paraId="469F3CAA"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Share of revenue allocated to NCDs</w:t>
                                </w:r>
                              </w:p>
                            </w:txbxContent>
                          </v:textbox>
                        </v:rect>
                        <v:shapetype id="_x0000_t32" coordsize="21600,21600" o:spt="32" o:oned="t" path="m,l21600,21600e" filled="f">
                          <v:path arrowok="t" fillok="f" o:connecttype="none"/>
                          <o:lock v:ext="edit" shapetype="t"/>
                        </v:shapetype>
                        <v:shape id="Straight Arrow Connector 24" o:spid="_x0000_s1035" type="#_x0000_t32" style="position:absolute;left:14079;top:22753;width:5235;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v:group>
                      <v:group id="Group 25" o:spid="_x0000_s1036" style="position:absolute;left:601;top:29358;width:45149;height:9330" coordorigin="1000,31148" coordsize="4555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6" o:spid="_x0000_s1037" style="position:absolute;left:1000;top:32750;width:13080;height:6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" filled="f">
                          <v:stroke startarrowwidth="narrow" startarrowlength="short" endarrowwidth="narrow" endarrowlength="short" joinstyle="round"/>
                          <v:textbox inset="2.53958mm,2.53958mm,2.53958mm,2.53958mm">
                            <w:txbxContent>
                              <w:p w14:paraId="6D38935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Planning &amp; Budgeting</w:t>
                                </w:r>
                              </w:p>
                            </w:txbxContent>
                          </v:textbox>
                        </v:rect>
                        <v:rect id="Rectangle 27" o:spid="_x0000_s1038" style="position:absolute;left:19314;top:31148;width:27237;height:9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" filled="f">
                          <v:stroke startarrowwidth="narrow" startarrowlength="short" endarrowwidth="narrow" endarrowlength="short" joinstyle="round"/>
                          <v:textbox inset="2.53958mm,2.53958mm,2.53958mm,2.53958mm">
                            <w:txbxContent>
                              <w:p w14:paraId="682206E5"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Planning Process &amp; NCD Inclusion</w:t>
                                </w:r>
                              </w:p>
                              <w:p w14:paraId="7C6F7CC5"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NCD-Specific Budgeting &amp; Transparency</w:t>
                                </w:r>
                              </w:p>
                              <w:p w14:paraId="5C127BE3" w14:textId="77777777" w:rsidR="00C109A4" w:rsidRPr="00D47864" w:rsidRDefault="00C109A4" w:rsidP="00C109A4">
                                <w:pPr>
                                  <w:spacing w:after="0" w:line="240" w:lineRule="auto"/>
                                  <w:ind w:left="216"/>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Alignment with NCD Burden</w:t>
                                </w:r>
                              </w:p>
                            </w:txbxContent>
                          </v:textbox>
                        </v:rect>
                        <v:shape id="Straight Arrow Connector 28" o:spid="_x0000_s1039" type="#_x0000_t32" style="position:absolute;left:14080;top:35803;width:5232;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group>
                      <v:group id="Group 29" o:spid="_x0000_s1040" style="position:absolute;left:600;top:39597;width:45151;height:6906" coordorigin="800,44939" coordsize="45750,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30" o:spid="_x0000_s1041" style="position:absolute;left:800;top:45800;width:13080;height:5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">
                          <v:stroke startarrowwidth="narrow" startarrowlength="short" endarrowwidth="narrow" endarrowlength="short" joinstyle="round"/>
                          <v:textbox inset="2.53958mm,2.53958mm,2.53958mm,2.53958mm">
                            <w:txbxContent>
                              <w:p w14:paraId="28B48959"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Resource Allocation</w:t>
                                </w:r>
                              </w:p>
                            </w:txbxContent>
                          </v:textbox>
                        </v:rect>
                        <v:rect id="Rectangle 31" o:spid="_x0000_s1042" style="position:absolute;left:19314;top:44939;width:27237;height:6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" filled="f">
                          <v:stroke startarrowwidth="narrow" startarrowlength="short" endarrowwidth="narrow" endarrowlength="short" joinstyle="round"/>
                          <v:textbox inset="2.53958mm,2.53958mm,2.53958mm,2.53958mm">
                            <w:txbxContent>
                              <w:p w14:paraId="4B1A3BFC"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Predictability of Allocations</w:t>
                                </w:r>
                              </w:p>
                              <w:p w14:paraId="487C1B12"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Facility Autonomy &amp; Flexibility</w:t>
                                </w:r>
                              </w:p>
                              <w:p w14:paraId="5C276A4A"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NCD Prioritization in Allocation</w:t>
                                </w:r>
                              </w:p>
                            </w:txbxContent>
                          </v:textbox>
                        </v:rect>
                        <v:shape id="Straight Arrow Connector 32" o:spid="_x0000_s1043" type="#_x0000_t32" style="position:absolute;left:13880;top:48392;width:5433;height:8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">
                          <v:stroke endarrow="block"/>
                        </v:shape>
                      </v:group>
                      <v:group id="Group 33" o:spid="_x0000_s1044" style="position:absolute;left:499;top:47412;width:45150;height:8238" coordorigin="1000,56607" coordsize="45551,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34" o:spid="_x0000_s1045" style="position:absolute;left:1000;top:57273;width:13080;height:7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" filled="f">
                          <v:stroke startarrowwidth="narrow" startarrowlength="short" endarrowwidth="narrow" endarrowlength="short" joinstyle="round"/>
                          <v:textbox inset="2.53958mm,2.53958mm,2.53958mm,2.53958mm">
                            <w:txbxContent>
                              <w:p w14:paraId="0A4D3948"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Financial Resource Utilization</w:t>
                                </w:r>
                              </w:p>
                            </w:txbxContent>
                          </v:textbox>
                        </v:rect>
                        <v:rect id="Rectangle 35" o:spid="_x0000_s1046" style="position:absolute;left:19314;top:56607;width:27237;height:8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" filled="f">
                          <v:stroke startarrowwidth="narrow" startarrowlength="short" endarrowwidth="narrow" endarrowlength="short" joinstyle="round"/>
                          <v:textbox inset="2.53958mm,2.53958mm,2.53958mm,2.53958mm">
                            <w:txbxContent>
                              <w:p w14:paraId="0DE15A53"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Efficiency of Expenditure (Procurement, Disbursement)</w:t>
                                </w:r>
                              </w:p>
                              <w:p w14:paraId="1952CC31"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Accountability &amp; Oversight</w:t>
                                </w:r>
                              </w:p>
                              <w:p w14:paraId="18702375" w14:textId="77777777" w:rsidR="00C109A4" w:rsidRPr="00D47864" w:rsidRDefault="00C109A4" w:rsidP="00C109A4">
                                <w:pPr>
                                  <w:spacing w:after="0" w:line="240" w:lineRule="auto"/>
                                  <w:ind w:left="-144" w:firstLine="360"/>
                                  <w:jc w:val="center"/>
                                  <w:textDirection w:val="btLr"/>
                                  <w:rPr>
                                    <w:rFonts w:ascii="Times New Roman" w:hAnsi="Times New Roman" w:cs="Times New Roman"/>
                                    <w:sz w:val="18"/>
                                    <w:szCs w:val="18"/>
                                  </w:rPr>
                                </w:pPr>
                                <w:r w:rsidRPr="00D47864">
                                  <w:rPr>
                                    <w:rFonts w:ascii="Times New Roman" w:eastAsia="Arial" w:hAnsi="Times New Roman" w:cs="Times New Roman"/>
                                    <w:color w:val="000000"/>
                                    <w:sz w:val="18"/>
                                    <w:szCs w:val="18"/>
                                  </w:rPr>
                                  <w:t>Responsiveness to NCD Needs</w:t>
                                </w:r>
                              </w:p>
                            </w:txbxContent>
                          </v:textbox>
                        </v:rect>
                        <v:shape id="Straight Arrow Connector 36" o:spid="_x0000_s1047" type="#_x0000_t32" style="position:absolute;left:14080;top:60726;width:52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">
                          <v:stroke endarrow="block"/>
                        </v:shape>
                      </v:group>
                    </v:group>
                    <v:rect id="Rectangle 37" o:spid="_x0000_s1048" style="position:absolute;left:601;top:9606;width:44532;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" filled="f">
                      <v:stroke startarrowwidth="narrow" startarrowlength="short" endarrowwidth="narrow" endarrowlength="short" joinstyle="round"/>
                      <v:textbox inset="2.53958mm,2.53958mm,2.53958mm,2.53958mm">
                        <w:txbxContent>
                          <w:p w14:paraId="0BD4B63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Independent Variables</w:t>
                            </w:r>
                          </w:p>
                        </w:txbxContent>
                      </v:textbox>
                    </v:rect>
                  </v:group>
                  <v:rect id="Rectangle 38" o:spid="_x0000_s1049" style="position:absolute;left:50349;top:9606;width:23663;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" filled="f">
                    <v:stroke startarrowwidth="narrow" startarrowlength="short" endarrowwidth="narrow" endarrowlength="short" joinstyle="round"/>
                    <v:textbox inset="2.53958mm,2.53958mm,2.53958mm,2.53958mm">
                      <w:txbxContent>
                        <w:p w14:paraId="160708D9"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Modifying Factors</w:t>
                          </w:r>
                        </w:p>
                      </w:txbxContent>
                    </v:textbox>
                  </v:rect>
                  <v:rect id="Rectangle 39" o:spid="_x0000_s1050" style="position:absolute;left:76092;top:9606;width:20475;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" filled="f">
                    <v:stroke startarrowwidth="narrow" startarrowlength="short" endarrowwidth="narrow" endarrowlength="short" joinstyle="round"/>
                    <v:textbox inset="2.53958mm,2.53958mm,2.53958mm,2.53958mm">
                      <w:txbxContent>
                        <w:p w14:paraId="2571464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Dependent Variables</w:t>
                          </w:r>
                        </w:p>
                      </w:txbxContent>
                    </v:textbox>
                  </v:rect>
                  <v:group id="Group 40" o:spid="_x0000_s1051" style="position:absolute;left:76089;top:18117;width:20887;height:36046" coordorigin="71773,16006" coordsize="25395,3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41" o:spid="_x0000_s1052" style="position:absolute;left:71773;top:16006;width:25395;height:3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" filled="f">
                      <v:stroke startarrowwidth="narrow" startarrowlength="short" endarrowwidth="narrow" endarrowlength="short" joinstyle="round"/>
                      <v:textbox inset="2.53958mm,2.53958mm,2.53958mm,2.53958mm">
                        <w:txbxContent>
                          <w:p w14:paraId="53E49863"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b/>
                                <w:color w:val="000000"/>
                              </w:rPr>
                              <w:t>Effectiveness of Hypertension &amp; Diabetes Care</w:t>
                            </w:r>
                          </w:p>
                          <w:p w14:paraId="03B6EE1A" w14:textId="77777777" w:rsidR="00C109A4" w:rsidRPr="00D47864" w:rsidRDefault="00C109A4" w:rsidP="00C109A4">
                            <w:pPr>
                              <w:spacing w:after="0" w:line="240" w:lineRule="auto"/>
                              <w:ind w:left="-144"/>
                              <w:jc w:val="center"/>
                              <w:textDirection w:val="btLr"/>
                              <w:rPr>
                                <w:rFonts w:ascii="Times New Roman" w:hAnsi="Times New Roman" w:cs="Times New Roman"/>
                              </w:rPr>
                            </w:pPr>
                          </w:p>
                        </w:txbxContent>
                      </v:textbox>
                    </v:rect>
                    <v:shapetype id="_x0000_t109" coordsize="21600,21600" o:spt="109" path="m,l,21600r21600,l21600,xe">
                      <v:stroke joinstyle="miter"/>
                      <v:path gradientshapeok="t" o:connecttype="rect"/>
                    </v:shapetype>
                    <v:shape id="Flowchart: Process 42" o:spid="_x0000_s1053" type="#_x0000_t109" style="position:absolute;left:72662;top:23117;width:23616;height:7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" filled="f">
                      <v:stroke startarrowwidth="narrow" startarrowlength="short" endarrowwidth="narrow" endarrowlength="short" joinstyle="round"/>
                      <v:textbox inset="2.53958mm,2.53958mm,2.53958mm,2.53958mm">
                        <w:txbxContent>
                          <w:p w14:paraId="7160626E"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 xml:space="preserve">Availability of Essential NCD Commodities </w:t>
                            </w:r>
                          </w:p>
                        </w:txbxContent>
                      </v:textbox>
                    </v:shape>
                    <v:rect id="Rectangle 43" o:spid="_x0000_s1054" style="position:absolute;left:72662;top:30920;width:23616;height:7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" filled="f">
                      <v:stroke startarrowwidth="narrow" startarrowlength="short" endarrowwidth="narrow" endarrowlength="short" joinstyle="round"/>
                      <v:textbox inset="2.53958mm,2.53958mm,2.53958mm,2.53958mm">
                        <w:txbxContent>
                          <w:p w14:paraId="1D721AE0"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Access to Comprehensive NCD Services</w:t>
                            </w:r>
                          </w:p>
                        </w:txbxContent>
                      </v:textbox>
                    </v:rect>
                    <v:shape id="Flowchart: Process 44" o:spid="_x0000_s1055" type="#_x0000_t109" style="position:absolute;left:72662;top:40543;width:23616;height:6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" filled="f">
                      <v:stroke startarrowwidth="narrow" startarrowlength="short" endarrowwidth="narrow" endarrowlength="short" joinstyle="round"/>
                      <v:textbox inset="2.53958mm,2.53958mm,2.53958mm,2.53958mm">
                        <w:txbxContent>
                          <w:p w14:paraId="1DDC1857"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Quality &amp; Continuity of Care</w:t>
                            </w:r>
                          </w:p>
                        </w:txbxContent>
                      </v:textbox>
                    </v:shape>
                    <v:shape id="Flowchart: Process 45" o:spid="_x0000_s1056" type="#_x0000_t109" style="position:absolute;left:72435;top:47695;width:23616;height:3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" filled="f">
                      <v:stroke startarrowwidth="narrow" startarrowlength="short" endarrowwidth="narrow" endarrowlength="short" joinstyle="round"/>
                      <v:textbox inset="2.53958mm,2.53958mm,2.53958mm,2.53958mm">
                        <w:txbxContent>
                          <w:p w14:paraId="1EC1C400" w14:textId="77777777" w:rsidR="00C109A4" w:rsidRPr="00D47864" w:rsidRDefault="00C109A4" w:rsidP="00C109A4">
                            <w:pPr>
                              <w:spacing w:after="0" w:line="240" w:lineRule="auto"/>
                              <w:ind w:left="-144"/>
                              <w:jc w:val="center"/>
                              <w:textDirection w:val="btLr"/>
                              <w:rPr>
                                <w:rFonts w:ascii="Times New Roman" w:hAnsi="Times New Roman" w:cs="Times New Roman"/>
                              </w:rPr>
                            </w:pPr>
                            <w:r w:rsidRPr="00D47864">
                              <w:rPr>
                                <w:rFonts w:ascii="Times New Roman" w:eastAsia="Arial" w:hAnsi="Times New Roman" w:cs="Times New Roman"/>
                                <w:color w:val="000000"/>
                              </w:rPr>
                              <w:t>Equity</w:t>
                            </w:r>
                          </w:p>
                        </w:txbxContent>
                      </v:textbox>
                    </v:shape>
                  </v:group>
                  <v:shape id="Straight Arrow Connector 46" o:spid="_x0000_s1057" type="#_x0000_t32" style="position:absolute;left:49032;top:36711;width:2705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" strokeweight="2.25pt">
                    <v:stroke endarrow="block"/>
                  </v:shape>
                  <v:rect id="Rectangle 47" o:spid="_x0000_s1058" style="position:absolute;left:50349;top:17151;width:23663;height:157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" filled="f">
                    <v:stroke startarrowwidth="narrow" startarrowlength="short" endarrowwidth="narrow" endarrowlength="short" joinstyle="round"/>
                    <v:textbox inset="2.53958mm,2.53958mm,2.53958mm,2.53958mm">
                      <w:txbxContent>
                        <w:p w14:paraId="41DA1CD8" w14:textId="77777777" w:rsidR="00C109A4" w:rsidRPr="00D47864" w:rsidRDefault="00C109A4" w:rsidP="00C109A4">
                          <w:pPr>
                            <w:spacing w:before="240" w:line="17" w:lineRule="auto"/>
                            <w:ind w:left="-144"/>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Health Facility Characteristics:</w:t>
                          </w:r>
                        </w:p>
                        <w:p w14:paraId="67916CC6" w14:textId="77777777" w:rsidR="00C109A4" w:rsidRPr="00D47864" w:rsidRDefault="00C109A4" w:rsidP="00C109A4">
                          <w:pPr>
                            <w:spacing w:before="240" w:line="275" w:lineRule="auto"/>
                            <w:ind w:left="-144" w:firstLine="360"/>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The size (Number and carder of staff)</w:t>
                          </w:r>
                        </w:p>
                        <w:p w14:paraId="5106CDC2" w14:textId="77777777" w:rsidR="00C109A4" w:rsidRPr="00D47864" w:rsidRDefault="00C109A4" w:rsidP="00C109A4">
                          <w:pPr>
                            <w:spacing w:before="240" w:line="275" w:lineRule="auto"/>
                            <w:ind w:left="-144" w:firstLine="360"/>
                            <w:jc w:val="center"/>
                            <w:textDirection w:val="btLr"/>
                            <w:rPr>
                              <w:rFonts w:ascii="Times New Roman" w:hAnsi="Times New Roman" w:cs="Times New Roman"/>
                              <w:sz w:val="20"/>
                              <w:szCs w:val="20"/>
                            </w:rPr>
                          </w:pPr>
                          <w:r w:rsidRPr="00D47864">
                            <w:rPr>
                              <w:rFonts w:ascii="Times New Roman" w:eastAsia="Arial" w:hAnsi="Times New Roman" w:cs="Times New Roman"/>
                              <w:color w:val="000000"/>
                              <w:sz w:val="20"/>
                              <w:szCs w:val="20"/>
                            </w:rPr>
                            <w:t>Type (MoH level of category)</w:t>
                          </w:r>
                        </w:p>
                      </w:txbxContent>
                    </v:textbox>
                  </v:rect>
                  <v:shape id="Straight Arrow Connector 48" o:spid="_x0000_s1059" type="#_x0000_t32" style="position:absolute;left:62180;top:32922;width:288;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" strokeweight="1.5pt">
                    <v:stroke endarrow="block"/>
                  </v:shape>
                </v:group>
                <v:shapetype id="_x0000_t202" coordsize="21600,21600" o:spt="202" path="m,l,21600r21600,l21600,xe">
                  <v:stroke joinstyle="miter"/>
                  <v:path gradientshapeok="t" o:connecttype="rect"/>
                </v:shapetype>
                <v:shape id="Text Box 49" o:spid="_x0000_s1060" type="#_x0000_t202" style="position:absolute;left:600;top:1801;width:96468;height:5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" filled="f" stroked="f">
                  <v:textbox inset="2.53958mm,2.53958mm,2.53958mm,2.53958mm">
                    <w:txbxContent>
                      <w:p w14:paraId="482E500E" w14:textId="77777777" w:rsidR="00C109A4" w:rsidRPr="00D47864" w:rsidRDefault="00C109A4" w:rsidP="00C109A4">
                        <w:pPr>
                          <w:spacing w:after="0" w:line="240" w:lineRule="auto"/>
                          <w:ind w:left="-144"/>
                          <w:textDirection w:val="btLr"/>
                          <w:rPr>
                            <w:rFonts w:ascii="Times New Roman" w:hAnsi="Times New Roman" w:cs="Times New Roman"/>
                          </w:rPr>
                        </w:pPr>
                        <w:r w:rsidRPr="00D47864">
                          <w:rPr>
                            <w:rFonts w:ascii="Times New Roman" w:eastAsia="Arial" w:hAnsi="Times New Roman" w:cs="Times New Roman"/>
                            <w:color w:val="000000"/>
                          </w:rPr>
                          <w:t>Figure 1.: Conceptual Framework Illustrating the Influence of Financial Mechanisms and Contextual Factors on Hypertension and Diabetes Care Effectiveness in Public PHC Facilities, Seme Subcounty.</w:t>
                        </w:r>
                      </w:p>
                    </w:txbxContent>
                  </v:textbox>
                </v:shape>
                <w10:anchorlock/>
              </v:group>
            </w:pict>
          </mc:Fallback>
        </mc:AlternateContent>
      </w:r>
    </w:p>
    <w:p w14:paraId="27333547"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Data collection</w:t>
      </w:r>
    </w:p>
    <w:p w14:paraId="572A9CB9" w14:textId="27F066C1" w:rsidR="00607B1B" w:rsidRDefault="00607B1B" w:rsidP="00C974EE">
      <w:pPr>
        <w:spacing w:line="360" w:lineRule="auto"/>
        <w:rPr>
          <w:rFonts w:ascii="Times New Roman" w:hAnsi="Times New Roman" w:cs="Times New Roman"/>
        </w:rPr>
      </w:pPr>
      <w:r w:rsidRPr="00C974EE">
        <w:rPr>
          <w:rFonts w:ascii="Times New Roman" w:hAnsi="Times New Roman" w:cs="Times New Roman"/>
        </w:rPr>
        <w:t>Data collection occurred between January and August 2024, prior to the full implementation of Kenya's 2023 Social Health Insurance Act (enacted November 2023)</w:t>
      </w:r>
      <w:r w:rsidR="00913121">
        <w:rPr>
          <w:rFonts w:ascii="Times New Roman" w:hAnsi="Times New Roman" w:cs="Times New Roman"/>
        </w:rPr>
        <w:t xml:space="preserve"> </w:t>
      </w:r>
      <w:r w:rsidR="00913121">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{"citationID":"dI6drWtN","properties":{"formattedCitation":"[36]","plainCitation":"[36]","noteIndex":0},"citationItems":[{"id":101,"uris":["http://zotero.org/users/local/C4anYv1I/items/UU8ZG7JB"],"itemData":{"id":101,"type":"webpage","title":"Social Health Insurance Act - Kenya Law","URL":"https://new.kenyalaw.org/akn/ke/act/2023/16/eng@2023-11-24","accessed":{"date-parts":[["2025",10,6]]}}}],"schema":"https://github.com/citation-style-language/schema/raw/master/csl-citation.json"} </w:instrText>
      </w:r>
      <w:r w:rsidR="00913121">
        <w:rPr>
          <w:rFonts w:ascii="Times New Roman" w:hAnsi="Times New Roman" w:cs="Times New Roman"/>
        </w:rPr>
        <w:fldChar w:fldCharType="separate"/>
      </w:r>
      <w:r w:rsidR="0086349B" w:rsidRPr="0086349B">
        <w:rPr>
          <w:rFonts w:ascii="Times New Roman" w:hAnsi="Times New Roman" w:cs="Times New Roman"/>
        </w:rPr>
        <w:t>[36]</w:t>
      </w:r>
      <w:r w:rsidR="00913121">
        <w:rPr>
          <w:rFonts w:ascii="Times New Roman" w:hAnsi="Times New Roman" w:cs="Times New Roman"/>
        </w:rPr>
        <w:fldChar w:fldCharType="end"/>
      </w:r>
      <w:r w:rsidRPr="00C974EE">
        <w:rPr>
          <w:rFonts w:ascii="Times New Roman" w:hAnsi="Times New Roman" w:cs="Times New Roman"/>
        </w:rPr>
        <w:t>. At the time of data collection, the National Hospital Insurance Fund (NHIF) remained the primary social health insurance mechanism, though the Social Health Authority (SHA) that replaced NHIF had been legally established and was in early implementation phases. The SHA began full operations in October 2024, after our data collection was complete. All data therefore reflect the financing landscape under the NHIF regime and the transition period to SHA.</w:t>
      </w:r>
    </w:p>
    <w:p w14:paraId="24B3967C" w14:textId="1B1D595F" w:rsidR="00844991" w:rsidRPr="00C974EE" w:rsidRDefault="00BA4F06" w:rsidP="00C974EE">
      <w:pPr>
        <w:spacing w:line="360" w:lineRule="auto"/>
        <w:rPr>
          <w:rFonts w:ascii="Times New Roman" w:hAnsi="Times New Roman" w:cs="Times New Roman"/>
        </w:rPr>
      </w:pPr>
      <w:r w:rsidRPr="00BA4F06">
        <w:rPr>
          <w:rFonts w:ascii="Times New Roman" w:hAnsi="Times New Roman" w:cs="Times New Roman"/>
        </w:rPr>
        <w:t>Interpretation of results should therefore be understood as reflecting facility financing and approval arrangements under the NHIF purchasing environment and county-controlled expenditure authorization practices during the transition period. The findings provide a baseline for assessing whether SHA implementation improves the timeliness of payments, facility liquidity, and the speed of decision making for procurement of essential commodities for hypertension and diabetes care.</w:t>
      </w:r>
    </w:p>
    <w:p w14:paraId="0BCB49FB"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Quantitative data collection</w:t>
      </w:r>
    </w:p>
    <w:p w14:paraId="6241C78C" w14:textId="13FCA79D" w:rsidR="00331770" w:rsidRDefault="00331770" w:rsidP="00830499">
      <w:pPr>
        <w:spacing w:line="360" w:lineRule="auto"/>
        <w:rPr>
          <w:rFonts w:ascii="Times New Roman" w:hAnsi="Times New Roman" w:cs="Times New Roman"/>
        </w:rPr>
      </w:pPr>
      <w:bookmarkStart w:id="1" w:name="_Hlk214192834"/>
      <w:r w:rsidRPr="00331770">
        <w:rPr>
          <w:rFonts w:ascii="Times New Roman" w:hAnsi="Times New Roman" w:cs="Times New Roman"/>
        </w:rPr>
        <w:t>Quantitative data were collected using a structured questionnaire adapted from the WHO Package of Essential Noncommunicable Disease Interventions (PEN) framework</w:t>
      </w:r>
      <w:r w:rsidR="008C1896">
        <w:rPr>
          <w:rFonts w:ascii="Times New Roman" w:hAnsi="Times New Roman" w:cs="Times New Roman"/>
        </w:rPr>
        <w:t xml:space="preserve"> </w:t>
      </w:r>
      <w:r w:rsidR="008C1896">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{"citationID":"eXRP3HM9","properties":{"custom":"[5, 29]","formattedCitation":"[5, 29]","plainCitation":"[5, 29]","noteIndex":0},"citationItems":[{"id":7,"uris":["http://zotero.org/users/local/C4anYv1I/items/PYRACTKA"],"itemData":{"id":7,"type":"article-journal","container-title":"World Health Organization","title":"Package of essential noncommunicable (PEN) disease interventions for primary health care in low-resource settings","author":[{"literal":"WHO"}],"issued":{"date-parts":[["2010"]]}},"label":"page"},{"id":8,"uris":["http://zotero.org/users/local/C4anYv1I/items/7E6JNEGV"],"itemData":{"id":8,"type":"document","publisher":"Geneva: World Health Organization, 2010b. As of August","title":"Package of Essential Noncommunicable (PEN) Disease Interventions for Primary Health Care in Low-Resource Settings","author":[{"family":"Stuckler","given":"David"},{"family":"King","given":"Lawrence"},{"family":"McKee","given":"Martin"}],"issued":{"date-parts":[["2011"]]}},"label":"page"}],"schema":"https://github.com/citation-style-language/schema/raw/master/csl-citation.json"}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[5, 29]</w:t>
      </w:r>
      <w:r w:rsidR="008C1896">
        <w:rPr>
          <w:rFonts w:ascii="Times New Roman" w:hAnsi="Times New Roman" w:cs="Times New Roman"/>
        </w:rPr>
        <w:fldChar w:fldCharType="end"/>
      </w:r>
      <w:r w:rsidRPr="00331770">
        <w:rPr>
          <w:rFonts w:ascii="Times New Roman" w:hAnsi="Times New Roman" w:cs="Times New Roman"/>
        </w:rPr>
        <w:t xml:space="preserve"> and health facility financing assessment tools applied in similar Kenyan contexts</w:t>
      </w:r>
      <w:r w:rsidR="008C1896">
        <w:rPr>
          <w:rFonts w:ascii="Times New Roman" w:hAnsi="Times New Roman" w:cs="Times New Roman"/>
        </w:rPr>
        <w:t xml:space="preserve"> </w:t>
      </w:r>
      <w:r w:rsidR="008C1896">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{"citationID":"SsMcIGSE","properties":{"formattedCitation":"[14]","plainCitation":"[14]","noteIndex":0},"citationItems":[{"id":23,"uris":["http://zotero.org/users/local/C4anYv1I/items/W2DLM355"],"itemData":{"id":23,"type":"article-journal","container-title":"BMC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[14]</w:t>
      </w:r>
      <w:r w:rsidR="008C1896">
        <w:rPr>
          <w:rFonts w:ascii="Times New Roman" w:hAnsi="Times New Roman" w:cs="Times New Roman"/>
        </w:rPr>
        <w:fldChar w:fldCharType="end"/>
      </w:r>
      <w:r w:rsidRPr="00331770">
        <w:rPr>
          <w:rFonts w:ascii="Times New Roman" w:hAnsi="Times New Roman" w:cs="Times New Roman"/>
        </w:rPr>
        <w:t xml:space="preserve">. The tool was modified to include additional variables specific to financial autonomy, NCD-specific budgeting practices, and resource allocation mechanisms at the primary health care level, reflecting Kenya's devolved health financing architecture and the policy context of county-managed health facilities. Modifications included detailed questions on funding source diversity (NHIF, county allocations, Facility Improvement Fund, donor support, user fees), expenditure approval processes and timelines, medication stockout frequency and causes, and perceived effectiveness of different financing mechanisms for NCD care. The final English version of the questionnaire used in this study is provided as a supplementary file (Additional File 1). The tool captured information on facility characteristics, funding sources, planning and budgeting practices, resource allocation, and NCD service availability. Data were collected using </w:t>
      </w:r>
      <w:proofErr w:type="spellStart"/>
      <w:r w:rsidRPr="00331770">
        <w:rPr>
          <w:rFonts w:ascii="Times New Roman" w:hAnsi="Times New Roman" w:cs="Times New Roman"/>
        </w:rPr>
        <w:t>KoboToolbox</w:t>
      </w:r>
      <w:proofErr w:type="spellEnd"/>
      <w:r w:rsidRPr="00331770">
        <w:rPr>
          <w:rFonts w:ascii="Times New Roman" w:hAnsi="Times New Roman" w:cs="Times New Roman"/>
        </w:rPr>
        <w:t xml:space="preserve"> on tablets, enabling real-time validation.</w:t>
      </w:r>
    </w:p>
    <w:bookmarkEnd w:id="1"/>
    <w:p w14:paraId="5D5C92DC" w14:textId="5F6F69EB" w:rsidR="00331770" w:rsidRPr="00C974EE" w:rsidRDefault="00331770" w:rsidP="00830499">
      <w:pPr>
        <w:spacing w:line="360" w:lineRule="auto"/>
        <w:rPr>
          <w:rFonts w:ascii="Times New Roman" w:hAnsi="Times New Roman" w:cs="Times New Roman"/>
        </w:rPr>
      </w:pPr>
      <w:r w:rsidRPr="008C1896">
        <w:rPr>
          <w:rFonts w:ascii="Times New Roman" w:hAnsi="Times New Roman" w:cs="Times New Roman"/>
        </w:rPr>
        <w:t>Financial information was extracted through retrospective review of records, including bank statements, budget reports, expenditure ledgers, and procurement receipts, from January to August 2024. Structured interviews with facility in-charges were conducted to clarify incomplete records and validate financial data, especially regarding funding sources and fund-approval timeframes.</w:t>
      </w:r>
    </w:p>
    <w:p w14:paraId="434D0060"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Qualitative data collection</w:t>
      </w:r>
    </w:p>
    <w:p w14:paraId="5CF28EDA" w14:textId="1CD784B0" w:rsidR="00331770" w:rsidRDefault="00064C68" w:rsidP="00C974EE">
      <w:pPr>
        <w:spacing w:line="360" w:lineRule="auto"/>
        <w:rPr>
          <w:rFonts w:ascii="Times New Roman" w:hAnsi="Times New Roman" w:cs="Times New Roman"/>
        </w:rPr>
      </w:pPr>
      <w:bookmarkStart w:id="2" w:name="_Hlk214192734"/>
      <w:r w:rsidRPr="00064C68">
        <w:rPr>
          <w:rFonts w:ascii="Times New Roman" w:hAnsi="Times New Roman" w:cs="Times New Roman"/>
        </w:rPr>
        <w:t>Qualitative data were collected through face-to-face key informant interviews with facility in charges using a semi structured interview guide</w:t>
      </w:r>
      <w:r>
        <w:rPr>
          <w:rFonts w:ascii="Times New Roman" w:hAnsi="Times New Roman" w:cs="Times New Roman"/>
        </w:rPr>
        <w:t xml:space="preserve"> </w:t>
      </w:r>
      <w:r w:rsidR="00331770" w:rsidRPr="00331770">
        <w:rPr>
          <w:rFonts w:ascii="Times New Roman" w:hAnsi="Times New Roman" w:cs="Times New Roman"/>
        </w:rPr>
        <w:t>developed for this study (Additional File 1). The guide was informed by the WHO health financing framework</w:t>
      </w:r>
      <w:r w:rsidR="008C1896">
        <w:rPr>
          <w:rFonts w:ascii="Times New Roman" w:hAnsi="Times New Roman" w:cs="Times New Roman"/>
        </w:rPr>
        <w:t xml:space="preserve"> </w:t>
      </w:r>
      <w:r w:rsidR="008C1896">
        <w:rPr>
          <w:rFonts w:ascii="Times New Roman" w:hAnsi="Times New Roman" w:cs="Times New Roman"/>
        </w:rPr>
        <w:fldChar w:fldCharType="begin"/>
      </w:r>
      <w:r w:rsidR="00667021">
        <w:rPr>
          <w:rFonts w:ascii="Times New Roman" w:hAnsi="Times New Roman" w:cs="Times New Roman"/>
        </w:rPr>
        <w:instrText xml:space="preserve"> ADDIN ZOTERO_ITEM CSL_CITATION {"citationID":"FceOBwLk","properties":{"custom":"[24, 28]","formattedCitation":"[24, 28]","plainCitation":"[24, 28]","noteIndex":0},"citationItems":[{"id":47,"uris":["http://zotero.org/users/local/C4anYv1I/items/ZC6LTHM4"],"itemData":{"id":47,"type":"webpage","abstract":"This report summarizes the findings of the Health Financing Progress Matrix assessment, WHO’s standardized assessment of a country’s health financing policies, for Kenya. The report highlights both strengths and weaknesses in Kenya's current health financing arrangements, assessed against the desirable attributes of a health financing system, based on global evidence. Based on the findings, the report suggests a number of policy adjustments to drive accelerated progress towards universal health coverage (UHC) in the country.","language":"en","title":"Health Financing Progress Matrix assessment, Kenya 2023: summary of findings and recommendations","title-short":"Health Financing Progress Matrix assessment, Kenya 2023","URL":"https://www.who.int/publications/i/item/9789240094307","author":[{"family":"WHO","given":""}],"accessed":{"date-parts":[["2025",10,6]]}},"label":"page"},{"id":33,"uris":["http://zotero.org/users/local/C4anYv1I/items/Q6YPEV7L"],"itemData":{"id":33,"type":"article-journal","container-title":"Health policy","issue":"3","page":"171–204","publisher":"Elsevier","title":"A descriptive framework for country-level analysis of health care financing arrangements","volume":"56","author":[{"family":"Kutzin","given":"Joseph"}],"issued":{"date-parts":[["2001"]]}},"label":"page"}],"schema":"https://github.com/citation-style-language/schema/raw/master/csl-citation.json"}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[24, 28]</w:t>
      </w:r>
      <w:r w:rsidR="008C1896">
        <w:rPr>
          <w:rFonts w:ascii="Times New Roman" w:hAnsi="Times New Roman" w:cs="Times New Roman"/>
        </w:rPr>
        <w:fldChar w:fldCharType="end"/>
      </w:r>
      <w:r w:rsidR="00331770" w:rsidRPr="00331770">
        <w:rPr>
          <w:rFonts w:ascii="Times New Roman" w:hAnsi="Times New Roman" w:cs="Times New Roman"/>
        </w:rPr>
        <w:t xml:space="preserve"> and health facility financing literature in devolved contexts</w:t>
      </w:r>
      <w:r w:rsidR="008C1896">
        <w:rPr>
          <w:rFonts w:ascii="Times New Roman" w:hAnsi="Times New Roman" w:cs="Times New Roman"/>
        </w:rPr>
        <w:t xml:space="preserve"> </w:t>
      </w:r>
      <w:r w:rsidR="008C1896">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{"citationID":"QzdEZlo7","properties":{"custom":"[14, 30, 31]","formattedCitation":"[14, 30, 31]","plainCitation":"[14, 30, 31]","noteIndex":0},"citationItems":[{"id":23,"uris":["http://zotero.org/users/local/C4anYv1I/items/W2DLM355"],"itemData":{"id":23,"type":"article-journal","container-title":"BMC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id":51,"uris":["http://zotero.org/users/local/C4anYv1I/items/HFNIBIVY"],"itemData":{"id":51,"type":"article-journal","abstract":"A common challenge for health sector planning and budgeting has been the misalignment between policies, technical planning and budgetary allocation; and inadequate community involvement in priority setting. Health system decentralisation has often been promoted to address health sector planning and budgeting challenges through promoting community participation, accountability, and technical efficiency in resource management. In 2010, Kenya passed a new constitution that introduced 47 semi-autonomous devolved county governments, and a substantial transfer of responsibility for healthcare from the central government to these counties.","container-title":"International Journal for Equity in Health","DOI":"10.1186/s12939-017-0649-0","ISSN":"1475-9276","issue":"1","journalAbbreviation":"International Journal for Equity in Health","page":"151","source":"BioMed Central","title":"How does decentralisation affect health sector planning and financial management? a case study of early effects of devolution in Kilifi County, Kenya","title-short":"How does decentralisation affect health sector planning and financial management?","URL":"https://doi.org/10.1186/s12939-017-0649-0","volume":"16","author":[{"family":"Tsofa","given":"Benjamin"},{"family":"Molyneux","given":"Sassy"},{"family":"Gilson","given":"Lucy"},{"family":"Goodman","given":"Catherine"}],"accessed":{"date-parts":[["2025",10,6]]},"issued":{"date-parts":[["2017",9,15]]}},"label":"page"},{"id":20,"uris":["http://zotero.org/users/local/C4anYv1I/items/A5DXREMU"],"itemData":{"id":20,"type":"article-journal","abstract":"Operational planning is considered an important tool for translating government policies and strategic objectives into day-to-day management activities. However,  developing countries suffer from persistent misalignment between policy, planning  and budgeting. The Medium Term Expenditure Framework (MTEF) was introduced to  address this misalignment. Kenya adopted the MTEF in the early 2000s, and in  2005, the Ministry of Health adopted the Annual Operational Plan process to adapt  the MTEF to the health sector. This study assessed the degree to which the health  sector Annual Operational Plan process in Kenya has achieved alignment between  planning and budgeting at the national level, using document reviews, participant  observation and key informant interviews. We found that the Kenyan health sector  was far from achieving planning and budgeting alignment. Several factors  contributed to this problem including weak Ministry of Health stewardship and  institutionalized separation between planning and budgeting processes; a rapidly  changing planning and budgeting environment; lack of reliable data to inform  target setting and poor participation by key stakeholders in the process  including a top-down approach to target setting. We conclude that alignment is  unlikely to be achieved without consideration of the specific institutional  contexts and the power relationships between stakeholders. In particular, there  is a need for institutional integration of the planning and budgeting processes  into a common cycle and framework with common reporting lines and for improved  data and local-level input to inform appropriate and realistic target setting. ©  2015 The Authors. International Journal of Health Planning and Management  published by John Wiley &amp; Sons, Ltd.","container-title":"The International journal of health planning and management","DOI":"10.1002/hpm.2286","ISSN":"1099-1751 0749-6753","issue":"3","journalAbbreviation":"Int J Health Plann Manage","language":"eng","license":"© 2015 The Authors. International Journal of Health Planning and Management published by John Wiley &amp; Sons, Ltd.","note":"publisher-place: England","page":"260-276","PMID":"25783862","PMCID":"PMC4988384","title":"Health sector operational planning and budgeting processes in Kenya-\"never the twain shall meet\".","volume":"31","author":[{"family":"Tsofa","given":"Benjamin"},{"family":"Molyneux","given":"Sassy"},{"family":"Goodman","given":"Catherine"}],"issued":{"date-parts":[["2016",7]]}},"label":"page"}],"schema":"https://github.com/citation-style-language/schema/raw/master/csl-citation.json"} </w:instrText>
      </w:r>
      <w:r w:rsidR="008C1896">
        <w:rPr>
          <w:rFonts w:ascii="Times New Roman" w:hAnsi="Times New Roman" w:cs="Times New Roman"/>
        </w:rPr>
        <w:fldChar w:fldCharType="separate"/>
      </w:r>
      <w:r w:rsidR="00521BE0" w:rsidRPr="00521BE0">
        <w:rPr>
          <w:rFonts w:ascii="Times New Roman" w:hAnsi="Times New Roman" w:cs="Times New Roman"/>
        </w:rPr>
        <w:t>[14, 30, 31]</w:t>
      </w:r>
      <w:r w:rsidR="008C1896">
        <w:rPr>
          <w:rFonts w:ascii="Times New Roman" w:hAnsi="Times New Roman" w:cs="Times New Roman"/>
        </w:rPr>
        <w:fldChar w:fldCharType="end"/>
      </w:r>
      <w:r w:rsidR="00331770" w:rsidRPr="00331770">
        <w:rPr>
          <w:rFonts w:ascii="Times New Roman" w:hAnsi="Times New Roman" w:cs="Times New Roman"/>
        </w:rPr>
        <w:t>, with questions tailored to explore how financing mechanisms specifically affect NCD service delivery in rural primary health care settings. The interview guide explored: (1) sources and adequacy of funding for NCD services; (2) planning and budgeting processes and the extent to which NCDs are prioritized; (3) challenges in fund access, allocation, and utilization; and (4) the perceived impact of financing mechanisms on NCD service delivery quality and patient outcomes. Interviews were conducted in English (the language of professional health care communication in Kenya), lasted approximately 45-60 minutes, and were audio-recorded with informed consent. The interview guide used open-ended questions such as "Can you describe how your facility plans and budgets for NCD services?" followed by probing questions to explore mechanisms and consequences (e.g., "How does this affect your ability to manage patients with diabetes?"). An observation checklist was also used to systematically document the availability and functional status of essential NCD resources, including medications (specifically checking for common antihypertensives and antidiabetics listed in WHO PEN), blood pressure apparatus, glucometers, test strips, and patient registers/management tools.</w:t>
      </w:r>
    </w:p>
    <w:bookmarkEnd w:id="2"/>
    <w:p w14:paraId="30EB38D3" w14:textId="29276A08"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Data management and analysis</w:t>
      </w:r>
    </w:p>
    <w:p w14:paraId="4AEFC0E8"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Quantitative analysis</w:t>
      </w:r>
    </w:p>
    <w:p w14:paraId="6AC85E58" w14:textId="77777777" w:rsidR="00825312" w:rsidRPr="00C974EE" w:rsidRDefault="00825312" w:rsidP="00C974EE">
      <w:pPr>
        <w:spacing w:line="360" w:lineRule="auto"/>
        <w:rPr>
          <w:rFonts w:ascii="Times New Roman" w:hAnsi="Times New Roman" w:cs="Times New Roman"/>
        </w:rPr>
      </w:pPr>
      <w:r w:rsidRPr="00C974EE">
        <w:rPr>
          <w:rFonts w:ascii="Times New Roman" w:hAnsi="Times New Roman" w:cs="Times New Roman"/>
        </w:rPr>
        <w:t>Quantitative data were entered and cleaned in Microsoft Excel before being exported to STATA version 16 (</w:t>
      </w:r>
      <w:proofErr w:type="spellStart"/>
      <w:r w:rsidRPr="00C974EE">
        <w:rPr>
          <w:rFonts w:ascii="Times New Roman" w:hAnsi="Times New Roman" w:cs="Times New Roman"/>
        </w:rPr>
        <w:t>StataCorp</w:t>
      </w:r>
      <w:proofErr w:type="spellEnd"/>
      <w:r w:rsidRPr="00C974EE">
        <w:rPr>
          <w:rFonts w:ascii="Times New Roman" w:hAnsi="Times New Roman" w:cs="Times New Roman"/>
        </w:rPr>
        <w:t>, College Station, TX, USA) for analysis. Given the small sample size (N=7 facilities), analysis focused on descriptive statistics. Frequencies, percentages, means, and ranges were calculated to summarize facility characteristics, funding sources, planning and budgeting practices, financial autonomy indicators, and NCD service readiness measures. Results were tabulated to facilitate pattern identification and comparison.</w:t>
      </w:r>
    </w:p>
    <w:p w14:paraId="23D83C8C"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Qualitative analysis</w:t>
      </w:r>
    </w:p>
    <w:p w14:paraId="49F68ED3" w14:textId="4E297FF4" w:rsidR="002C0C96" w:rsidRDefault="002C0C96" w:rsidP="00C974EE">
      <w:pPr>
        <w:spacing w:line="360" w:lineRule="auto"/>
        <w:rPr>
          <w:rFonts w:ascii="Times New Roman" w:hAnsi="Times New Roman" w:cs="Times New Roman"/>
        </w:rPr>
      </w:pPr>
      <w:r w:rsidRPr="00C974EE">
        <w:rPr>
          <w:rFonts w:ascii="Times New Roman" w:hAnsi="Times New Roman" w:cs="Times New Roman"/>
        </w:rPr>
        <w:t xml:space="preserve">Audio recordings were transcribed verbatim and transcripts were validated against original recordings for accuracy. </w:t>
      </w:r>
      <w:r>
        <w:rPr>
          <w:rFonts w:ascii="Times New Roman" w:hAnsi="Times New Roman" w:cs="Times New Roman"/>
        </w:rPr>
        <w:t xml:space="preserve">The </w:t>
      </w:r>
      <w:r w:rsidRPr="002C0C96">
        <w:rPr>
          <w:rFonts w:ascii="Times New Roman" w:hAnsi="Times New Roman" w:cs="Times New Roman"/>
        </w:rPr>
        <w:t xml:space="preserve">transcripts were imported into the R programming language (version 4.2.2) for data management, coding, and documentation of analytic decisions. Text files were imported and </w:t>
      </w:r>
      <w:r w:rsidR="00105619" w:rsidRPr="002C0C96">
        <w:rPr>
          <w:rFonts w:ascii="Times New Roman" w:hAnsi="Times New Roman" w:cs="Times New Roman"/>
        </w:rPr>
        <w:t>organized</w:t>
      </w:r>
      <w:r w:rsidRPr="002C0C96">
        <w:rPr>
          <w:rFonts w:ascii="Times New Roman" w:hAnsi="Times New Roman" w:cs="Times New Roman"/>
        </w:rPr>
        <w:t xml:space="preserve"> using the </w:t>
      </w:r>
      <w:proofErr w:type="spellStart"/>
      <w:r w:rsidRPr="00A62F40">
        <w:rPr>
          <w:rFonts w:ascii="Times New Roman" w:hAnsi="Times New Roman" w:cs="Times New Roman"/>
          <w:i/>
          <w:iCs/>
        </w:rPr>
        <w:t>tidyverse</w:t>
      </w:r>
      <w:proofErr w:type="spellEnd"/>
      <w:r w:rsidRPr="002C0C96">
        <w:rPr>
          <w:rFonts w:ascii="Times New Roman" w:hAnsi="Times New Roman" w:cs="Times New Roman"/>
        </w:rPr>
        <w:t xml:space="preserve"> suite, including </w:t>
      </w:r>
      <w:proofErr w:type="spellStart"/>
      <w:r w:rsidRPr="00A62F40">
        <w:rPr>
          <w:rFonts w:ascii="Times New Roman" w:hAnsi="Times New Roman" w:cs="Times New Roman"/>
          <w:i/>
          <w:iCs/>
        </w:rPr>
        <w:t>readr</w:t>
      </w:r>
      <w:proofErr w:type="spellEnd"/>
      <w:r w:rsidRPr="002C0C96">
        <w:rPr>
          <w:rFonts w:ascii="Times New Roman" w:hAnsi="Times New Roman" w:cs="Times New Roman"/>
        </w:rPr>
        <w:t xml:space="preserve"> for import, </w:t>
      </w:r>
      <w:proofErr w:type="spellStart"/>
      <w:r w:rsidRPr="00A62F40">
        <w:rPr>
          <w:rFonts w:ascii="Times New Roman" w:hAnsi="Times New Roman" w:cs="Times New Roman"/>
          <w:i/>
          <w:iCs/>
        </w:rPr>
        <w:t>dplyr</w:t>
      </w:r>
      <w:proofErr w:type="spellEnd"/>
      <w:r w:rsidRPr="002C0C96">
        <w:rPr>
          <w:rFonts w:ascii="Times New Roman" w:hAnsi="Times New Roman" w:cs="Times New Roman"/>
        </w:rPr>
        <w:t xml:space="preserve"> and </w:t>
      </w:r>
      <w:proofErr w:type="spellStart"/>
      <w:r w:rsidRPr="00A62F40">
        <w:rPr>
          <w:rFonts w:ascii="Times New Roman" w:hAnsi="Times New Roman" w:cs="Times New Roman"/>
          <w:i/>
          <w:iCs/>
        </w:rPr>
        <w:t>tidyr</w:t>
      </w:r>
      <w:proofErr w:type="spellEnd"/>
      <w:r w:rsidRPr="002C0C96">
        <w:rPr>
          <w:rFonts w:ascii="Times New Roman" w:hAnsi="Times New Roman" w:cs="Times New Roman"/>
        </w:rPr>
        <w:t xml:space="preserve"> for structuring transcript level datasets, and </w:t>
      </w:r>
      <w:proofErr w:type="spellStart"/>
      <w:r w:rsidRPr="00A62F40">
        <w:rPr>
          <w:rFonts w:ascii="Times New Roman" w:hAnsi="Times New Roman" w:cs="Times New Roman"/>
          <w:i/>
          <w:iCs/>
        </w:rPr>
        <w:t>stringr</w:t>
      </w:r>
      <w:proofErr w:type="spellEnd"/>
      <w:r w:rsidRPr="002C0C96">
        <w:rPr>
          <w:rFonts w:ascii="Times New Roman" w:hAnsi="Times New Roman" w:cs="Times New Roman"/>
        </w:rPr>
        <w:t xml:space="preserve"> for text cleaning and </w:t>
      </w:r>
      <w:proofErr w:type="spellStart"/>
      <w:r w:rsidRPr="002C0C96">
        <w:rPr>
          <w:rFonts w:ascii="Times New Roman" w:hAnsi="Times New Roman" w:cs="Times New Roman"/>
        </w:rPr>
        <w:t>standardisation</w:t>
      </w:r>
      <w:proofErr w:type="spellEnd"/>
      <w:r w:rsidRPr="002C0C96">
        <w:rPr>
          <w:rFonts w:ascii="Times New Roman" w:hAnsi="Times New Roman" w:cs="Times New Roman"/>
        </w:rPr>
        <w:t xml:space="preserve">. A text corpus was created using the </w:t>
      </w:r>
      <w:r w:rsidRPr="00A62F40">
        <w:rPr>
          <w:rFonts w:ascii="Times New Roman" w:hAnsi="Times New Roman" w:cs="Times New Roman"/>
          <w:i/>
          <w:iCs/>
        </w:rPr>
        <w:t>tm</w:t>
      </w:r>
      <w:r w:rsidRPr="002C0C96">
        <w:rPr>
          <w:rFonts w:ascii="Times New Roman" w:hAnsi="Times New Roman" w:cs="Times New Roman"/>
        </w:rPr>
        <w:t xml:space="preserve"> package to support systematic handling of documents and retrieval of coded excerpts</w:t>
      </w:r>
      <w:r w:rsidR="00A62F40">
        <w:rPr>
          <w:rFonts w:ascii="Times New Roman" w:hAnsi="Times New Roman" w:cs="Times New Roman"/>
        </w:rPr>
        <w:t xml:space="preserve"> </w:t>
      </w:r>
      <w:r w:rsidR="00A62F40">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{"citationID":"C5xBjfPe","properties":{"formattedCitation":"[40]","plainCitation":"[40]","noteIndex":0},"citationItems":[{"id":143,"uris":["http://zotero.org/users/local/C4anYv1I/items/4NG35UTY"],"itemData":{"id":143,"type":"article-journal","container-title":"Journal of Statistical Software","DOI":"10.18637/jss.v025.i05","ISSN":"1548-7660","issue":"5","journalAbbreviation":"J. Stat. Soft.","language":"en","source":"DOI.org (Crossref)","title":"Text Mining Infrastructure in &lt;i&gt;R&lt;/i&gt;","URL":"http://www.jstatsoft.org/v25/i05/","volume":"25","author":[{"family":"Feinerer","given":"Ingo"},{"family":"Hornik","given":"Kurt"},{"family":"Meyer","given":"David"}],"accessed":{"date-parts":[["2026",1,27]]},"issued":{"date-parts":[["2008"]]}}}],"schema":"https://github.com/citation-style-language/schema/raw/master/csl-citation.json"} </w:instrText>
      </w:r>
      <w:r w:rsidR="00A62F40">
        <w:rPr>
          <w:rFonts w:ascii="Times New Roman" w:hAnsi="Times New Roman" w:cs="Times New Roman"/>
        </w:rPr>
        <w:fldChar w:fldCharType="separate"/>
      </w:r>
      <w:r w:rsidR="0086349B" w:rsidRPr="0086349B">
        <w:rPr>
          <w:rFonts w:ascii="Times New Roman" w:hAnsi="Times New Roman" w:cs="Times New Roman"/>
        </w:rPr>
        <w:t>[40]</w:t>
      </w:r>
      <w:r w:rsidR="00A62F40">
        <w:rPr>
          <w:rFonts w:ascii="Times New Roman" w:hAnsi="Times New Roman" w:cs="Times New Roman"/>
        </w:rPr>
        <w:fldChar w:fldCharType="end"/>
      </w:r>
      <w:r w:rsidRPr="002C0C96">
        <w:rPr>
          <w:rFonts w:ascii="Times New Roman" w:hAnsi="Times New Roman" w:cs="Times New Roman"/>
        </w:rPr>
        <w:t xml:space="preserve">. </w:t>
      </w:r>
    </w:p>
    <w:p w14:paraId="01FB771A" w14:textId="1AF4AF1F" w:rsidR="00A62F40" w:rsidRDefault="00A62F40" w:rsidP="00A62F40">
      <w:pPr>
        <w:spacing w:line="360" w:lineRule="auto"/>
        <w:rPr>
          <w:rFonts w:ascii="Times New Roman" w:hAnsi="Times New Roman" w:cs="Times New Roman"/>
        </w:rPr>
      </w:pPr>
      <w:r w:rsidRPr="00A62F40">
        <w:rPr>
          <w:rFonts w:ascii="Times New Roman" w:hAnsi="Times New Roman" w:cs="Times New Roman"/>
        </w:rPr>
        <w:t>Thematic analysis followed the approach described by Braun and Clarke</w:t>
      </w:r>
      <w:r>
        <w:rPr>
          <w:rFonts w:ascii="Times New Roman" w:hAnsi="Times New Roman" w:cs="Times New Roman"/>
        </w:rPr>
        <w:t xml:space="preserve"> </w:t>
      </w:r>
      <w:r w:rsidR="00C65898">
        <w:rPr>
          <w:rFonts w:ascii="Times New Roman" w:hAnsi="Times New Roman" w:cs="Times New Roman"/>
        </w:rPr>
        <w:fldChar w:fldCharType="begin"/>
      </w:r>
      <w:r w:rsidR="00521BE0">
        <w:rPr>
          <w:rFonts w:ascii="Times New Roman" w:hAnsi="Times New Roman" w:cs="Times New Roman"/>
        </w:rPr>
        <w:instrText xml:space="preserve"> ADDIN ZOTERO_ITEM CSL_CITATION {"citationID":"HGlav3U0","properties":{"custom":"[32, 33]","formattedCitation":"[32, 33]","plainCitation":"[32, 33]","noteIndex":0},"citationItems":[{"id":37,"uris":["http://zotero.org/users/local/C4anYv1I/items/VHMFVEJS"],"itemData":{"id":37,"type":"article-journal","container-title":"Qualitative research in psychology","issue":"2","page":"77–101","publisher":"Taylor &amp; Francis","title":"Using thematic analysis in psychology","volume":"3","author":[{"family":"Braun","given":"Virginia"},{"family":"Clarke","given":"Victoria"}],"issued":{"date-parts":[["2006"]]}},"label":"page"},{"id":38,"uris":["http://zotero.org/users/local/C4anYv1I/items/MCTV8UVE"],"itemData":{"id":38,"type":"book","publisher":"Sage publications","title":"Designing and conducting mixed methods research","author":[{"family":"Creswell","given":"John W"},{"family":"Clark","given":"Vicki L Plano"}],"issued":{"date-parts":[["2017"]]}},"label":"page"}],"schema":"https://github.com/citation-style-language/schema/raw/master/csl-citation.json"} </w:instrText>
      </w:r>
      <w:r w:rsidR="00C65898">
        <w:rPr>
          <w:rFonts w:ascii="Times New Roman" w:hAnsi="Times New Roman" w:cs="Times New Roman"/>
        </w:rPr>
        <w:fldChar w:fldCharType="separate"/>
      </w:r>
      <w:r w:rsidR="00521BE0" w:rsidRPr="00521BE0">
        <w:rPr>
          <w:rFonts w:ascii="Times New Roman" w:hAnsi="Times New Roman" w:cs="Times New Roman"/>
        </w:rPr>
        <w:t>[32, 33]</w:t>
      </w:r>
      <w:r w:rsidR="00C65898">
        <w:rPr>
          <w:rFonts w:ascii="Times New Roman" w:hAnsi="Times New Roman" w:cs="Times New Roman"/>
        </w:rPr>
        <w:fldChar w:fldCharType="end"/>
      </w:r>
      <w:r w:rsidR="00825312" w:rsidRPr="00C974EE">
        <w:rPr>
          <w:rFonts w:ascii="Times New Roman" w:hAnsi="Times New Roman" w:cs="Times New Roman"/>
        </w:rPr>
        <w:t xml:space="preserve">. </w:t>
      </w:r>
      <w:r w:rsidRPr="00A62F40">
        <w:rPr>
          <w:rFonts w:ascii="Times New Roman" w:hAnsi="Times New Roman" w:cs="Times New Roman"/>
        </w:rPr>
        <w:t>Coding used a combined deductive and inductive strategy. Initial codes were developed from the conceptual framework domains and interview guide, then refined iteratively as additional concepts emerged from the data. Coded excerpts were stored as structured tables linked to transcript identifiers, and a codebook was maintained to document code definitions, inclusion criteria, and exemplar quotations. Two researchers independently coded a subset of transcripts to refine the codebook and improve consistency, with discrepancies resolved through discussion.</w:t>
      </w:r>
    </w:p>
    <w:p w14:paraId="0D789A7B" w14:textId="5E29E174" w:rsidR="00A62F40" w:rsidRPr="00A62F40" w:rsidRDefault="00A62F40" w:rsidP="00A62F40">
      <w:pPr>
        <w:spacing w:line="360" w:lineRule="auto"/>
        <w:rPr>
          <w:rFonts w:ascii="Times New Roman" w:hAnsi="Times New Roman" w:cs="Times New Roman"/>
        </w:rPr>
      </w:pPr>
      <w:r w:rsidRPr="00A62F40">
        <w:rPr>
          <w:rFonts w:ascii="Times New Roman" w:hAnsi="Times New Roman" w:cs="Times New Roman"/>
        </w:rPr>
        <w:t xml:space="preserve">To support theme refinement and provide an additional audit trail, we generated token based summaries using </w:t>
      </w:r>
      <w:proofErr w:type="spellStart"/>
      <w:r w:rsidRPr="00A62F40">
        <w:rPr>
          <w:rFonts w:ascii="Times New Roman" w:hAnsi="Times New Roman" w:cs="Times New Roman"/>
        </w:rPr>
        <w:t>tidytext</w:t>
      </w:r>
      <w:proofErr w:type="spellEnd"/>
      <w:r w:rsidRPr="00A62F40">
        <w:rPr>
          <w:rFonts w:ascii="Times New Roman" w:hAnsi="Times New Roman" w:cs="Times New Roman"/>
        </w:rPr>
        <w:t xml:space="preserve"> and tokenizers</w:t>
      </w:r>
      <w:r>
        <w:rPr>
          <w:rFonts w:ascii="Times New Roman" w:hAnsi="Times New Roman" w:cs="Times New Roman"/>
        </w:rPr>
        <w:t xml:space="preserve"> </w:t>
      </w:r>
      <w:r>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KhYOjCPI","properties":{"formattedCitation":"[43]","plainCitation":"[43]","noteIndex":0},"citationItems":[{"id":145,"uris":["http://zotero.org/users/local/C4anYv1I/items/KLNBDXST"],"itemData":{"id":145,"type":"article-journal","container-title":"JOSS","DOI":"10.21105/joss.00037","issue":"3","publisher":"The Open Journal","title":"tidytext: Text Mining and Analysis Using Tidy Data Principles in R","URL":"http://dx.doi.org/10.21105/joss.00037","volume":"1","author":[{"family":"Silge","given":"Julia"},{"family":"Robinson","given":"David"}],"issued":{"date-parts":[["2016"]]}}}],"schema":"https://github.com/citation-style-language/schema/raw/master/csl-citation.json"} </w:instrText>
      </w:r>
      <w:r>
        <w:rPr>
          <w:rFonts w:ascii="Times New Roman" w:hAnsi="Times New Roman" w:cs="Times New Roman"/>
        </w:rPr>
        <w:fldChar w:fldCharType="separate"/>
      </w:r>
      <w:r w:rsidR="0086349B" w:rsidRPr="0086349B">
        <w:rPr>
          <w:rFonts w:ascii="Times New Roman" w:hAnsi="Times New Roman" w:cs="Times New Roman"/>
        </w:rPr>
        <w:t>[43]</w:t>
      </w:r>
      <w:r>
        <w:rPr>
          <w:rFonts w:ascii="Times New Roman" w:hAnsi="Times New Roman" w:cs="Times New Roman"/>
        </w:rPr>
        <w:fldChar w:fldCharType="end"/>
      </w:r>
      <w:r w:rsidRPr="00A62F40">
        <w:rPr>
          <w:rFonts w:ascii="Times New Roman" w:hAnsi="Times New Roman" w:cs="Times New Roman"/>
        </w:rPr>
        <w:t xml:space="preserve">. </w:t>
      </w:r>
      <w:proofErr w:type="spellStart"/>
      <w:r w:rsidRPr="00A62F40">
        <w:rPr>
          <w:rFonts w:ascii="Times New Roman" w:hAnsi="Times New Roman" w:cs="Times New Roman"/>
        </w:rPr>
        <w:t>Tokenisation</w:t>
      </w:r>
      <w:proofErr w:type="spellEnd"/>
      <w:r w:rsidRPr="00A62F40">
        <w:rPr>
          <w:rFonts w:ascii="Times New Roman" w:hAnsi="Times New Roman" w:cs="Times New Roman"/>
        </w:rPr>
        <w:t xml:space="preserve"> outputs were used to examine recurring terms and </w:t>
      </w:r>
      <w:r w:rsidR="00FF53B1" w:rsidRPr="00A62F40">
        <w:rPr>
          <w:rFonts w:ascii="Times New Roman" w:hAnsi="Times New Roman" w:cs="Times New Roman"/>
        </w:rPr>
        <w:t>co-occurrence</w:t>
      </w:r>
      <w:r w:rsidRPr="00A62F40">
        <w:rPr>
          <w:rFonts w:ascii="Times New Roman" w:hAnsi="Times New Roman" w:cs="Times New Roman"/>
        </w:rPr>
        <w:t xml:space="preserve"> patterns related to facility financing processes, including approval timelines, reimbursements, autonomy, and medicines availability. These outputs were used to support interpretation and to check that themes were grounded in the textual data, and they were not used as a substitute for thematic coding.</w:t>
      </w:r>
    </w:p>
    <w:p w14:paraId="07141AB0"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Data integration</w:t>
      </w:r>
    </w:p>
    <w:p w14:paraId="7F21D7B3" w14:textId="0876D92A" w:rsidR="00105619" w:rsidRPr="00A62F40" w:rsidRDefault="00105619" w:rsidP="00105619">
      <w:pPr>
        <w:spacing w:line="360" w:lineRule="auto"/>
        <w:rPr>
          <w:rFonts w:ascii="Times New Roman" w:hAnsi="Times New Roman" w:cs="Times New Roman"/>
        </w:rPr>
      </w:pPr>
      <w:r w:rsidRPr="00A62F40">
        <w:rPr>
          <w:rFonts w:ascii="Times New Roman" w:hAnsi="Times New Roman" w:cs="Times New Roman"/>
        </w:rPr>
        <w:t>Qualitative findings were integrated with quantitative results produced in Stata during interpretation using triangulation</w:t>
      </w:r>
      <w:r>
        <w:rPr>
          <w:rFonts w:ascii="Times New Roman" w:hAnsi="Times New Roman" w:cs="Times New Roman"/>
        </w:rPr>
        <w:t xml:space="preserve"> </w:t>
      </w:r>
      <w:r w:rsidRPr="00C974EE">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{"citationID":"TKuxcs92","properties":{"formattedCitation":"[42]","plainCitation":"[42]","noteIndex":0},"citationItems":[{"id":38,"uris":["http://zotero.org/users/local/C4anYv1I/items/MCTV8UVE"],"itemData":{"id":38,"type":"book","publisher":"Sage publications","title":"Designing and conducting mixed methods research","author":[{"family":"Creswell","given":"John W"},{"family":"Clark","given":"Vicki L Plano"}],"issued":{"date-parts":[["2017"]]}}}],"schema":"https://github.com/citation-style-language/schema/raw/master/csl-citation.json"} </w:instrText>
      </w:r>
      <w:r w:rsidRPr="00C974EE">
        <w:rPr>
          <w:rFonts w:ascii="Times New Roman" w:hAnsi="Times New Roman" w:cs="Times New Roman"/>
        </w:rPr>
        <w:fldChar w:fldCharType="separate"/>
      </w:r>
      <w:r w:rsidR="0086349B" w:rsidRPr="0086349B">
        <w:rPr>
          <w:rFonts w:ascii="Times New Roman" w:hAnsi="Times New Roman" w:cs="Times New Roman"/>
        </w:rPr>
        <w:t>[42]</w:t>
      </w:r>
      <w:r w:rsidRPr="00C974EE">
        <w:rPr>
          <w:rFonts w:ascii="Times New Roman" w:hAnsi="Times New Roman" w:cs="Times New Roman"/>
        </w:rPr>
        <w:fldChar w:fldCharType="end"/>
      </w:r>
      <w:r w:rsidRPr="00A62F40">
        <w:rPr>
          <w:rFonts w:ascii="Times New Roman" w:hAnsi="Times New Roman" w:cs="Times New Roman"/>
        </w:rPr>
        <w:t xml:space="preserve">. Facility identifiers were </w:t>
      </w:r>
      <w:proofErr w:type="spellStart"/>
      <w:r w:rsidRPr="00A62F40">
        <w:rPr>
          <w:rFonts w:ascii="Times New Roman" w:hAnsi="Times New Roman" w:cs="Times New Roman"/>
        </w:rPr>
        <w:t>harmonised</w:t>
      </w:r>
      <w:proofErr w:type="spellEnd"/>
      <w:r w:rsidRPr="00A62F40">
        <w:rPr>
          <w:rFonts w:ascii="Times New Roman" w:hAnsi="Times New Roman" w:cs="Times New Roman"/>
        </w:rPr>
        <w:t xml:space="preserve"> across datasets, and qualitative themes were compared against facility level descriptive indicators to explain observed quantitative patterns. Integrated findings were </w:t>
      </w:r>
      <w:proofErr w:type="spellStart"/>
      <w:r w:rsidRPr="00A62F40">
        <w:rPr>
          <w:rFonts w:ascii="Times New Roman" w:hAnsi="Times New Roman" w:cs="Times New Roman"/>
        </w:rPr>
        <w:t>summarised</w:t>
      </w:r>
      <w:proofErr w:type="spellEnd"/>
      <w:r w:rsidRPr="00A62F40">
        <w:rPr>
          <w:rFonts w:ascii="Times New Roman" w:hAnsi="Times New Roman" w:cs="Times New Roman"/>
        </w:rPr>
        <w:t xml:space="preserve"> through narrative synthesis supported by cross facility comparison and joint presentation of themes alongside descriptive statistics.</w:t>
      </w:r>
    </w:p>
    <w:p w14:paraId="274AD703" w14:textId="0AC5D7C3" w:rsidR="00BA4F06" w:rsidRDefault="00BA4F06" w:rsidP="00C974EE">
      <w:pPr>
        <w:spacing w:line="360" w:lineRule="auto"/>
        <w:rPr>
          <w:rFonts w:ascii="Times New Roman" w:hAnsi="Times New Roman" w:cs="Times New Roman"/>
        </w:rPr>
      </w:pPr>
      <w:r w:rsidRPr="00BA4F06">
        <w:rPr>
          <w:rFonts w:ascii="Times New Roman" w:hAnsi="Times New Roman" w:cs="Times New Roman"/>
        </w:rPr>
        <w:t>The study also identifies facility level indicators that can be tracked in post SHA evaluations, including reimbursement timeliness, predictability of county disbursements, approval turnaround time for facility expenditures, availability of emergency procurement mechanisms, and frequency and duration of stockouts for essential hypertension and diabetes medicines and diagnostics.</w:t>
      </w:r>
    </w:p>
    <w:p w14:paraId="128AF4A1"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Validity and reliability</w:t>
      </w:r>
    </w:p>
    <w:p w14:paraId="3AB38183" w14:textId="77777777" w:rsidR="00331770" w:rsidRDefault="00331770" w:rsidP="00331770">
      <w:pPr>
        <w:spacing w:line="360" w:lineRule="auto"/>
        <w:rPr>
          <w:rFonts w:ascii="Times New Roman" w:hAnsi="Times New Roman" w:cs="Times New Roman"/>
        </w:rPr>
      </w:pPr>
      <w:r w:rsidRPr="00331770">
        <w:rPr>
          <w:rFonts w:ascii="Times New Roman" w:hAnsi="Times New Roman" w:cs="Times New Roman"/>
        </w:rPr>
        <w:t>To ensure instrument validity, the questionnaire and interview guide were pre-tested at a health facility outside the study sample. Feedback was used to refine question clarity, structure, and cultural appropriateness.</w:t>
      </w:r>
      <w:r>
        <w:rPr>
          <w:rFonts w:ascii="Times New Roman" w:hAnsi="Times New Roman" w:cs="Times New Roman"/>
        </w:rPr>
        <w:t xml:space="preserve"> </w:t>
      </w:r>
      <w:r w:rsidRPr="00C974EE">
        <w:rPr>
          <w:rFonts w:ascii="Times New Roman" w:hAnsi="Times New Roman" w:cs="Times New Roman"/>
        </w:rPr>
        <w:t>Tools were also reviewed by the research supervisory team, comprising experts in health financing and epidemiology, to ensure content validity. For the qualitative component, reliability was enhanced through consistent use of the interview guide, systematic probing techniques, and audio recording to minimize interviewer bias and data loss.</w:t>
      </w:r>
    </w:p>
    <w:p w14:paraId="6E43B99D" w14:textId="4DF6884E" w:rsidR="00756DB9" w:rsidRDefault="00756DB9" w:rsidP="00756DB9">
      <w:pPr>
        <w:spacing w:line="360" w:lineRule="auto"/>
        <w:rPr>
          <w:rFonts w:ascii="Times New Roman" w:hAnsi="Times New Roman" w:cs="Times New Roman"/>
          <w:b/>
          <w:bCs/>
        </w:rPr>
      </w:pPr>
      <w:r>
        <w:rPr>
          <w:rFonts w:ascii="Times New Roman" w:hAnsi="Times New Roman" w:cs="Times New Roman"/>
          <w:b/>
          <w:bCs/>
        </w:rPr>
        <w:t>E</w:t>
      </w:r>
      <w:r w:rsidRPr="00756DB9">
        <w:rPr>
          <w:rFonts w:ascii="Times New Roman" w:hAnsi="Times New Roman" w:cs="Times New Roman"/>
          <w:b/>
          <w:bCs/>
        </w:rPr>
        <w:t xml:space="preserve">thical consideration </w:t>
      </w:r>
      <w:r w:rsidR="00CE3C65">
        <w:rPr>
          <w:rFonts w:ascii="Times New Roman" w:hAnsi="Times New Roman" w:cs="Times New Roman"/>
          <w:b/>
          <w:bCs/>
        </w:rPr>
        <w:t>and Reflexivity</w:t>
      </w:r>
    </w:p>
    <w:p w14:paraId="3BCFA99E" w14:textId="14111448" w:rsidR="00756DB9" w:rsidRDefault="00756DB9" w:rsidP="00756DB9">
      <w:pPr>
        <w:spacing w:line="360" w:lineRule="auto"/>
        <w:rPr>
          <w:rFonts w:ascii="Times New Roman" w:hAnsi="Times New Roman" w:cs="Times New Roman"/>
        </w:rPr>
      </w:pPr>
      <w:r w:rsidRPr="00756DB9">
        <w:rPr>
          <w:rFonts w:ascii="Times New Roman" w:hAnsi="Times New Roman" w:cs="Times New Roman"/>
        </w:rPr>
        <w:t xml:space="preserve">Ethical approval was obtained from the JOOUST Ethics Review Committee and a research </w:t>
      </w:r>
      <w:proofErr w:type="spellStart"/>
      <w:r w:rsidRPr="00756DB9">
        <w:rPr>
          <w:rFonts w:ascii="Times New Roman" w:hAnsi="Times New Roman" w:cs="Times New Roman"/>
        </w:rPr>
        <w:t>licence</w:t>
      </w:r>
      <w:proofErr w:type="spellEnd"/>
      <w:r w:rsidRPr="00756DB9">
        <w:rPr>
          <w:rFonts w:ascii="Times New Roman" w:hAnsi="Times New Roman" w:cs="Times New Roman"/>
        </w:rPr>
        <w:t xml:space="preserve"> was obtained from the National Commission for Science, Technology and Innovation. Permission was also obtained from the Kisumu County Department of Health and the Seme Sub County Health Management Team. All participants provided written informed consent. Interviews were conducted in private spaces at facilities, audio recorded with permission, and </w:t>
      </w:r>
      <w:proofErr w:type="spellStart"/>
      <w:r w:rsidRPr="00756DB9">
        <w:rPr>
          <w:rFonts w:ascii="Times New Roman" w:hAnsi="Times New Roman" w:cs="Times New Roman"/>
        </w:rPr>
        <w:t>anonymised</w:t>
      </w:r>
      <w:proofErr w:type="spellEnd"/>
      <w:r w:rsidRPr="00756DB9">
        <w:rPr>
          <w:rFonts w:ascii="Times New Roman" w:hAnsi="Times New Roman" w:cs="Times New Roman"/>
        </w:rPr>
        <w:t xml:space="preserve"> during transcription. Data were stored on password protected devices accessible only to the research team.</w:t>
      </w:r>
    </w:p>
    <w:p w14:paraId="4A32E5D8" w14:textId="467FD440" w:rsidR="00CE3C65" w:rsidRPr="00756DB9" w:rsidRDefault="00CE3C65" w:rsidP="00756DB9">
      <w:pPr>
        <w:spacing w:line="360" w:lineRule="auto"/>
        <w:rPr>
          <w:rFonts w:ascii="Times New Roman" w:hAnsi="Times New Roman" w:cs="Times New Roman"/>
        </w:rPr>
      </w:pPr>
      <w:r w:rsidRPr="00CE3C65">
        <w:rPr>
          <w:rFonts w:ascii="Times New Roman" w:hAnsi="Times New Roman" w:cs="Times New Roman"/>
        </w:rPr>
        <w:t xml:space="preserve">The research team comprised investigators with training in health financing and health systems research and familiarity with the Kenyan primary health care context. We </w:t>
      </w:r>
      <w:proofErr w:type="spellStart"/>
      <w:r w:rsidRPr="00CE3C65">
        <w:rPr>
          <w:rFonts w:ascii="Times New Roman" w:hAnsi="Times New Roman" w:cs="Times New Roman"/>
        </w:rPr>
        <w:t>recognised</w:t>
      </w:r>
      <w:proofErr w:type="spellEnd"/>
      <w:r w:rsidRPr="00CE3C65">
        <w:rPr>
          <w:rFonts w:ascii="Times New Roman" w:hAnsi="Times New Roman" w:cs="Times New Roman"/>
        </w:rPr>
        <w:t xml:space="preserve"> that our professional backgrounds and prior engagement with county and facility stakeholders could influence how questions were asked, how participants responded, and how data were interpreted. To </w:t>
      </w:r>
      <w:proofErr w:type="spellStart"/>
      <w:r w:rsidRPr="00CE3C65">
        <w:rPr>
          <w:rFonts w:ascii="Times New Roman" w:hAnsi="Times New Roman" w:cs="Times New Roman"/>
        </w:rPr>
        <w:t>minimise</w:t>
      </w:r>
      <w:proofErr w:type="spellEnd"/>
      <w:r w:rsidRPr="00CE3C65">
        <w:rPr>
          <w:rFonts w:ascii="Times New Roman" w:hAnsi="Times New Roman" w:cs="Times New Roman"/>
        </w:rPr>
        <w:t xml:space="preserve"> these effects, interviews were conducted using a semi structured guide and neutral probing, with emphasis on allowing participants to describe processes and experiences in their own terms. We held regular debrief meetings during data collection to reflect on interviewer positioning, refine interviewing approaches, and document emerging assumptions. During analysis, we maintained analytic memos to record coding decisions and interpretations, and we used team discussions to challenge and refine themes. A subset of transcripts was independently coded by two researchers and discrepancies were resolved through discussion to improve consistency. These steps supported transparency in interpretation and strengthened the credibility of the qualitative findings.</w:t>
      </w:r>
    </w:p>
    <w:p w14:paraId="0A0EC42A" w14:textId="68AF439E"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Results</w:t>
      </w:r>
    </w:p>
    <w:p w14:paraId="5BF08752" w14:textId="77777777" w:rsidR="00857F7A" w:rsidRDefault="00857F7A" w:rsidP="00C974EE">
      <w:pPr>
        <w:spacing w:line="360" w:lineRule="auto"/>
        <w:rPr>
          <w:rFonts w:ascii="Times New Roman" w:hAnsi="Times New Roman" w:cs="Times New Roman"/>
          <w:b/>
          <w:bCs/>
        </w:rPr>
      </w:pPr>
      <w:r w:rsidRPr="00857F7A">
        <w:rPr>
          <w:rFonts w:ascii="Times New Roman" w:hAnsi="Times New Roman" w:cs="Times New Roman"/>
          <w:b/>
          <w:bCs/>
        </w:rPr>
        <w:t>Facility characteristics</w:t>
      </w:r>
    </w:p>
    <w:p w14:paraId="335DEC32" w14:textId="2C553575" w:rsidR="00857F7A" w:rsidRPr="00C974EE" w:rsidRDefault="00857F7A" w:rsidP="00C974EE">
      <w:pPr>
        <w:spacing w:line="360" w:lineRule="auto"/>
        <w:rPr>
          <w:rFonts w:ascii="Times New Roman" w:hAnsi="Times New Roman" w:cs="Times New Roman"/>
        </w:rPr>
      </w:pPr>
      <w:r w:rsidRPr="00857F7A">
        <w:rPr>
          <w:rFonts w:ascii="Times New Roman" w:hAnsi="Times New Roman" w:cs="Times New Roman"/>
        </w:rPr>
        <w:t xml:space="preserve">Seven primary health care (PHC) facilities participated in the study, all located in rural settings (Table 1). Facilities represented a mix of KEPH service levels: two Level 4 sub-county hospitals (28.6%), three Level 3 health </w:t>
      </w:r>
      <w:proofErr w:type="spellStart"/>
      <w:r w:rsidRPr="00857F7A">
        <w:rPr>
          <w:rFonts w:ascii="Times New Roman" w:hAnsi="Times New Roman" w:cs="Times New Roman"/>
        </w:rPr>
        <w:t>centres</w:t>
      </w:r>
      <w:proofErr w:type="spellEnd"/>
      <w:r w:rsidRPr="00857F7A">
        <w:rPr>
          <w:rFonts w:ascii="Times New Roman" w:hAnsi="Times New Roman" w:cs="Times New Roman"/>
        </w:rPr>
        <w:t xml:space="preserve"> (42.9%), and two Level 2 dispensaries (28.6%). No Level 1 community units were included because they do not provide clinical NCD care. Most facilities (71.4%, n=5) had at least one staff member trained in NCD management. Although all possessed basic diagnostic equipment for hypertension and diabetes (blood pressure apparatus and glucometers), fewer than half (42.9%, n=3) considered their equipment adequate for patient demand. Only two facilities (28.6%) reported generating internal revenue through user fees for NCD-related services.</w:t>
      </w:r>
    </w:p>
    <w:p w14:paraId="6CEADE6A" w14:textId="3815433A" w:rsidR="004A2F03" w:rsidRPr="004A2F03" w:rsidRDefault="004A2F03" w:rsidP="004A2F03">
      <w:pPr>
        <w:pStyle w:val="Caption"/>
        <w:keepNext/>
        <w:rPr>
          <w:rFonts w:ascii="Times New Roman" w:hAnsi="Times New Roman" w:cs="Times New Roman"/>
          <w:b/>
          <w:bCs/>
          <w:color w:val="auto"/>
          <w:sz w:val="24"/>
          <w:szCs w:val="24"/>
        </w:rPr>
      </w:pPr>
      <w:r w:rsidRPr="004A2F03">
        <w:rPr>
          <w:rFonts w:ascii="Times New Roman" w:hAnsi="Times New Roman" w:cs="Times New Roman"/>
          <w:b/>
          <w:bCs/>
          <w:color w:val="auto"/>
          <w:sz w:val="24"/>
          <w:szCs w:val="24"/>
        </w:rPr>
        <w:t xml:space="preserve">Table </w:t>
      </w:r>
      <w:r w:rsidRPr="004A2F03">
        <w:rPr>
          <w:rFonts w:ascii="Times New Roman" w:hAnsi="Times New Roman" w:cs="Times New Roman"/>
          <w:b/>
          <w:bCs/>
          <w:color w:val="auto"/>
          <w:sz w:val="24"/>
          <w:szCs w:val="24"/>
        </w:rPr>
        <w:fldChar w:fldCharType="begin"/>
      </w:r>
      <w:r w:rsidRPr="004A2F03">
        <w:rPr>
          <w:rFonts w:ascii="Times New Roman" w:hAnsi="Times New Roman" w:cs="Times New Roman"/>
          <w:b/>
          <w:bCs/>
          <w:color w:val="auto"/>
          <w:sz w:val="24"/>
          <w:szCs w:val="24"/>
        </w:rPr>
        <w:instrText xml:space="preserve"> SEQ Table \* ARABIC </w:instrText>
      </w:r>
      <w:r w:rsidRPr="004A2F03">
        <w:rPr>
          <w:rFonts w:ascii="Times New Roman" w:hAnsi="Times New Roman" w:cs="Times New Roman"/>
          <w:b/>
          <w:bCs/>
          <w:color w:val="auto"/>
          <w:sz w:val="24"/>
          <w:szCs w:val="24"/>
        </w:rPr>
        <w:fldChar w:fldCharType="separate"/>
      </w:r>
      <w:r w:rsidR="00841E0F">
        <w:rPr>
          <w:rFonts w:ascii="Times New Roman" w:hAnsi="Times New Roman" w:cs="Times New Roman"/>
          <w:b/>
          <w:bCs/>
          <w:noProof/>
          <w:color w:val="auto"/>
          <w:sz w:val="24"/>
          <w:szCs w:val="24"/>
        </w:rPr>
        <w:t>1</w:t>
      </w:r>
      <w:r w:rsidRPr="004A2F03">
        <w:rPr>
          <w:rFonts w:ascii="Times New Roman" w:hAnsi="Times New Roman" w:cs="Times New Roman"/>
          <w:b/>
          <w:bCs/>
          <w:color w:val="auto"/>
          <w:sz w:val="24"/>
          <w:szCs w:val="24"/>
        </w:rPr>
        <w:fldChar w:fldCharType="end"/>
      </w:r>
      <w:r w:rsidRPr="004A2F03">
        <w:rPr>
          <w:rFonts w:ascii="Times New Roman" w:hAnsi="Times New Roman" w:cs="Times New Roman"/>
          <w:b/>
          <w:bCs/>
          <w:color w:val="auto"/>
          <w:sz w:val="24"/>
          <w:szCs w:val="24"/>
        </w:rPr>
        <w:t>: Characteristics of participating primary health care facilities (N=7)</w:t>
      </w:r>
    </w:p>
    <w:tbl>
      <w:tblPr>
        <w:tblW w:w="0" w:type="auto"/>
        <w:tblLook w:val="04A0" w:firstRow="1" w:lastRow="0" w:firstColumn="1" w:lastColumn="0" w:noHBand="0" w:noVBand="1"/>
      </w:tblPr>
      <w:tblGrid>
        <w:gridCol w:w="4975"/>
        <w:gridCol w:w="1423"/>
        <w:gridCol w:w="1809"/>
      </w:tblGrid>
      <w:tr w:rsidR="006F675A" w:rsidRPr="00C974EE" w14:paraId="2D1F0734" w14:textId="77777777" w:rsidTr="002A3206">
        <w:trPr>
          <w:trHeight w:val="302"/>
        </w:trPr>
        <w:tc>
          <w:tcPr>
            <w:tcW w:w="0" w:type="auto"/>
            <w:tcBorders>
              <w:top w:val="single" w:sz="8" w:space="0" w:color="auto"/>
              <w:left w:val="nil"/>
              <w:bottom w:val="single" w:sz="12" w:space="0" w:color="auto"/>
              <w:right w:val="nil"/>
            </w:tcBorders>
            <w:shd w:val="clear" w:color="auto" w:fill="auto"/>
            <w:vAlign w:val="center"/>
            <w:hideMark/>
          </w:tcPr>
          <w:p w14:paraId="3C349C1F"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bookmarkStart w:id="3" w:name="_Hlk210509157"/>
            <w:r w:rsidRPr="00C974EE">
              <w:rPr>
                <w:rFonts w:ascii="Times New Roman" w:eastAsia="Times New Roman" w:hAnsi="Times New Roman" w:cs="Times New Roman"/>
                <w:b/>
                <w:bCs/>
                <w:color w:val="000000"/>
                <w:kern w:val="0"/>
                <w14:ligatures w14:val="none"/>
              </w:rPr>
              <w:t>Characteristic</w:t>
            </w:r>
          </w:p>
        </w:tc>
        <w:tc>
          <w:tcPr>
            <w:tcW w:w="0" w:type="auto"/>
            <w:tcBorders>
              <w:top w:val="single" w:sz="8" w:space="0" w:color="auto"/>
              <w:left w:val="nil"/>
              <w:bottom w:val="single" w:sz="12" w:space="0" w:color="auto"/>
              <w:right w:val="nil"/>
            </w:tcBorders>
            <w:shd w:val="clear" w:color="auto" w:fill="auto"/>
            <w:vAlign w:val="center"/>
            <w:hideMark/>
          </w:tcPr>
          <w:p w14:paraId="49561E23"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Number (n)</w:t>
            </w:r>
          </w:p>
        </w:tc>
        <w:tc>
          <w:tcPr>
            <w:tcW w:w="0" w:type="auto"/>
            <w:tcBorders>
              <w:top w:val="single" w:sz="8" w:space="0" w:color="auto"/>
              <w:left w:val="nil"/>
              <w:bottom w:val="single" w:sz="12" w:space="0" w:color="auto"/>
              <w:right w:val="nil"/>
            </w:tcBorders>
            <w:shd w:val="clear" w:color="auto" w:fill="auto"/>
            <w:vAlign w:val="center"/>
            <w:hideMark/>
          </w:tcPr>
          <w:p w14:paraId="07CF0C7F"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Percentage (%)</w:t>
            </w:r>
          </w:p>
        </w:tc>
      </w:tr>
      <w:tr w:rsidR="006F675A" w:rsidRPr="00C974EE" w14:paraId="47BE8310" w14:textId="77777777" w:rsidTr="002A3206">
        <w:trPr>
          <w:trHeight w:val="303"/>
        </w:trPr>
        <w:tc>
          <w:tcPr>
            <w:tcW w:w="0" w:type="auto"/>
            <w:tcBorders>
              <w:top w:val="nil"/>
              <w:left w:val="nil"/>
              <w:bottom w:val="nil"/>
              <w:right w:val="nil"/>
            </w:tcBorders>
            <w:shd w:val="clear" w:color="auto" w:fill="auto"/>
            <w:vAlign w:val="center"/>
            <w:hideMark/>
          </w:tcPr>
          <w:p w14:paraId="1A643008"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Facility Level</w:t>
            </w:r>
          </w:p>
        </w:tc>
        <w:tc>
          <w:tcPr>
            <w:tcW w:w="0" w:type="auto"/>
            <w:tcBorders>
              <w:top w:val="nil"/>
              <w:left w:val="nil"/>
              <w:bottom w:val="nil"/>
              <w:right w:val="nil"/>
            </w:tcBorders>
            <w:shd w:val="clear" w:color="auto" w:fill="auto"/>
            <w:vAlign w:val="center"/>
            <w:hideMark/>
          </w:tcPr>
          <w:p w14:paraId="10936A17"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vAlign w:val="center"/>
            <w:hideMark/>
          </w:tcPr>
          <w:p w14:paraId="0259BD44" w14:textId="77777777" w:rsidR="006F675A" w:rsidRPr="00C974EE" w:rsidRDefault="006F675A" w:rsidP="00C974EE">
            <w:pPr>
              <w:spacing w:after="0" w:line="360" w:lineRule="auto"/>
              <w:rPr>
                <w:rFonts w:ascii="Times New Roman" w:eastAsia="Times New Roman" w:hAnsi="Times New Roman" w:cs="Times New Roman"/>
                <w:kern w:val="0"/>
                <w:sz w:val="20"/>
                <w:szCs w:val="20"/>
                <w14:ligatures w14:val="none"/>
              </w:rPr>
            </w:pPr>
          </w:p>
        </w:tc>
      </w:tr>
      <w:tr w:rsidR="006F675A" w:rsidRPr="00C974EE" w14:paraId="2A155CD2" w14:textId="77777777" w:rsidTr="002A3206">
        <w:trPr>
          <w:trHeight w:val="378"/>
        </w:trPr>
        <w:tc>
          <w:tcPr>
            <w:tcW w:w="0" w:type="auto"/>
            <w:tcBorders>
              <w:top w:val="nil"/>
              <w:left w:val="nil"/>
              <w:bottom w:val="nil"/>
              <w:right w:val="nil"/>
            </w:tcBorders>
            <w:shd w:val="clear" w:color="auto" w:fill="auto"/>
            <w:vAlign w:val="center"/>
            <w:hideMark/>
          </w:tcPr>
          <w:p w14:paraId="72B6E0D7"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Level 4 (Sub- County Hospital)</w:t>
            </w:r>
          </w:p>
        </w:tc>
        <w:tc>
          <w:tcPr>
            <w:tcW w:w="0" w:type="auto"/>
            <w:tcBorders>
              <w:top w:val="nil"/>
              <w:left w:val="nil"/>
              <w:bottom w:val="nil"/>
              <w:right w:val="nil"/>
            </w:tcBorders>
            <w:shd w:val="clear" w:color="auto" w:fill="auto"/>
            <w:vAlign w:val="center"/>
            <w:hideMark/>
          </w:tcPr>
          <w:p w14:paraId="6CDC9BC1"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0" w:type="auto"/>
            <w:tcBorders>
              <w:top w:val="nil"/>
              <w:left w:val="nil"/>
              <w:bottom w:val="nil"/>
              <w:right w:val="nil"/>
            </w:tcBorders>
            <w:shd w:val="clear" w:color="auto" w:fill="auto"/>
            <w:noWrap/>
            <w:vAlign w:val="bottom"/>
            <w:hideMark/>
          </w:tcPr>
          <w:p w14:paraId="66501A7F"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0AEAB97F" w14:textId="77777777" w:rsidTr="002A3206">
        <w:trPr>
          <w:trHeight w:val="292"/>
        </w:trPr>
        <w:tc>
          <w:tcPr>
            <w:tcW w:w="0" w:type="auto"/>
            <w:tcBorders>
              <w:top w:val="nil"/>
              <w:left w:val="nil"/>
              <w:bottom w:val="nil"/>
              <w:right w:val="nil"/>
            </w:tcBorders>
            <w:shd w:val="clear" w:color="auto" w:fill="auto"/>
            <w:vAlign w:val="center"/>
            <w:hideMark/>
          </w:tcPr>
          <w:p w14:paraId="1096A03C" w14:textId="74BCB72B"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 xml:space="preserve">Level </w:t>
            </w:r>
            <w:r w:rsidR="0048400E" w:rsidRPr="00C974EE">
              <w:rPr>
                <w:rFonts w:ascii="Times New Roman" w:eastAsia="Times New Roman" w:hAnsi="Times New Roman" w:cs="Times New Roman"/>
                <w:color w:val="000000"/>
                <w:kern w:val="0"/>
                <w14:ligatures w14:val="none"/>
              </w:rPr>
              <w:t>3</w:t>
            </w:r>
            <w:r w:rsidRPr="00C974EE">
              <w:rPr>
                <w:rFonts w:ascii="Times New Roman" w:eastAsia="Times New Roman" w:hAnsi="Times New Roman" w:cs="Times New Roman"/>
                <w:color w:val="000000"/>
                <w:kern w:val="0"/>
                <w14:ligatures w14:val="none"/>
              </w:rPr>
              <w:t xml:space="preserve"> (Health Centre)</w:t>
            </w:r>
          </w:p>
        </w:tc>
        <w:tc>
          <w:tcPr>
            <w:tcW w:w="0" w:type="auto"/>
            <w:tcBorders>
              <w:top w:val="nil"/>
              <w:left w:val="nil"/>
              <w:bottom w:val="nil"/>
              <w:right w:val="nil"/>
            </w:tcBorders>
            <w:shd w:val="clear" w:color="auto" w:fill="auto"/>
            <w:vAlign w:val="center"/>
            <w:hideMark/>
          </w:tcPr>
          <w:p w14:paraId="7D8DDD42"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3</w:t>
            </w:r>
          </w:p>
        </w:tc>
        <w:tc>
          <w:tcPr>
            <w:tcW w:w="0" w:type="auto"/>
            <w:tcBorders>
              <w:top w:val="nil"/>
              <w:left w:val="nil"/>
              <w:bottom w:val="nil"/>
              <w:right w:val="nil"/>
            </w:tcBorders>
            <w:shd w:val="clear" w:color="auto" w:fill="auto"/>
            <w:noWrap/>
            <w:vAlign w:val="bottom"/>
            <w:hideMark/>
          </w:tcPr>
          <w:p w14:paraId="466E2769"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6F675A" w:rsidRPr="00C974EE" w14:paraId="244D1F89" w14:textId="77777777" w:rsidTr="002A3206">
        <w:trPr>
          <w:trHeight w:val="292"/>
        </w:trPr>
        <w:tc>
          <w:tcPr>
            <w:tcW w:w="0" w:type="auto"/>
            <w:tcBorders>
              <w:top w:val="nil"/>
              <w:left w:val="nil"/>
              <w:bottom w:val="nil"/>
              <w:right w:val="nil"/>
            </w:tcBorders>
            <w:shd w:val="clear" w:color="auto" w:fill="auto"/>
            <w:vAlign w:val="center"/>
            <w:hideMark/>
          </w:tcPr>
          <w:p w14:paraId="69DAE226" w14:textId="7E216E8F"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 xml:space="preserve">Level </w:t>
            </w:r>
            <w:r w:rsidR="0048400E" w:rsidRPr="00C974EE">
              <w:rPr>
                <w:rFonts w:ascii="Times New Roman" w:eastAsia="Times New Roman" w:hAnsi="Times New Roman" w:cs="Times New Roman"/>
                <w:color w:val="000000"/>
                <w:kern w:val="0"/>
                <w14:ligatures w14:val="none"/>
              </w:rPr>
              <w:t>2</w:t>
            </w:r>
            <w:r w:rsidRPr="00C974EE">
              <w:rPr>
                <w:rFonts w:ascii="Times New Roman" w:eastAsia="Times New Roman" w:hAnsi="Times New Roman" w:cs="Times New Roman"/>
                <w:color w:val="000000"/>
                <w:kern w:val="0"/>
                <w14:ligatures w14:val="none"/>
              </w:rPr>
              <w:t xml:space="preserve"> (Dispensary)</w:t>
            </w:r>
          </w:p>
        </w:tc>
        <w:tc>
          <w:tcPr>
            <w:tcW w:w="0" w:type="auto"/>
            <w:tcBorders>
              <w:top w:val="nil"/>
              <w:left w:val="nil"/>
              <w:bottom w:val="nil"/>
              <w:right w:val="nil"/>
            </w:tcBorders>
            <w:shd w:val="clear" w:color="auto" w:fill="auto"/>
            <w:vAlign w:val="center"/>
            <w:hideMark/>
          </w:tcPr>
          <w:p w14:paraId="0D22C1A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0" w:type="auto"/>
            <w:tcBorders>
              <w:top w:val="nil"/>
              <w:left w:val="nil"/>
              <w:bottom w:val="nil"/>
              <w:right w:val="nil"/>
            </w:tcBorders>
            <w:shd w:val="clear" w:color="auto" w:fill="auto"/>
            <w:noWrap/>
            <w:vAlign w:val="bottom"/>
            <w:hideMark/>
          </w:tcPr>
          <w:p w14:paraId="096C8C40"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75D4FF1F" w14:textId="77777777" w:rsidTr="002A3206">
        <w:trPr>
          <w:trHeight w:val="292"/>
        </w:trPr>
        <w:tc>
          <w:tcPr>
            <w:tcW w:w="0" w:type="auto"/>
            <w:tcBorders>
              <w:top w:val="nil"/>
              <w:left w:val="nil"/>
              <w:bottom w:val="nil"/>
              <w:right w:val="nil"/>
            </w:tcBorders>
            <w:shd w:val="clear" w:color="auto" w:fill="auto"/>
            <w:vAlign w:val="center"/>
            <w:hideMark/>
          </w:tcPr>
          <w:p w14:paraId="3DBF8BA8"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Location</w:t>
            </w:r>
          </w:p>
        </w:tc>
        <w:tc>
          <w:tcPr>
            <w:tcW w:w="0" w:type="auto"/>
            <w:tcBorders>
              <w:top w:val="nil"/>
              <w:left w:val="nil"/>
              <w:bottom w:val="nil"/>
              <w:right w:val="nil"/>
            </w:tcBorders>
            <w:shd w:val="clear" w:color="auto" w:fill="auto"/>
            <w:vAlign w:val="center"/>
            <w:hideMark/>
          </w:tcPr>
          <w:p w14:paraId="785D9168"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38A039C5" w14:textId="5ADA1CFC" w:rsidR="006F675A" w:rsidRPr="00C974EE" w:rsidRDefault="006F675A" w:rsidP="00C974EE">
            <w:pPr>
              <w:spacing w:after="0" w:line="360" w:lineRule="auto"/>
              <w:jc w:val="center"/>
              <w:rPr>
                <w:rFonts w:ascii="Times New Roman" w:eastAsia="Times New Roman" w:hAnsi="Times New Roman" w:cs="Times New Roman"/>
                <w:color w:val="000000"/>
                <w:kern w:val="0"/>
                <w14:ligatures w14:val="none"/>
              </w:rPr>
            </w:pPr>
          </w:p>
        </w:tc>
      </w:tr>
      <w:tr w:rsidR="006F675A" w:rsidRPr="00C974EE" w14:paraId="119DB698" w14:textId="77777777" w:rsidTr="002A3206">
        <w:trPr>
          <w:trHeight w:val="292"/>
        </w:trPr>
        <w:tc>
          <w:tcPr>
            <w:tcW w:w="0" w:type="auto"/>
            <w:tcBorders>
              <w:top w:val="nil"/>
              <w:left w:val="nil"/>
              <w:bottom w:val="nil"/>
              <w:right w:val="nil"/>
            </w:tcBorders>
            <w:shd w:val="clear" w:color="auto" w:fill="auto"/>
            <w:vAlign w:val="center"/>
            <w:hideMark/>
          </w:tcPr>
          <w:p w14:paraId="074C502F"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Rural</w:t>
            </w:r>
          </w:p>
        </w:tc>
        <w:tc>
          <w:tcPr>
            <w:tcW w:w="0" w:type="auto"/>
            <w:tcBorders>
              <w:top w:val="nil"/>
              <w:left w:val="nil"/>
              <w:bottom w:val="nil"/>
              <w:right w:val="nil"/>
            </w:tcBorders>
            <w:shd w:val="clear" w:color="auto" w:fill="auto"/>
            <w:vAlign w:val="center"/>
            <w:hideMark/>
          </w:tcPr>
          <w:p w14:paraId="15ACE1B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0" w:type="auto"/>
            <w:tcBorders>
              <w:top w:val="nil"/>
              <w:left w:val="nil"/>
              <w:bottom w:val="nil"/>
              <w:right w:val="nil"/>
            </w:tcBorders>
            <w:shd w:val="clear" w:color="auto" w:fill="auto"/>
            <w:noWrap/>
            <w:vAlign w:val="bottom"/>
            <w:hideMark/>
          </w:tcPr>
          <w:p w14:paraId="245CA7CA"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7186EB8E" w14:textId="77777777" w:rsidTr="002A3206">
        <w:trPr>
          <w:trHeight w:val="292"/>
        </w:trPr>
        <w:tc>
          <w:tcPr>
            <w:tcW w:w="0" w:type="auto"/>
            <w:tcBorders>
              <w:top w:val="nil"/>
              <w:left w:val="nil"/>
              <w:bottom w:val="nil"/>
              <w:right w:val="nil"/>
            </w:tcBorders>
            <w:shd w:val="clear" w:color="auto" w:fill="auto"/>
            <w:vAlign w:val="center"/>
            <w:hideMark/>
          </w:tcPr>
          <w:p w14:paraId="6A72A043"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NCD Service Readiness</w:t>
            </w:r>
          </w:p>
        </w:tc>
        <w:tc>
          <w:tcPr>
            <w:tcW w:w="0" w:type="auto"/>
            <w:tcBorders>
              <w:top w:val="nil"/>
              <w:left w:val="nil"/>
              <w:bottom w:val="nil"/>
              <w:right w:val="nil"/>
            </w:tcBorders>
            <w:shd w:val="clear" w:color="auto" w:fill="auto"/>
            <w:vAlign w:val="center"/>
            <w:hideMark/>
          </w:tcPr>
          <w:p w14:paraId="4A7B0946"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6D1FA196" w14:textId="11C2022C"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p>
        </w:tc>
      </w:tr>
      <w:tr w:rsidR="006F675A" w:rsidRPr="00C974EE" w14:paraId="5C379555" w14:textId="77777777" w:rsidTr="002A3206">
        <w:trPr>
          <w:trHeight w:val="292"/>
        </w:trPr>
        <w:tc>
          <w:tcPr>
            <w:tcW w:w="0" w:type="auto"/>
            <w:tcBorders>
              <w:top w:val="nil"/>
              <w:left w:val="nil"/>
              <w:bottom w:val="nil"/>
              <w:right w:val="nil"/>
            </w:tcBorders>
            <w:shd w:val="clear" w:color="auto" w:fill="auto"/>
            <w:vAlign w:val="center"/>
            <w:hideMark/>
          </w:tcPr>
          <w:p w14:paraId="60078E5C"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At least one staff member trained in NCDs</w:t>
            </w:r>
          </w:p>
        </w:tc>
        <w:tc>
          <w:tcPr>
            <w:tcW w:w="0" w:type="auto"/>
            <w:tcBorders>
              <w:top w:val="nil"/>
              <w:left w:val="nil"/>
              <w:bottom w:val="nil"/>
              <w:right w:val="nil"/>
            </w:tcBorders>
            <w:shd w:val="clear" w:color="auto" w:fill="auto"/>
            <w:vAlign w:val="center"/>
            <w:hideMark/>
          </w:tcPr>
          <w:p w14:paraId="1CED4F4B"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w:t>
            </w:r>
          </w:p>
        </w:tc>
        <w:tc>
          <w:tcPr>
            <w:tcW w:w="0" w:type="auto"/>
            <w:tcBorders>
              <w:top w:val="nil"/>
              <w:left w:val="nil"/>
              <w:bottom w:val="nil"/>
              <w:right w:val="nil"/>
            </w:tcBorders>
            <w:shd w:val="clear" w:color="auto" w:fill="auto"/>
            <w:noWrap/>
            <w:vAlign w:val="bottom"/>
            <w:hideMark/>
          </w:tcPr>
          <w:p w14:paraId="5707AAFD"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71.4</w:t>
            </w:r>
          </w:p>
        </w:tc>
      </w:tr>
      <w:tr w:rsidR="006F675A" w:rsidRPr="00C974EE" w14:paraId="3B27BD33" w14:textId="77777777" w:rsidTr="002A3206">
        <w:trPr>
          <w:trHeight w:val="292"/>
        </w:trPr>
        <w:tc>
          <w:tcPr>
            <w:tcW w:w="0" w:type="auto"/>
            <w:tcBorders>
              <w:top w:val="nil"/>
              <w:left w:val="nil"/>
              <w:bottom w:val="nil"/>
              <w:right w:val="nil"/>
            </w:tcBorders>
            <w:shd w:val="clear" w:color="auto" w:fill="auto"/>
            <w:vAlign w:val="center"/>
            <w:hideMark/>
          </w:tcPr>
          <w:p w14:paraId="5B68CD85"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Has essential NCD diagnostic equipment</w:t>
            </w:r>
          </w:p>
        </w:tc>
        <w:tc>
          <w:tcPr>
            <w:tcW w:w="0" w:type="auto"/>
            <w:tcBorders>
              <w:top w:val="nil"/>
              <w:left w:val="nil"/>
              <w:bottom w:val="nil"/>
              <w:right w:val="nil"/>
            </w:tcBorders>
            <w:shd w:val="clear" w:color="auto" w:fill="auto"/>
            <w:vAlign w:val="center"/>
            <w:hideMark/>
          </w:tcPr>
          <w:p w14:paraId="5EA159E1"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0" w:type="auto"/>
            <w:tcBorders>
              <w:top w:val="nil"/>
              <w:left w:val="nil"/>
              <w:bottom w:val="nil"/>
              <w:right w:val="nil"/>
            </w:tcBorders>
            <w:shd w:val="clear" w:color="auto" w:fill="auto"/>
            <w:noWrap/>
            <w:vAlign w:val="bottom"/>
            <w:hideMark/>
          </w:tcPr>
          <w:p w14:paraId="6F020286"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545CA811" w14:textId="77777777" w:rsidTr="002A3206">
        <w:trPr>
          <w:trHeight w:val="292"/>
        </w:trPr>
        <w:tc>
          <w:tcPr>
            <w:tcW w:w="0" w:type="auto"/>
            <w:tcBorders>
              <w:top w:val="nil"/>
              <w:left w:val="nil"/>
              <w:bottom w:val="nil"/>
              <w:right w:val="nil"/>
            </w:tcBorders>
            <w:shd w:val="clear" w:color="auto" w:fill="auto"/>
            <w:vAlign w:val="center"/>
            <w:hideMark/>
          </w:tcPr>
          <w:p w14:paraId="7E92245E"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Reports equipment as adequate for patient load</w:t>
            </w:r>
          </w:p>
        </w:tc>
        <w:tc>
          <w:tcPr>
            <w:tcW w:w="0" w:type="auto"/>
            <w:tcBorders>
              <w:top w:val="nil"/>
              <w:left w:val="nil"/>
              <w:bottom w:val="nil"/>
              <w:right w:val="nil"/>
            </w:tcBorders>
            <w:shd w:val="clear" w:color="auto" w:fill="auto"/>
            <w:vAlign w:val="center"/>
            <w:hideMark/>
          </w:tcPr>
          <w:p w14:paraId="478A17FE"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3</w:t>
            </w:r>
          </w:p>
        </w:tc>
        <w:tc>
          <w:tcPr>
            <w:tcW w:w="0" w:type="auto"/>
            <w:tcBorders>
              <w:top w:val="nil"/>
              <w:left w:val="nil"/>
              <w:bottom w:val="nil"/>
              <w:right w:val="nil"/>
            </w:tcBorders>
            <w:shd w:val="clear" w:color="auto" w:fill="auto"/>
            <w:noWrap/>
            <w:vAlign w:val="bottom"/>
            <w:hideMark/>
          </w:tcPr>
          <w:p w14:paraId="17C75034"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6F675A" w:rsidRPr="00C974EE" w14:paraId="696CF678" w14:textId="77777777" w:rsidTr="002A3206">
        <w:trPr>
          <w:trHeight w:val="351"/>
        </w:trPr>
        <w:tc>
          <w:tcPr>
            <w:tcW w:w="0" w:type="auto"/>
            <w:tcBorders>
              <w:top w:val="nil"/>
              <w:left w:val="nil"/>
              <w:bottom w:val="nil"/>
              <w:right w:val="nil"/>
            </w:tcBorders>
            <w:shd w:val="clear" w:color="auto" w:fill="auto"/>
            <w:vAlign w:val="center"/>
            <w:hideMark/>
          </w:tcPr>
          <w:p w14:paraId="01A87177"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Revenue Generation</w:t>
            </w:r>
          </w:p>
        </w:tc>
        <w:tc>
          <w:tcPr>
            <w:tcW w:w="0" w:type="auto"/>
            <w:tcBorders>
              <w:top w:val="nil"/>
              <w:left w:val="nil"/>
              <w:bottom w:val="nil"/>
              <w:right w:val="nil"/>
            </w:tcBorders>
            <w:shd w:val="clear" w:color="auto" w:fill="auto"/>
            <w:vAlign w:val="center"/>
            <w:hideMark/>
          </w:tcPr>
          <w:p w14:paraId="36159B2D"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75EEE8FC" w14:textId="47513744"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p>
        </w:tc>
      </w:tr>
      <w:tr w:rsidR="006F675A" w:rsidRPr="00C974EE" w14:paraId="12F289DC" w14:textId="77777777" w:rsidTr="002A3206">
        <w:trPr>
          <w:trHeight w:val="252"/>
        </w:trPr>
        <w:tc>
          <w:tcPr>
            <w:tcW w:w="0" w:type="auto"/>
            <w:tcBorders>
              <w:top w:val="nil"/>
              <w:left w:val="nil"/>
              <w:bottom w:val="single" w:sz="12" w:space="0" w:color="auto"/>
              <w:right w:val="nil"/>
            </w:tcBorders>
            <w:shd w:val="clear" w:color="auto" w:fill="auto"/>
            <w:vAlign w:val="center"/>
            <w:hideMark/>
          </w:tcPr>
          <w:p w14:paraId="14383B3A"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Generates revenue from user fees</w:t>
            </w:r>
          </w:p>
        </w:tc>
        <w:tc>
          <w:tcPr>
            <w:tcW w:w="0" w:type="auto"/>
            <w:tcBorders>
              <w:top w:val="nil"/>
              <w:left w:val="nil"/>
              <w:bottom w:val="single" w:sz="12" w:space="0" w:color="auto"/>
              <w:right w:val="nil"/>
            </w:tcBorders>
            <w:shd w:val="clear" w:color="auto" w:fill="auto"/>
            <w:vAlign w:val="center"/>
            <w:hideMark/>
          </w:tcPr>
          <w:p w14:paraId="4C44ED8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0" w:type="auto"/>
            <w:tcBorders>
              <w:top w:val="nil"/>
              <w:left w:val="nil"/>
              <w:bottom w:val="single" w:sz="12" w:space="0" w:color="auto"/>
              <w:right w:val="nil"/>
            </w:tcBorders>
            <w:shd w:val="clear" w:color="auto" w:fill="auto"/>
            <w:noWrap/>
            <w:vAlign w:val="bottom"/>
            <w:hideMark/>
          </w:tcPr>
          <w:p w14:paraId="0B59E6A9"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bookmarkEnd w:id="3"/>
    </w:tbl>
    <w:p w14:paraId="3A68473D" w14:textId="77777777" w:rsidR="004A2F03" w:rsidRDefault="004A2F03" w:rsidP="00C974EE">
      <w:pPr>
        <w:spacing w:line="360" w:lineRule="auto"/>
        <w:rPr>
          <w:rFonts w:ascii="Times New Roman" w:hAnsi="Times New Roman" w:cs="Times New Roman"/>
          <w:b/>
          <w:bCs/>
        </w:rPr>
      </w:pPr>
    </w:p>
    <w:p w14:paraId="3E0AB5AB" w14:textId="02881A5E" w:rsidR="00857F7A" w:rsidRDefault="00857F7A" w:rsidP="00C974EE">
      <w:pPr>
        <w:spacing w:line="360" w:lineRule="auto"/>
        <w:rPr>
          <w:rFonts w:ascii="Times New Roman" w:hAnsi="Times New Roman" w:cs="Times New Roman"/>
          <w:b/>
          <w:bCs/>
        </w:rPr>
      </w:pPr>
      <w:r w:rsidRPr="00857F7A">
        <w:rPr>
          <w:rFonts w:ascii="Times New Roman" w:hAnsi="Times New Roman" w:cs="Times New Roman"/>
          <w:b/>
          <w:bCs/>
        </w:rPr>
        <w:t>Sources of facility funding for NCD care</w:t>
      </w:r>
    </w:p>
    <w:p w14:paraId="2FF2C811" w14:textId="49425364" w:rsidR="003908B4" w:rsidRDefault="00857F7A" w:rsidP="00C974EE">
      <w:pPr>
        <w:spacing w:line="360" w:lineRule="auto"/>
        <w:rPr>
          <w:rFonts w:ascii="Times New Roman" w:hAnsi="Times New Roman" w:cs="Times New Roman"/>
        </w:rPr>
      </w:pPr>
      <w:r w:rsidRPr="00857F7A">
        <w:rPr>
          <w:rFonts w:ascii="Times New Roman" w:hAnsi="Times New Roman" w:cs="Times New Roman"/>
        </w:rPr>
        <w:t xml:space="preserve">The main funding sources were NHIF reimbursements (71.4%, n=5) and </w:t>
      </w:r>
      <w:proofErr w:type="spellStart"/>
      <w:r w:rsidRPr="00857F7A">
        <w:rPr>
          <w:rFonts w:ascii="Times New Roman" w:hAnsi="Times New Roman" w:cs="Times New Roman"/>
        </w:rPr>
        <w:t>Danida</w:t>
      </w:r>
      <w:proofErr w:type="spellEnd"/>
      <w:r w:rsidRPr="00857F7A">
        <w:rPr>
          <w:rFonts w:ascii="Times New Roman" w:hAnsi="Times New Roman" w:cs="Times New Roman"/>
        </w:rPr>
        <w:t xml:space="preserve"> support (71.4%, n=5). </w:t>
      </w:r>
      <w:r w:rsidR="00EA04F2" w:rsidRPr="00EA04F2">
        <w:rPr>
          <w:rFonts w:ascii="Times New Roman" w:hAnsi="Times New Roman" w:cs="Times New Roman"/>
        </w:rPr>
        <w:t>Only 28.6% (n=2) of facilities received direct county government funds through the Facility Improvement Fund (FIF). More than half (57.1%, n=4) relied on only two funding sources</w:t>
      </w:r>
      <w:r w:rsidR="00EA04F2">
        <w:rPr>
          <w:rFonts w:ascii="Times New Roman" w:hAnsi="Times New Roman" w:cs="Times New Roman"/>
        </w:rPr>
        <w:t xml:space="preserve"> </w:t>
      </w:r>
      <w:r w:rsidRPr="00857F7A">
        <w:rPr>
          <w:rFonts w:ascii="Times New Roman" w:hAnsi="Times New Roman" w:cs="Times New Roman"/>
        </w:rPr>
        <w:t>(Table 2)</w:t>
      </w:r>
      <w:r>
        <w:rPr>
          <w:rFonts w:ascii="Times New Roman" w:hAnsi="Times New Roman" w:cs="Times New Roman"/>
        </w:rPr>
        <w:t>.</w:t>
      </w:r>
    </w:p>
    <w:p w14:paraId="50726C58" w14:textId="3F3BCCB1" w:rsidR="004A2F03" w:rsidRPr="004A2F03" w:rsidRDefault="004A2F03" w:rsidP="004A2F03">
      <w:pPr>
        <w:pStyle w:val="Caption"/>
        <w:keepNext/>
        <w:rPr>
          <w:rFonts w:ascii="Times New Roman" w:hAnsi="Times New Roman" w:cs="Times New Roman"/>
          <w:b/>
          <w:bCs/>
          <w:color w:val="auto"/>
          <w:sz w:val="24"/>
          <w:szCs w:val="24"/>
        </w:rPr>
      </w:pPr>
      <w:r w:rsidRPr="004A2F03">
        <w:rPr>
          <w:rFonts w:ascii="Times New Roman" w:hAnsi="Times New Roman" w:cs="Times New Roman"/>
          <w:b/>
          <w:bCs/>
          <w:color w:val="auto"/>
          <w:sz w:val="24"/>
          <w:szCs w:val="24"/>
        </w:rPr>
        <w:t xml:space="preserve">Table </w:t>
      </w:r>
      <w:r w:rsidRPr="004A2F03">
        <w:rPr>
          <w:rFonts w:ascii="Times New Roman" w:hAnsi="Times New Roman" w:cs="Times New Roman"/>
          <w:b/>
          <w:bCs/>
          <w:color w:val="auto"/>
          <w:sz w:val="24"/>
          <w:szCs w:val="24"/>
        </w:rPr>
        <w:fldChar w:fldCharType="begin"/>
      </w:r>
      <w:r w:rsidRPr="004A2F03">
        <w:rPr>
          <w:rFonts w:ascii="Times New Roman" w:hAnsi="Times New Roman" w:cs="Times New Roman"/>
          <w:b/>
          <w:bCs/>
          <w:color w:val="auto"/>
          <w:sz w:val="24"/>
          <w:szCs w:val="24"/>
        </w:rPr>
        <w:instrText xml:space="preserve"> SEQ Table \* ARABIC </w:instrText>
      </w:r>
      <w:r w:rsidRPr="004A2F03">
        <w:rPr>
          <w:rFonts w:ascii="Times New Roman" w:hAnsi="Times New Roman" w:cs="Times New Roman"/>
          <w:b/>
          <w:bCs/>
          <w:color w:val="auto"/>
          <w:sz w:val="24"/>
          <w:szCs w:val="24"/>
        </w:rPr>
        <w:fldChar w:fldCharType="separate"/>
      </w:r>
      <w:r w:rsidR="00841E0F">
        <w:rPr>
          <w:rFonts w:ascii="Times New Roman" w:hAnsi="Times New Roman" w:cs="Times New Roman"/>
          <w:b/>
          <w:bCs/>
          <w:noProof/>
          <w:color w:val="auto"/>
          <w:sz w:val="24"/>
          <w:szCs w:val="24"/>
        </w:rPr>
        <w:t>2</w:t>
      </w:r>
      <w:r w:rsidRPr="004A2F03">
        <w:rPr>
          <w:rFonts w:ascii="Times New Roman" w:hAnsi="Times New Roman" w:cs="Times New Roman"/>
          <w:b/>
          <w:bCs/>
          <w:color w:val="auto"/>
          <w:sz w:val="24"/>
          <w:szCs w:val="24"/>
        </w:rPr>
        <w:fldChar w:fldCharType="end"/>
      </w:r>
      <w:r w:rsidRPr="004A2F03">
        <w:rPr>
          <w:rFonts w:ascii="Times New Roman" w:hAnsi="Times New Roman" w:cs="Times New Roman"/>
          <w:b/>
          <w:bCs/>
          <w:color w:val="auto"/>
          <w:sz w:val="24"/>
          <w:szCs w:val="24"/>
        </w:rPr>
        <w:t>: Sources of facility funding for NCD care (N=7)</w:t>
      </w:r>
    </w:p>
    <w:tbl>
      <w:tblPr>
        <w:tblW w:w="0" w:type="auto"/>
        <w:tblLayout w:type="fixed"/>
        <w:tblLook w:val="04A0" w:firstRow="1" w:lastRow="0" w:firstColumn="1" w:lastColumn="0" w:noHBand="0" w:noVBand="1"/>
      </w:tblPr>
      <w:tblGrid>
        <w:gridCol w:w="4817"/>
        <w:gridCol w:w="1423"/>
        <w:gridCol w:w="1809"/>
      </w:tblGrid>
      <w:tr w:rsidR="006F675A" w:rsidRPr="00C974EE" w14:paraId="188C7DA6" w14:textId="77777777" w:rsidTr="00ED5656">
        <w:trPr>
          <w:trHeight w:val="307"/>
        </w:trPr>
        <w:tc>
          <w:tcPr>
            <w:tcW w:w="4817" w:type="dxa"/>
            <w:tcBorders>
              <w:top w:val="single" w:sz="8" w:space="0" w:color="auto"/>
              <w:left w:val="nil"/>
              <w:bottom w:val="single" w:sz="12" w:space="0" w:color="auto"/>
              <w:right w:val="nil"/>
            </w:tcBorders>
            <w:shd w:val="clear" w:color="auto" w:fill="auto"/>
            <w:vAlign w:val="center"/>
            <w:hideMark/>
          </w:tcPr>
          <w:p w14:paraId="1186BCCE"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Indicator</w:t>
            </w:r>
          </w:p>
        </w:tc>
        <w:tc>
          <w:tcPr>
            <w:tcW w:w="1423" w:type="dxa"/>
            <w:tcBorders>
              <w:top w:val="single" w:sz="8" w:space="0" w:color="auto"/>
              <w:left w:val="nil"/>
              <w:bottom w:val="single" w:sz="12" w:space="0" w:color="auto"/>
              <w:right w:val="nil"/>
            </w:tcBorders>
            <w:shd w:val="clear" w:color="auto" w:fill="auto"/>
            <w:vAlign w:val="center"/>
            <w:hideMark/>
          </w:tcPr>
          <w:p w14:paraId="7905D637"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Number (n)</w:t>
            </w:r>
          </w:p>
        </w:tc>
        <w:tc>
          <w:tcPr>
            <w:tcW w:w="1809" w:type="dxa"/>
            <w:tcBorders>
              <w:top w:val="single" w:sz="8" w:space="0" w:color="auto"/>
              <w:left w:val="nil"/>
              <w:bottom w:val="single" w:sz="12" w:space="0" w:color="auto"/>
              <w:right w:val="nil"/>
            </w:tcBorders>
            <w:shd w:val="clear" w:color="auto" w:fill="auto"/>
            <w:vAlign w:val="center"/>
            <w:hideMark/>
          </w:tcPr>
          <w:p w14:paraId="6FF802B3"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Percentage (%)</w:t>
            </w:r>
          </w:p>
        </w:tc>
      </w:tr>
      <w:tr w:rsidR="006F675A" w:rsidRPr="00C974EE" w14:paraId="2563AC52" w14:textId="77777777" w:rsidTr="00ED5656">
        <w:trPr>
          <w:trHeight w:val="307"/>
        </w:trPr>
        <w:tc>
          <w:tcPr>
            <w:tcW w:w="4817" w:type="dxa"/>
            <w:tcBorders>
              <w:top w:val="nil"/>
              <w:left w:val="nil"/>
              <w:bottom w:val="nil"/>
              <w:right w:val="nil"/>
            </w:tcBorders>
            <w:shd w:val="clear" w:color="auto" w:fill="auto"/>
            <w:vAlign w:val="center"/>
            <w:hideMark/>
          </w:tcPr>
          <w:p w14:paraId="60BCFD14"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A. Frequency of Funding Sources Mentioned</w:t>
            </w:r>
          </w:p>
        </w:tc>
        <w:tc>
          <w:tcPr>
            <w:tcW w:w="1423" w:type="dxa"/>
            <w:tcBorders>
              <w:top w:val="nil"/>
              <w:left w:val="nil"/>
              <w:bottom w:val="nil"/>
              <w:right w:val="nil"/>
            </w:tcBorders>
            <w:shd w:val="clear" w:color="auto" w:fill="auto"/>
            <w:vAlign w:val="center"/>
            <w:hideMark/>
          </w:tcPr>
          <w:p w14:paraId="4D45D5CF"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1809" w:type="dxa"/>
            <w:tcBorders>
              <w:top w:val="nil"/>
              <w:left w:val="nil"/>
              <w:bottom w:val="nil"/>
              <w:right w:val="nil"/>
            </w:tcBorders>
            <w:shd w:val="clear" w:color="auto" w:fill="auto"/>
            <w:vAlign w:val="center"/>
            <w:hideMark/>
          </w:tcPr>
          <w:p w14:paraId="0B285579" w14:textId="77777777" w:rsidR="006F675A" w:rsidRPr="00C974EE" w:rsidRDefault="006F675A" w:rsidP="00C974EE">
            <w:pPr>
              <w:spacing w:after="0" w:line="360" w:lineRule="auto"/>
              <w:rPr>
                <w:rFonts w:ascii="Times New Roman" w:eastAsia="Times New Roman" w:hAnsi="Times New Roman" w:cs="Times New Roman"/>
                <w:kern w:val="0"/>
                <w:sz w:val="20"/>
                <w:szCs w:val="20"/>
                <w14:ligatures w14:val="none"/>
              </w:rPr>
            </w:pPr>
          </w:p>
        </w:tc>
      </w:tr>
      <w:tr w:rsidR="006F675A" w:rsidRPr="00C974EE" w14:paraId="33B71552" w14:textId="77777777" w:rsidTr="00ED5656">
        <w:trPr>
          <w:trHeight w:val="297"/>
        </w:trPr>
        <w:tc>
          <w:tcPr>
            <w:tcW w:w="4817" w:type="dxa"/>
            <w:tcBorders>
              <w:top w:val="nil"/>
              <w:left w:val="nil"/>
              <w:bottom w:val="nil"/>
              <w:right w:val="nil"/>
            </w:tcBorders>
            <w:shd w:val="clear" w:color="auto" w:fill="auto"/>
            <w:vAlign w:val="center"/>
            <w:hideMark/>
          </w:tcPr>
          <w:p w14:paraId="7BD68374"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NHIF</w:t>
            </w:r>
          </w:p>
        </w:tc>
        <w:tc>
          <w:tcPr>
            <w:tcW w:w="1423" w:type="dxa"/>
            <w:tcBorders>
              <w:top w:val="nil"/>
              <w:left w:val="nil"/>
              <w:bottom w:val="nil"/>
              <w:right w:val="nil"/>
            </w:tcBorders>
            <w:shd w:val="clear" w:color="auto" w:fill="auto"/>
            <w:vAlign w:val="center"/>
            <w:hideMark/>
          </w:tcPr>
          <w:p w14:paraId="6F7DE5C9"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w:t>
            </w:r>
          </w:p>
        </w:tc>
        <w:tc>
          <w:tcPr>
            <w:tcW w:w="1809" w:type="dxa"/>
            <w:tcBorders>
              <w:top w:val="nil"/>
              <w:left w:val="nil"/>
              <w:bottom w:val="nil"/>
              <w:right w:val="nil"/>
            </w:tcBorders>
            <w:shd w:val="clear" w:color="auto" w:fill="auto"/>
            <w:noWrap/>
            <w:vAlign w:val="bottom"/>
            <w:hideMark/>
          </w:tcPr>
          <w:p w14:paraId="4BE5388B"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71.4</w:t>
            </w:r>
          </w:p>
        </w:tc>
      </w:tr>
      <w:tr w:rsidR="006F675A" w:rsidRPr="00C974EE" w14:paraId="2FB556B6" w14:textId="77777777" w:rsidTr="00ED5656">
        <w:trPr>
          <w:trHeight w:val="297"/>
        </w:trPr>
        <w:tc>
          <w:tcPr>
            <w:tcW w:w="4817" w:type="dxa"/>
            <w:tcBorders>
              <w:top w:val="nil"/>
              <w:left w:val="nil"/>
              <w:bottom w:val="nil"/>
              <w:right w:val="nil"/>
            </w:tcBorders>
            <w:shd w:val="clear" w:color="auto" w:fill="auto"/>
            <w:vAlign w:val="center"/>
            <w:hideMark/>
          </w:tcPr>
          <w:p w14:paraId="11B9C90D"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proofErr w:type="spellStart"/>
            <w:r w:rsidRPr="00C974EE">
              <w:rPr>
                <w:rFonts w:ascii="Times New Roman" w:eastAsia="Times New Roman" w:hAnsi="Times New Roman" w:cs="Times New Roman"/>
                <w:color w:val="000000"/>
                <w:kern w:val="0"/>
                <w14:ligatures w14:val="none"/>
              </w:rPr>
              <w:t>Danida</w:t>
            </w:r>
            <w:proofErr w:type="spellEnd"/>
          </w:p>
        </w:tc>
        <w:tc>
          <w:tcPr>
            <w:tcW w:w="1423" w:type="dxa"/>
            <w:tcBorders>
              <w:top w:val="nil"/>
              <w:left w:val="nil"/>
              <w:bottom w:val="nil"/>
              <w:right w:val="nil"/>
            </w:tcBorders>
            <w:shd w:val="clear" w:color="auto" w:fill="auto"/>
            <w:vAlign w:val="center"/>
            <w:hideMark/>
          </w:tcPr>
          <w:p w14:paraId="1F62BE88"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w:t>
            </w:r>
          </w:p>
        </w:tc>
        <w:tc>
          <w:tcPr>
            <w:tcW w:w="1809" w:type="dxa"/>
            <w:tcBorders>
              <w:top w:val="nil"/>
              <w:left w:val="nil"/>
              <w:bottom w:val="nil"/>
              <w:right w:val="nil"/>
            </w:tcBorders>
            <w:shd w:val="clear" w:color="auto" w:fill="auto"/>
            <w:noWrap/>
            <w:vAlign w:val="bottom"/>
            <w:hideMark/>
          </w:tcPr>
          <w:p w14:paraId="2A3433D6"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71.4</w:t>
            </w:r>
          </w:p>
        </w:tc>
      </w:tr>
      <w:tr w:rsidR="006F675A" w:rsidRPr="00C974EE" w14:paraId="07F7D814" w14:textId="77777777" w:rsidTr="00ED5656">
        <w:trPr>
          <w:trHeight w:val="297"/>
        </w:trPr>
        <w:tc>
          <w:tcPr>
            <w:tcW w:w="4817" w:type="dxa"/>
            <w:tcBorders>
              <w:top w:val="nil"/>
              <w:left w:val="nil"/>
              <w:bottom w:val="nil"/>
              <w:right w:val="nil"/>
            </w:tcBorders>
            <w:shd w:val="clear" w:color="auto" w:fill="auto"/>
            <w:vAlign w:val="center"/>
            <w:hideMark/>
          </w:tcPr>
          <w:p w14:paraId="5ACC3FE9"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County Government / FIF</w:t>
            </w:r>
          </w:p>
        </w:tc>
        <w:tc>
          <w:tcPr>
            <w:tcW w:w="1423" w:type="dxa"/>
            <w:tcBorders>
              <w:top w:val="nil"/>
              <w:left w:val="nil"/>
              <w:bottom w:val="nil"/>
              <w:right w:val="nil"/>
            </w:tcBorders>
            <w:shd w:val="clear" w:color="auto" w:fill="auto"/>
            <w:vAlign w:val="center"/>
            <w:hideMark/>
          </w:tcPr>
          <w:p w14:paraId="68BCA589"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1809" w:type="dxa"/>
            <w:tcBorders>
              <w:top w:val="nil"/>
              <w:left w:val="nil"/>
              <w:bottom w:val="nil"/>
              <w:right w:val="nil"/>
            </w:tcBorders>
            <w:shd w:val="clear" w:color="auto" w:fill="auto"/>
            <w:noWrap/>
            <w:vAlign w:val="bottom"/>
            <w:hideMark/>
          </w:tcPr>
          <w:p w14:paraId="28275515"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01A49F58" w14:textId="77777777" w:rsidTr="00ED5656">
        <w:trPr>
          <w:trHeight w:val="297"/>
        </w:trPr>
        <w:tc>
          <w:tcPr>
            <w:tcW w:w="4817" w:type="dxa"/>
            <w:tcBorders>
              <w:top w:val="nil"/>
              <w:left w:val="nil"/>
              <w:bottom w:val="nil"/>
              <w:right w:val="nil"/>
            </w:tcBorders>
            <w:shd w:val="clear" w:color="auto" w:fill="auto"/>
            <w:vAlign w:val="center"/>
            <w:hideMark/>
          </w:tcPr>
          <w:p w14:paraId="4A293BC0"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User Fees</w:t>
            </w:r>
          </w:p>
        </w:tc>
        <w:tc>
          <w:tcPr>
            <w:tcW w:w="1423" w:type="dxa"/>
            <w:tcBorders>
              <w:top w:val="nil"/>
              <w:left w:val="nil"/>
              <w:bottom w:val="nil"/>
              <w:right w:val="nil"/>
            </w:tcBorders>
            <w:shd w:val="clear" w:color="auto" w:fill="auto"/>
            <w:vAlign w:val="center"/>
            <w:hideMark/>
          </w:tcPr>
          <w:p w14:paraId="2AE60F57"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1809" w:type="dxa"/>
            <w:tcBorders>
              <w:top w:val="nil"/>
              <w:left w:val="nil"/>
              <w:bottom w:val="nil"/>
              <w:right w:val="nil"/>
            </w:tcBorders>
            <w:shd w:val="clear" w:color="auto" w:fill="auto"/>
            <w:noWrap/>
            <w:vAlign w:val="bottom"/>
            <w:hideMark/>
          </w:tcPr>
          <w:p w14:paraId="56E7473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0120E2A7" w14:textId="77777777" w:rsidTr="00ED5656">
        <w:trPr>
          <w:trHeight w:val="297"/>
        </w:trPr>
        <w:tc>
          <w:tcPr>
            <w:tcW w:w="4817" w:type="dxa"/>
            <w:tcBorders>
              <w:top w:val="nil"/>
              <w:left w:val="nil"/>
              <w:bottom w:val="nil"/>
              <w:right w:val="nil"/>
            </w:tcBorders>
            <w:shd w:val="clear" w:color="auto" w:fill="auto"/>
            <w:vAlign w:val="center"/>
            <w:hideMark/>
          </w:tcPr>
          <w:p w14:paraId="23819E94"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M-PESA Foundation</w:t>
            </w:r>
          </w:p>
        </w:tc>
        <w:tc>
          <w:tcPr>
            <w:tcW w:w="1423" w:type="dxa"/>
            <w:tcBorders>
              <w:top w:val="nil"/>
              <w:left w:val="nil"/>
              <w:bottom w:val="nil"/>
              <w:right w:val="nil"/>
            </w:tcBorders>
            <w:shd w:val="clear" w:color="auto" w:fill="auto"/>
            <w:vAlign w:val="center"/>
            <w:hideMark/>
          </w:tcPr>
          <w:p w14:paraId="3EAD62AB"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w:t>
            </w:r>
          </w:p>
        </w:tc>
        <w:tc>
          <w:tcPr>
            <w:tcW w:w="1809" w:type="dxa"/>
            <w:tcBorders>
              <w:top w:val="nil"/>
              <w:left w:val="nil"/>
              <w:bottom w:val="nil"/>
              <w:right w:val="nil"/>
            </w:tcBorders>
            <w:shd w:val="clear" w:color="auto" w:fill="auto"/>
            <w:noWrap/>
            <w:vAlign w:val="bottom"/>
            <w:hideMark/>
          </w:tcPr>
          <w:p w14:paraId="1CAF035E"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14.3</w:t>
            </w:r>
          </w:p>
        </w:tc>
      </w:tr>
      <w:tr w:rsidR="006F675A" w:rsidRPr="00C974EE" w14:paraId="5F3A947F" w14:textId="77777777" w:rsidTr="00ED5656">
        <w:trPr>
          <w:trHeight w:val="297"/>
        </w:trPr>
        <w:tc>
          <w:tcPr>
            <w:tcW w:w="4817" w:type="dxa"/>
            <w:tcBorders>
              <w:top w:val="nil"/>
              <w:left w:val="nil"/>
              <w:bottom w:val="nil"/>
              <w:right w:val="nil"/>
            </w:tcBorders>
            <w:shd w:val="clear" w:color="auto" w:fill="auto"/>
            <w:vAlign w:val="center"/>
            <w:hideMark/>
          </w:tcPr>
          <w:p w14:paraId="65A3C84E"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Other NGO Support</w:t>
            </w:r>
          </w:p>
        </w:tc>
        <w:tc>
          <w:tcPr>
            <w:tcW w:w="1423" w:type="dxa"/>
            <w:tcBorders>
              <w:top w:val="nil"/>
              <w:left w:val="nil"/>
              <w:bottom w:val="nil"/>
              <w:right w:val="nil"/>
            </w:tcBorders>
            <w:shd w:val="clear" w:color="auto" w:fill="auto"/>
            <w:vAlign w:val="center"/>
            <w:hideMark/>
          </w:tcPr>
          <w:p w14:paraId="5748358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0</w:t>
            </w:r>
          </w:p>
        </w:tc>
        <w:tc>
          <w:tcPr>
            <w:tcW w:w="1809" w:type="dxa"/>
            <w:tcBorders>
              <w:top w:val="nil"/>
              <w:left w:val="nil"/>
              <w:bottom w:val="nil"/>
              <w:right w:val="nil"/>
            </w:tcBorders>
            <w:shd w:val="clear" w:color="auto" w:fill="auto"/>
            <w:noWrap/>
            <w:vAlign w:val="bottom"/>
            <w:hideMark/>
          </w:tcPr>
          <w:p w14:paraId="083B1FAB"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0</w:t>
            </w:r>
          </w:p>
        </w:tc>
      </w:tr>
      <w:tr w:rsidR="006F675A" w:rsidRPr="00C974EE" w14:paraId="2FC94247" w14:textId="77777777" w:rsidTr="00ED5656">
        <w:trPr>
          <w:trHeight w:val="297"/>
        </w:trPr>
        <w:tc>
          <w:tcPr>
            <w:tcW w:w="4817" w:type="dxa"/>
            <w:tcBorders>
              <w:top w:val="nil"/>
              <w:left w:val="nil"/>
              <w:bottom w:val="nil"/>
              <w:right w:val="nil"/>
            </w:tcBorders>
            <w:shd w:val="clear" w:color="auto" w:fill="auto"/>
            <w:vAlign w:val="center"/>
            <w:hideMark/>
          </w:tcPr>
          <w:p w14:paraId="655FC0DF"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B. Diversity of Funding Sources per Facility</w:t>
            </w:r>
          </w:p>
        </w:tc>
        <w:tc>
          <w:tcPr>
            <w:tcW w:w="1423" w:type="dxa"/>
            <w:tcBorders>
              <w:top w:val="nil"/>
              <w:left w:val="nil"/>
              <w:bottom w:val="nil"/>
              <w:right w:val="nil"/>
            </w:tcBorders>
            <w:shd w:val="clear" w:color="auto" w:fill="auto"/>
            <w:vAlign w:val="center"/>
            <w:hideMark/>
          </w:tcPr>
          <w:p w14:paraId="25772B11"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p>
        </w:tc>
        <w:tc>
          <w:tcPr>
            <w:tcW w:w="1809" w:type="dxa"/>
            <w:tcBorders>
              <w:top w:val="nil"/>
              <w:left w:val="nil"/>
              <w:bottom w:val="nil"/>
              <w:right w:val="nil"/>
            </w:tcBorders>
            <w:shd w:val="clear" w:color="auto" w:fill="auto"/>
            <w:noWrap/>
            <w:vAlign w:val="bottom"/>
            <w:hideMark/>
          </w:tcPr>
          <w:p w14:paraId="67BBEEE9" w14:textId="77777777" w:rsidR="006F675A" w:rsidRPr="00C974EE" w:rsidRDefault="006F675A" w:rsidP="00C974EE">
            <w:pPr>
              <w:spacing w:after="0" w:line="360" w:lineRule="auto"/>
              <w:rPr>
                <w:rFonts w:ascii="Times New Roman" w:eastAsia="Times New Roman" w:hAnsi="Times New Roman" w:cs="Times New Roman"/>
                <w:kern w:val="0"/>
                <w:sz w:val="20"/>
                <w:szCs w:val="20"/>
                <w14:ligatures w14:val="none"/>
              </w:rPr>
            </w:pPr>
          </w:p>
        </w:tc>
      </w:tr>
      <w:tr w:rsidR="006F675A" w:rsidRPr="00C974EE" w14:paraId="78FC704E" w14:textId="77777777" w:rsidTr="00ED5656">
        <w:trPr>
          <w:trHeight w:val="297"/>
        </w:trPr>
        <w:tc>
          <w:tcPr>
            <w:tcW w:w="4817" w:type="dxa"/>
            <w:tcBorders>
              <w:top w:val="nil"/>
              <w:left w:val="nil"/>
              <w:bottom w:val="nil"/>
              <w:right w:val="nil"/>
            </w:tcBorders>
            <w:shd w:val="clear" w:color="auto" w:fill="auto"/>
            <w:vAlign w:val="center"/>
            <w:hideMark/>
          </w:tcPr>
          <w:p w14:paraId="57006B45"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One Source</w:t>
            </w:r>
          </w:p>
        </w:tc>
        <w:tc>
          <w:tcPr>
            <w:tcW w:w="1423" w:type="dxa"/>
            <w:tcBorders>
              <w:top w:val="nil"/>
              <w:left w:val="nil"/>
              <w:bottom w:val="nil"/>
              <w:right w:val="nil"/>
            </w:tcBorders>
            <w:shd w:val="clear" w:color="auto" w:fill="auto"/>
            <w:vAlign w:val="center"/>
            <w:hideMark/>
          </w:tcPr>
          <w:p w14:paraId="462008DD"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1809" w:type="dxa"/>
            <w:tcBorders>
              <w:top w:val="nil"/>
              <w:left w:val="nil"/>
              <w:bottom w:val="nil"/>
              <w:right w:val="nil"/>
            </w:tcBorders>
            <w:shd w:val="clear" w:color="auto" w:fill="auto"/>
            <w:noWrap/>
            <w:vAlign w:val="bottom"/>
            <w:hideMark/>
          </w:tcPr>
          <w:p w14:paraId="5600D51C"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60575B2A" w14:textId="77777777" w:rsidTr="00ED5656">
        <w:trPr>
          <w:trHeight w:val="297"/>
        </w:trPr>
        <w:tc>
          <w:tcPr>
            <w:tcW w:w="4817" w:type="dxa"/>
            <w:tcBorders>
              <w:top w:val="nil"/>
              <w:left w:val="nil"/>
              <w:bottom w:val="nil"/>
              <w:right w:val="nil"/>
            </w:tcBorders>
            <w:shd w:val="clear" w:color="auto" w:fill="auto"/>
            <w:vAlign w:val="center"/>
            <w:hideMark/>
          </w:tcPr>
          <w:p w14:paraId="076D5813"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Two Sources</w:t>
            </w:r>
          </w:p>
        </w:tc>
        <w:tc>
          <w:tcPr>
            <w:tcW w:w="1423" w:type="dxa"/>
            <w:tcBorders>
              <w:top w:val="nil"/>
              <w:left w:val="nil"/>
              <w:bottom w:val="nil"/>
              <w:right w:val="nil"/>
            </w:tcBorders>
            <w:shd w:val="clear" w:color="auto" w:fill="auto"/>
            <w:vAlign w:val="center"/>
            <w:hideMark/>
          </w:tcPr>
          <w:p w14:paraId="08D88E92"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w:t>
            </w:r>
          </w:p>
        </w:tc>
        <w:tc>
          <w:tcPr>
            <w:tcW w:w="1809" w:type="dxa"/>
            <w:tcBorders>
              <w:top w:val="nil"/>
              <w:left w:val="nil"/>
              <w:bottom w:val="nil"/>
              <w:right w:val="nil"/>
            </w:tcBorders>
            <w:shd w:val="clear" w:color="auto" w:fill="auto"/>
            <w:noWrap/>
            <w:vAlign w:val="bottom"/>
            <w:hideMark/>
          </w:tcPr>
          <w:p w14:paraId="76E23D52"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57.1</w:t>
            </w:r>
          </w:p>
        </w:tc>
      </w:tr>
      <w:tr w:rsidR="006F675A" w:rsidRPr="00C974EE" w14:paraId="6D3E2AED" w14:textId="77777777" w:rsidTr="00ED5656">
        <w:trPr>
          <w:trHeight w:val="307"/>
        </w:trPr>
        <w:tc>
          <w:tcPr>
            <w:tcW w:w="4817" w:type="dxa"/>
            <w:tcBorders>
              <w:top w:val="nil"/>
              <w:left w:val="nil"/>
              <w:bottom w:val="single" w:sz="12" w:space="0" w:color="auto"/>
              <w:right w:val="nil"/>
            </w:tcBorders>
            <w:shd w:val="clear" w:color="auto" w:fill="auto"/>
            <w:vAlign w:val="center"/>
            <w:hideMark/>
          </w:tcPr>
          <w:p w14:paraId="12513526"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Three or More Sources</w:t>
            </w:r>
          </w:p>
        </w:tc>
        <w:tc>
          <w:tcPr>
            <w:tcW w:w="1423" w:type="dxa"/>
            <w:tcBorders>
              <w:top w:val="nil"/>
              <w:left w:val="nil"/>
              <w:bottom w:val="single" w:sz="12" w:space="0" w:color="auto"/>
              <w:right w:val="nil"/>
            </w:tcBorders>
            <w:shd w:val="clear" w:color="auto" w:fill="auto"/>
            <w:vAlign w:val="center"/>
            <w:hideMark/>
          </w:tcPr>
          <w:p w14:paraId="5070B2F1"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w:t>
            </w:r>
          </w:p>
        </w:tc>
        <w:tc>
          <w:tcPr>
            <w:tcW w:w="1809" w:type="dxa"/>
            <w:tcBorders>
              <w:top w:val="nil"/>
              <w:left w:val="nil"/>
              <w:bottom w:val="single" w:sz="12" w:space="0" w:color="auto"/>
              <w:right w:val="nil"/>
            </w:tcBorders>
            <w:shd w:val="clear" w:color="auto" w:fill="auto"/>
            <w:noWrap/>
            <w:vAlign w:val="bottom"/>
            <w:hideMark/>
          </w:tcPr>
          <w:p w14:paraId="0E8DB3FA"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14.3</w:t>
            </w:r>
          </w:p>
        </w:tc>
      </w:tr>
      <w:tr w:rsidR="006F675A" w:rsidRPr="00C974EE" w14:paraId="2C6134EA" w14:textId="77777777" w:rsidTr="00ED5656">
        <w:trPr>
          <w:trHeight w:val="307"/>
        </w:trPr>
        <w:tc>
          <w:tcPr>
            <w:tcW w:w="8049" w:type="dxa"/>
            <w:gridSpan w:val="3"/>
            <w:tcBorders>
              <w:top w:val="nil"/>
              <w:left w:val="nil"/>
              <w:bottom w:val="nil"/>
              <w:right w:val="nil"/>
            </w:tcBorders>
            <w:shd w:val="clear" w:color="auto" w:fill="auto"/>
            <w:vAlign w:val="center"/>
            <w:hideMark/>
          </w:tcPr>
          <w:p w14:paraId="0501AD47" w14:textId="77777777" w:rsidR="006F675A" w:rsidRPr="00C974EE" w:rsidRDefault="006F675A" w:rsidP="00C974EE">
            <w:pPr>
              <w:spacing w:after="0" w:line="360" w:lineRule="auto"/>
              <w:rPr>
                <w:rFonts w:ascii="Times New Roman" w:eastAsia="Times New Roman" w:hAnsi="Times New Roman" w:cs="Times New Roman"/>
                <w:i/>
                <w:iCs/>
                <w:color w:val="000000"/>
                <w:kern w:val="0"/>
                <w14:ligatures w14:val="none"/>
              </w:rPr>
            </w:pPr>
            <w:r w:rsidRPr="00C974EE">
              <w:rPr>
                <w:rFonts w:ascii="Times New Roman" w:eastAsia="Times New Roman" w:hAnsi="Times New Roman" w:cs="Times New Roman"/>
                <w:i/>
                <w:iCs/>
                <w:color w:val="000000"/>
                <w:kern w:val="0"/>
                <w14:ligatures w14:val="none"/>
              </w:rPr>
              <w:t>Note: N=7 facilities. Sources are not mutually exclusive.</w:t>
            </w:r>
          </w:p>
        </w:tc>
      </w:tr>
    </w:tbl>
    <w:p w14:paraId="300FB4D0" w14:textId="77777777" w:rsidR="00EA04F2" w:rsidRDefault="00EA04F2" w:rsidP="00857F7A">
      <w:pPr>
        <w:spacing w:line="360" w:lineRule="auto"/>
        <w:rPr>
          <w:rFonts w:ascii="Times New Roman" w:hAnsi="Times New Roman" w:cs="Times New Roman"/>
          <w:i/>
          <w:iCs/>
        </w:rPr>
      </w:pPr>
      <w:r w:rsidRPr="00EA04F2">
        <w:rPr>
          <w:rFonts w:ascii="Times New Roman" w:hAnsi="Times New Roman" w:cs="Times New Roman"/>
        </w:rPr>
        <w:t>Facility in-charges reported that these funds were neither sufficient nor specifically designated for chronic disease management:</w:t>
      </w:r>
      <w:r w:rsidRPr="00EA04F2">
        <w:rPr>
          <w:rFonts w:ascii="Times New Roman" w:hAnsi="Times New Roman" w:cs="Times New Roman"/>
          <w:i/>
          <w:iCs/>
        </w:rPr>
        <w:t xml:space="preserve"> </w:t>
      </w:r>
    </w:p>
    <w:p w14:paraId="21A4113D" w14:textId="56AD4B92" w:rsidR="00857F7A" w:rsidRPr="00857F7A" w:rsidRDefault="00857F7A" w:rsidP="00857F7A">
      <w:pPr>
        <w:spacing w:line="360" w:lineRule="auto"/>
        <w:rPr>
          <w:rFonts w:ascii="Times New Roman" w:hAnsi="Times New Roman" w:cs="Times New Roman"/>
        </w:rPr>
      </w:pPr>
      <w:r w:rsidRPr="00E1718C">
        <w:rPr>
          <w:rFonts w:ascii="Times New Roman" w:hAnsi="Times New Roman" w:cs="Times New Roman"/>
          <w:i/>
          <w:iCs/>
        </w:rPr>
        <w:t>“We cannot specifically say this money is for NCDs. It’s all pooled for many competing needs.”</w:t>
      </w:r>
      <w:r w:rsidRPr="00857F7A">
        <w:rPr>
          <w:rFonts w:ascii="Times New Roman" w:hAnsi="Times New Roman" w:cs="Times New Roman"/>
        </w:rPr>
        <w:t xml:space="preserve"> (</w:t>
      </w:r>
      <w:r w:rsidR="0086349B" w:rsidRPr="0086349B">
        <w:rPr>
          <w:rFonts w:ascii="Times New Roman" w:hAnsi="Times New Roman" w:cs="Times New Roman"/>
        </w:rPr>
        <w:t>In-charge, Level 3 facility</w:t>
      </w:r>
      <w:r w:rsidRPr="00857F7A">
        <w:rPr>
          <w:rFonts w:ascii="Times New Roman" w:hAnsi="Times New Roman" w:cs="Times New Roman"/>
        </w:rPr>
        <w:t>)</w:t>
      </w:r>
    </w:p>
    <w:p w14:paraId="2E360D1B"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 xml:space="preserve">In-charges from facilities supported by </w:t>
      </w:r>
      <w:proofErr w:type="spellStart"/>
      <w:r w:rsidRPr="00857F7A">
        <w:rPr>
          <w:rFonts w:ascii="Times New Roman" w:hAnsi="Times New Roman" w:cs="Times New Roman"/>
        </w:rPr>
        <w:t>Danida</w:t>
      </w:r>
      <w:proofErr w:type="spellEnd"/>
      <w:r w:rsidRPr="00857F7A">
        <w:rPr>
          <w:rFonts w:ascii="Times New Roman" w:hAnsi="Times New Roman" w:cs="Times New Roman"/>
        </w:rPr>
        <w:t xml:space="preserve"> noted that reliance on donor funding created uncertainty, while those receiving NHIF reimbursements cited payment delays of two to four months, limiting planning capacity:</w:t>
      </w:r>
    </w:p>
    <w:p w14:paraId="6AA18445" w14:textId="78F6A826" w:rsidR="00857F7A" w:rsidRPr="00857F7A" w:rsidRDefault="00857F7A" w:rsidP="00857F7A">
      <w:pPr>
        <w:spacing w:line="360" w:lineRule="auto"/>
        <w:rPr>
          <w:rFonts w:ascii="Times New Roman" w:hAnsi="Times New Roman" w:cs="Times New Roman"/>
        </w:rPr>
      </w:pPr>
      <w:r w:rsidRPr="00E1718C">
        <w:rPr>
          <w:rFonts w:ascii="Times New Roman" w:hAnsi="Times New Roman" w:cs="Times New Roman"/>
          <w:i/>
          <w:iCs/>
        </w:rPr>
        <w:t>“NHIF takes months to reimburse—sometimes three or four months. How do you plan with that?”</w:t>
      </w:r>
      <w:r w:rsidRPr="00857F7A">
        <w:rPr>
          <w:rFonts w:ascii="Times New Roman" w:hAnsi="Times New Roman" w:cs="Times New Roman"/>
        </w:rPr>
        <w:t xml:space="preserve"> (</w:t>
      </w:r>
      <w:r w:rsidR="0086349B" w:rsidRPr="0086349B">
        <w:rPr>
          <w:rFonts w:ascii="Times New Roman" w:hAnsi="Times New Roman" w:cs="Times New Roman"/>
        </w:rPr>
        <w:t>In-charge, Level 3 facility</w:t>
      </w:r>
      <w:r w:rsidRPr="00857F7A">
        <w:rPr>
          <w:rFonts w:ascii="Times New Roman" w:hAnsi="Times New Roman" w:cs="Times New Roman"/>
        </w:rPr>
        <w:t>)</w:t>
      </w:r>
    </w:p>
    <w:p w14:paraId="515C4580"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County government support was described as minimal or irregular:</w:t>
      </w:r>
    </w:p>
    <w:p w14:paraId="5BE311B2" w14:textId="77777777" w:rsidR="00857F7A" w:rsidRPr="00857F7A" w:rsidRDefault="00857F7A" w:rsidP="00857F7A">
      <w:pPr>
        <w:spacing w:line="360" w:lineRule="auto"/>
        <w:rPr>
          <w:rFonts w:ascii="Times New Roman" w:hAnsi="Times New Roman" w:cs="Times New Roman"/>
        </w:rPr>
      </w:pPr>
      <w:r w:rsidRPr="00E1718C">
        <w:rPr>
          <w:rFonts w:ascii="Times New Roman" w:hAnsi="Times New Roman" w:cs="Times New Roman"/>
          <w:i/>
          <w:iCs/>
        </w:rPr>
        <w:t>“County support is very limited. We depend mainly on what we generate or on NHIF, but even those are unpredictable.”</w:t>
      </w:r>
      <w:r w:rsidRPr="00857F7A">
        <w:rPr>
          <w:rFonts w:ascii="Times New Roman" w:hAnsi="Times New Roman" w:cs="Times New Roman"/>
        </w:rPr>
        <w:t xml:space="preserve"> (In-charge, Level 4)</w:t>
      </w:r>
    </w:p>
    <w:p w14:paraId="54B8C74A" w14:textId="77777777" w:rsidR="00857F7A" w:rsidRDefault="00857F7A" w:rsidP="00C974EE">
      <w:pPr>
        <w:spacing w:line="360" w:lineRule="auto"/>
        <w:rPr>
          <w:rFonts w:ascii="Times New Roman" w:hAnsi="Times New Roman" w:cs="Times New Roman"/>
          <w:b/>
          <w:bCs/>
        </w:rPr>
      </w:pPr>
      <w:r w:rsidRPr="00857F7A">
        <w:rPr>
          <w:rFonts w:ascii="Times New Roman" w:hAnsi="Times New Roman" w:cs="Times New Roman"/>
          <w:b/>
          <w:bCs/>
        </w:rPr>
        <w:t>Planning and budgeting for NCD services</w:t>
      </w:r>
    </w:p>
    <w:p w14:paraId="55B12EF6" w14:textId="5D3257A0" w:rsidR="00825312" w:rsidRDefault="00857F7A" w:rsidP="00C974EE">
      <w:pPr>
        <w:spacing w:line="360" w:lineRule="auto"/>
        <w:rPr>
          <w:rFonts w:ascii="Times New Roman" w:hAnsi="Times New Roman" w:cs="Times New Roman"/>
        </w:rPr>
      </w:pPr>
      <w:r w:rsidRPr="00857F7A">
        <w:rPr>
          <w:rFonts w:ascii="Times New Roman" w:hAnsi="Times New Roman" w:cs="Times New Roman"/>
        </w:rPr>
        <w:t>All seven facilities reported preparing annual workplans and budgets, fulfilling administrative requirements (Table 3). However, none demonstrated comprehensive NCD-specific planning</w:t>
      </w:r>
      <w:r w:rsidR="00EA04F2">
        <w:rPr>
          <w:rFonts w:ascii="Times New Roman" w:hAnsi="Times New Roman" w:cs="Times New Roman"/>
        </w:rPr>
        <w:t xml:space="preserve">, </w:t>
      </w:r>
      <w:r w:rsidRPr="00857F7A">
        <w:rPr>
          <w:rFonts w:ascii="Times New Roman" w:hAnsi="Times New Roman" w:cs="Times New Roman"/>
        </w:rPr>
        <w:t>that is, having a workplan, budget, and dedicated budget line for NCDs.</w:t>
      </w:r>
      <w:r>
        <w:rPr>
          <w:rFonts w:ascii="Times New Roman" w:hAnsi="Times New Roman" w:cs="Times New Roman"/>
        </w:rPr>
        <w:t xml:space="preserve"> </w:t>
      </w:r>
      <w:r w:rsidR="00825312" w:rsidRPr="00C974EE">
        <w:rPr>
          <w:rFonts w:ascii="Times New Roman" w:hAnsi="Times New Roman" w:cs="Times New Roman"/>
        </w:rPr>
        <w:t>While a majority (71.4%, n=5) reported considering NCDs in their budgets, not a single facility (0%) achieved what we defined as comprehensive NCD planning</w:t>
      </w:r>
      <w:r w:rsidR="00C4205D" w:rsidRPr="00C974EE">
        <w:rPr>
          <w:rFonts w:ascii="Times New Roman" w:hAnsi="Times New Roman" w:cs="Times New Roman"/>
        </w:rPr>
        <w:t xml:space="preserve"> </w:t>
      </w:r>
      <w:r w:rsidR="00825312" w:rsidRPr="00C974EE">
        <w:rPr>
          <w:rFonts w:ascii="Times New Roman" w:hAnsi="Times New Roman" w:cs="Times New Roman"/>
        </w:rPr>
        <w:t xml:space="preserve">having a work plan, a budget, </w:t>
      </w:r>
      <w:r w:rsidR="00825312" w:rsidRPr="00C974EE">
        <w:rPr>
          <w:rFonts w:ascii="Times New Roman" w:hAnsi="Times New Roman" w:cs="Times New Roman"/>
          <w:i/>
          <w:iCs/>
        </w:rPr>
        <w:t>and</w:t>
      </w:r>
      <w:r w:rsidR="00825312" w:rsidRPr="00C974EE">
        <w:rPr>
          <w:rFonts w:ascii="Times New Roman" w:hAnsi="Times New Roman" w:cs="Times New Roman"/>
        </w:rPr>
        <w:t xml:space="preserve"> specific, dedicated consideration for NCDs within that budget.</w:t>
      </w:r>
    </w:p>
    <w:p w14:paraId="3EA26253" w14:textId="6B5A0BC4" w:rsidR="004A2F03" w:rsidRPr="004A2F03" w:rsidRDefault="004A2F03" w:rsidP="004A2F03">
      <w:pPr>
        <w:pStyle w:val="Caption"/>
        <w:keepNext/>
        <w:rPr>
          <w:rFonts w:ascii="Times New Roman" w:hAnsi="Times New Roman" w:cs="Times New Roman"/>
          <w:b/>
          <w:bCs/>
          <w:color w:val="auto"/>
          <w:sz w:val="24"/>
          <w:szCs w:val="24"/>
        </w:rPr>
      </w:pPr>
      <w:r w:rsidRPr="004A2F03">
        <w:rPr>
          <w:rFonts w:ascii="Times New Roman" w:hAnsi="Times New Roman" w:cs="Times New Roman"/>
          <w:b/>
          <w:bCs/>
          <w:color w:val="auto"/>
          <w:sz w:val="24"/>
          <w:szCs w:val="24"/>
        </w:rPr>
        <w:t xml:space="preserve">Table </w:t>
      </w:r>
      <w:r w:rsidRPr="004A2F03">
        <w:rPr>
          <w:rFonts w:ascii="Times New Roman" w:hAnsi="Times New Roman" w:cs="Times New Roman"/>
          <w:b/>
          <w:bCs/>
          <w:color w:val="auto"/>
          <w:sz w:val="24"/>
          <w:szCs w:val="24"/>
        </w:rPr>
        <w:fldChar w:fldCharType="begin"/>
      </w:r>
      <w:r w:rsidRPr="004A2F03">
        <w:rPr>
          <w:rFonts w:ascii="Times New Roman" w:hAnsi="Times New Roman" w:cs="Times New Roman"/>
          <w:b/>
          <w:bCs/>
          <w:color w:val="auto"/>
          <w:sz w:val="24"/>
          <w:szCs w:val="24"/>
        </w:rPr>
        <w:instrText xml:space="preserve"> SEQ Table \* ARABIC </w:instrText>
      </w:r>
      <w:r w:rsidRPr="004A2F03">
        <w:rPr>
          <w:rFonts w:ascii="Times New Roman" w:hAnsi="Times New Roman" w:cs="Times New Roman"/>
          <w:b/>
          <w:bCs/>
          <w:color w:val="auto"/>
          <w:sz w:val="24"/>
          <w:szCs w:val="24"/>
        </w:rPr>
        <w:fldChar w:fldCharType="separate"/>
      </w:r>
      <w:r w:rsidR="00841E0F">
        <w:rPr>
          <w:rFonts w:ascii="Times New Roman" w:hAnsi="Times New Roman" w:cs="Times New Roman"/>
          <w:b/>
          <w:bCs/>
          <w:noProof/>
          <w:color w:val="auto"/>
          <w:sz w:val="24"/>
          <w:szCs w:val="24"/>
        </w:rPr>
        <w:t>3</w:t>
      </w:r>
      <w:r w:rsidRPr="004A2F03">
        <w:rPr>
          <w:rFonts w:ascii="Times New Roman" w:hAnsi="Times New Roman" w:cs="Times New Roman"/>
          <w:b/>
          <w:bCs/>
          <w:color w:val="auto"/>
          <w:sz w:val="24"/>
          <w:szCs w:val="24"/>
        </w:rPr>
        <w:fldChar w:fldCharType="end"/>
      </w:r>
      <w:r w:rsidRPr="004A2F03">
        <w:rPr>
          <w:rFonts w:ascii="Times New Roman" w:hAnsi="Times New Roman" w:cs="Times New Roman"/>
          <w:b/>
          <w:bCs/>
          <w:color w:val="auto"/>
          <w:sz w:val="24"/>
          <w:szCs w:val="24"/>
        </w:rPr>
        <w:t>: Planning and budgeting practices for NCD services (N=7)</w:t>
      </w:r>
    </w:p>
    <w:tbl>
      <w:tblPr>
        <w:tblW w:w="5000" w:type="pct"/>
        <w:tblLook w:val="04A0" w:firstRow="1" w:lastRow="0" w:firstColumn="1" w:lastColumn="0" w:noHBand="0" w:noVBand="1"/>
      </w:tblPr>
      <w:tblGrid>
        <w:gridCol w:w="6820"/>
        <w:gridCol w:w="1756"/>
        <w:gridCol w:w="784"/>
      </w:tblGrid>
      <w:tr w:rsidR="006F675A" w:rsidRPr="00C974EE" w14:paraId="14B3C8C0" w14:textId="77777777" w:rsidTr="0032158B">
        <w:trPr>
          <w:trHeight w:val="300"/>
        </w:trPr>
        <w:tc>
          <w:tcPr>
            <w:tcW w:w="3643" w:type="pct"/>
            <w:tcBorders>
              <w:top w:val="single" w:sz="8" w:space="0" w:color="auto"/>
              <w:left w:val="nil"/>
              <w:bottom w:val="single" w:sz="12" w:space="0" w:color="auto"/>
              <w:right w:val="nil"/>
            </w:tcBorders>
            <w:shd w:val="clear" w:color="auto" w:fill="auto"/>
            <w:vAlign w:val="center"/>
            <w:hideMark/>
          </w:tcPr>
          <w:p w14:paraId="7A7BFE64" w14:textId="77777777"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Planning &amp; Budgeting Practice</w:t>
            </w:r>
          </w:p>
        </w:tc>
        <w:tc>
          <w:tcPr>
            <w:tcW w:w="938" w:type="pct"/>
            <w:tcBorders>
              <w:top w:val="single" w:sz="8" w:space="0" w:color="auto"/>
              <w:left w:val="nil"/>
              <w:bottom w:val="single" w:sz="12" w:space="0" w:color="auto"/>
              <w:right w:val="nil"/>
            </w:tcBorders>
            <w:shd w:val="clear" w:color="auto" w:fill="auto"/>
            <w:vAlign w:val="center"/>
            <w:hideMark/>
          </w:tcPr>
          <w:p w14:paraId="01DB2BAE" w14:textId="77777777" w:rsidR="006F675A" w:rsidRPr="00C974EE" w:rsidRDefault="006F675A" w:rsidP="00C974EE">
            <w:pPr>
              <w:spacing w:after="0" w:line="360" w:lineRule="auto"/>
              <w:jc w:val="right"/>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Number (n)</w:t>
            </w:r>
          </w:p>
        </w:tc>
        <w:tc>
          <w:tcPr>
            <w:tcW w:w="419" w:type="pct"/>
            <w:tcBorders>
              <w:top w:val="single" w:sz="8" w:space="0" w:color="auto"/>
              <w:left w:val="nil"/>
              <w:bottom w:val="single" w:sz="12" w:space="0" w:color="auto"/>
              <w:right w:val="nil"/>
            </w:tcBorders>
            <w:shd w:val="clear" w:color="auto" w:fill="auto"/>
            <w:vAlign w:val="center"/>
            <w:hideMark/>
          </w:tcPr>
          <w:p w14:paraId="502774AC" w14:textId="27CA0A42" w:rsidR="006F675A" w:rsidRPr="00C974EE" w:rsidRDefault="006F675A" w:rsidP="00C974EE">
            <w:pPr>
              <w:spacing w:after="0" w:line="360" w:lineRule="auto"/>
              <w:jc w:val="right"/>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w:t>
            </w:r>
          </w:p>
        </w:tc>
      </w:tr>
      <w:tr w:rsidR="006F675A" w:rsidRPr="00C974EE" w14:paraId="528ACC7B" w14:textId="77777777" w:rsidTr="0032158B">
        <w:trPr>
          <w:trHeight w:val="300"/>
        </w:trPr>
        <w:tc>
          <w:tcPr>
            <w:tcW w:w="3643" w:type="pct"/>
            <w:tcBorders>
              <w:top w:val="nil"/>
              <w:left w:val="nil"/>
              <w:bottom w:val="nil"/>
              <w:right w:val="nil"/>
            </w:tcBorders>
            <w:shd w:val="clear" w:color="auto" w:fill="auto"/>
            <w:vAlign w:val="center"/>
            <w:hideMark/>
          </w:tcPr>
          <w:p w14:paraId="50292532"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Facilities with annual work plans</w:t>
            </w:r>
          </w:p>
        </w:tc>
        <w:tc>
          <w:tcPr>
            <w:tcW w:w="938" w:type="pct"/>
            <w:tcBorders>
              <w:top w:val="nil"/>
              <w:left w:val="nil"/>
              <w:bottom w:val="nil"/>
              <w:right w:val="nil"/>
            </w:tcBorders>
            <w:shd w:val="clear" w:color="auto" w:fill="auto"/>
            <w:vAlign w:val="center"/>
            <w:hideMark/>
          </w:tcPr>
          <w:p w14:paraId="5584D8E3"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419" w:type="pct"/>
            <w:tcBorders>
              <w:top w:val="nil"/>
              <w:left w:val="nil"/>
              <w:bottom w:val="nil"/>
              <w:right w:val="nil"/>
            </w:tcBorders>
            <w:shd w:val="clear" w:color="auto" w:fill="auto"/>
            <w:noWrap/>
            <w:vAlign w:val="bottom"/>
            <w:hideMark/>
          </w:tcPr>
          <w:p w14:paraId="6481619E"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0FCF9A17" w14:textId="77777777" w:rsidTr="00777FD3">
        <w:trPr>
          <w:trHeight w:val="261"/>
        </w:trPr>
        <w:tc>
          <w:tcPr>
            <w:tcW w:w="3643" w:type="pct"/>
            <w:tcBorders>
              <w:top w:val="nil"/>
              <w:left w:val="nil"/>
              <w:bottom w:val="nil"/>
              <w:right w:val="nil"/>
            </w:tcBorders>
            <w:shd w:val="clear" w:color="auto" w:fill="auto"/>
            <w:vAlign w:val="center"/>
            <w:hideMark/>
          </w:tcPr>
          <w:p w14:paraId="31D35B9B"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Facilities with annual budgets</w:t>
            </w:r>
          </w:p>
        </w:tc>
        <w:tc>
          <w:tcPr>
            <w:tcW w:w="938" w:type="pct"/>
            <w:tcBorders>
              <w:top w:val="nil"/>
              <w:left w:val="nil"/>
              <w:bottom w:val="nil"/>
              <w:right w:val="nil"/>
            </w:tcBorders>
            <w:shd w:val="clear" w:color="auto" w:fill="auto"/>
            <w:vAlign w:val="center"/>
            <w:hideMark/>
          </w:tcPr>
          <w:p w14:paraId="146E29BF"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419" w:type="pct"/>
            <w:tcBorders>
              <w:top w:val="nil"/>
              <w:left w:val="nil"/>
              <w:bottom w:val="nil"/>
              <w:right w:val="nil"/>
            </w:tcBorders>
            <w:shd w:val="clear" w:color="auto" w:fill="auto"/>
            <w:noWrap/>
            <w:vAlign w:val="bottom"/>
            <w:hideMark/>
          </w:tcPr>
          <w:p w14:paraId="61442F18"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010364B4" w14:textId="77777777" w:rsidTr="0032158B">
        <w:trPr>
          <w:trHeight w:val="580"/>
        </w:trPr>
        <w:tc>
          <w:tcPr>
            <w:tcW w:w="3643" w:type="pct"/>
            <w:tcBorders>
              <w:top w:val="nil"/>
              <w:left w:val="nil"/>
              <w:bottom w:val="nil"/>
              <w:right w:val="nil"/>
            </w:tcBorders>
            <w:shd w:val="clear" w:color="auto" w:fill="auto"/>
            <w:vAlign w:val="center"/>
            <w:hideMark/>
          </w:tcPr>
          <w:p w14:paraId="2A572D30" w14:textId="77777777" w:rsidR="006F675A" w:rsidRPr="00C974EE" w:rsidRDefault="006F675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Facilities that specifically consider NCDs in the budget</w:t>
            </w:r>
          </w:p>
        </w:tc>
        <w:tc>
          <w:tcPr>
            <w:tcW w:w="938" w:type="pct"/>
            <w:tcBorders>
              <w:top w:val="nil"/>
              <w:left w:val="nil"/>
              <w:bottom w:val="nil"/>
              <w:right w:val="nil"/>
            </w:tcBorders>
            <w:shd w:val="clear" w:color="auto" w:fill="auto"/>
            <w:vAlign w:val="center"/>
            <w:hideMark/>
          </w:tcPr>
          <w:p w14:paraId="6D6D5331"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w:t>
            </w:r>
          </w:p>
        </w:tc>
        <w:tc>
          <w:tcPr>
            <w:tcW w:w="419" w:type="pct"/>
            <w:tcBorders>
              <w:top w:val="nil"/>
              <w:left w:val="nil"/>
              <w:bottom w:val="nil"/>
              <w:right w:val="nil"/>
            </w:tcBorders>
            <w:shd w:val="clear" w:color="auto" w:fill="auto"/>
            <w:noWrap/>
            <w:vAlign w:val="bottom"/>
            <w:hideMark/>
          </w:tcPr>
          <w:p w14:paraId="161D66F4" w14:textId="77777777"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71.4</w:t>
            </w:r>
          </w:p>
        </w:tc>
      </w:tr>
      <w:tr w:rsidR="006F675A" w:rsidRPr="00C974EE" w14:paraId="5A629AA7" w14:textId="77777777" w:rsidTr="0032158B">
        <w:trPr>
          <w:trHeight w:val="360"/>
        </w:trPr>
        <w:tc>
          <w:tcPr>
            <w:tcW w:w="3643" w:type="pct"/>
            <w:tcBorders>
              <w:top w:val="nil"/>
              <w:left w:val="nil"/>
              <w:bottom w:val="single" w:sz="12" w:space="0" w:color="auto"/>
              <w:right w:val="nil"/>
            </w:tcBorders>
            <w:shd w:val="clear" w:color="auto" w:fill="auto"/>
            <w:vAlign w:val="center"/>
            <w:hideMark/>
          </w:tcPr>
          <w:p w14:paraId="7A3AFA7F" w14:textId="3AEABC94" w:rsidR="006F675A" w:rsidRPr="00C974EE" w:rsidRDefault="006F675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Facilities with comprehensive NCD planning</w:t>
            </w:r>
            <w:r w:rsidRPr="00C974EE">
              <w:rPr>
                <w:rFonts w:ascii="Times New Roman" w:hAnsi="Times New Roman" w:cs="Times New Roman"/>
              </w:rPr>
              <w:t>*</w:t>
            </w:r>
            <w:r w:rsidRPr="00C974EE">
              <w:rPr>
                <w:rFonts w:ascii="Times New Roman" w:eastAsia="Times New Roman" w:hAnsi="Times New Roman" w:cs="Times New Roman"/>
                <w:b/>
                <w:bCs/>
                <w:color w:val="000000"/>
                <w:kern w:val="0"/>
                <w14:ligatures w14:val="none"/>
              </w:rPr>
              <w:t xml:space="preserve"> </w:t>
            </w:r>
          </w:p>
        </w:tc>
        <w:tc>
          <w:tcPr>
            <w:tcW w:w="938" w:type="pct"/>
            <w:tcBorders>
              <w:top w:val="nil"/>
              <w:left w:val="nil"/>
              <w:bottom w:val="single" w:sz="12" w:space="0" w:color="auto"/>
              <w:right w:val="nil"/>
            </w:tcBorders>
            <w:shd w:val="clear" w:color="auto" w:fill="auto"/>
            <w:vAlign w:val="center"/>
            <w:hideMark/>
          </w:tcPr>
          <w:p w14:paraId="43A8C150" w14:textId="77777777" w:rsidR="006F675A" w:rsidRPr="00C974EE" w:rsidRDefault="006F675A" w:rsidP="00C974EE">
            <w:pPr>
              <w:spacing w:after="0" w:line="360" w:lineRule="auto"/>
              <w:jc w:val="right"/>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0</w:t>
            </w:r>
          </w:p>
        </w:tc>
        <w:tc>
          <w:tcPr>
            <w:tcW w:w="419" w:type="pct"/>
            <w:tcBorders>
              <w:top w:val="nil"/>
              <w:left w:val="nil"/>
              <w:bottom w:val="single" w:sz="12" w:space="0" w:color="auto"/>
              <w:right w:val="nil"/>
            </w:tcBorders>
            <w:shd w:val="clear" w:color="auto" w:fill="auto"/>
            <w:noWrap/>
            <w:vAlign w:val="bottom"/>
            <w:hideMark/>
          </w:tcPr>
          <w:p w14:paraId="3C0D0416" w14:textId="05E0FB5C" w:rsidR="006F675A" w:rsidRPr="00C974EE" w:rsidRDefault="006F675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b/>
                <w:bCs/>
                <w:color w:val="000000"/>
                <w:kern w:val="0"/>
                <w14:ligatures w14:val="none"/>
              </w:rPr>
              <w:t>0</w:t>
            </w:r>
          </w:p>
        </w:tc>
      </w:tr>
    </w:tbl>
    <w:p w14:paraId="37B2B464" w14:textId="29F83C54" w:rsidR="0079256F" w:rsidRPr="00C974EE" w:rsidRDefault="00825312" w:rsidP="00C974EE">
      <w:pPr>
        <w:spacing w:line="360" w:lineRule="auto"/>
        <w:rPr>
          <w:rFonts w:ascii="Times New Roman" w:hAnsi="Times New Roman" w:cs="Times New Roman"/>
          <w:i/>
          <w:iCs/>
        </w:rPr>
      </w:pPr>
      <w:r w:rsidRPr="00C974EE">
        <w:rPr>
          <w:rFonts w:ascii="Times New Roman" w:hAnsi="Times New Roman" w:cs="Times New Roman"/>
          <w:i/>
          <w:iCs/>
        </w:rPr>
        <w:t>*Defined as having a work plan, a budget, AND specific consideration for NCDs</w:t>
      </w:r>
    </w:p>
    <w:p w14:paraId="016EB3B5" w14:textId="1757A29D" w:rsidR="0079256F" w:rsidRPr="006C22A2" w:rsidRDefault="00EA04F2" w:rsidP="00C974EE">
      <w:pPr>
        <w:spacing w:line="360" w:lineRule="auto"/>
        <w:rPr>
          <w:rFonts w:ascii="Times New Roman" w:hAnsi="Times New Roman" w:cs="Times New Roman"/>
        </w:rPr>
      </w:pPr>
      <w:r w:rsidRPr="00EA04F2">
        <w:rPr>
          <w:rFonts w:ascii="Times New Roman" w:hAnsi="Times New Roman" w:cs="Times New Roman"/>
        </w:rPr>
        <w:t xml:space="preserve">In-charges reported that planned NCD activities were often not implemented because final allocations and disbursements differed from facility budgets. Several described limited </w:t>
      </w:r>
      <w:proofErr w:type="gramStart"/>
      <w:r w:rsidRPr="00EA04F2">
        <w:rPr>
          <w:rFonts w:ascii="Times New Roman" w:hAnsi="Times New Roman" w:cs="Times New Roman"/>
        </w:rPr>
        <w:t>linkage</w:t>
      </w:r>
      <w:proofErr w:type="gramEnd"/>
      <w:r w:rsidRPr="00EA04F2">
        <w:rPr>
          <w:rFonts w:ascii="Times New Roman" w:hAnsi="Times New Roman" w:cs="Times New Roman"/>
        </w:rPr>
        <w:t xml:space="preserve"> between budgeting and executed funding, particularly in the absence of a dedicated NCD budget line</w:t>
      </w:r>
      <w:r w:rsidR="0079256F" w:rsidRPr="006C22A2">
        <w:rPr>
          <w:rFonts w:ascii="Times New Roman" w:hAnsi="Times New Roman" w:cs="Times New Roman"/>
        </w:rPr>
        <w:t>:</w:t>
      </w:r>
    </w:p>
    <w:p w14:paraId="493B97BE" w14:textId="5407C68B"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i/>
          <w:iCs/>
        </w:rPr>
        <w:t>"We prepare very detailed budgets with input from all departments, but at the end of the day, you get what is available, not what you budgeted for."</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3 facility)</w:t>
      </w:r>
    </w:p>
    <w:p w14:paraId="0E3940DC" w14:textId="68F0AFB6"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i/>
          <w:iCs/>
        </w:rPr>
        <w:t>"The process feels like an exercise in futility sometimes. We spend days preparing budgets that are never followed when the actual allocation comes."</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4579F836" w14:textId="0CCB7B0D"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rPr>
        <w:t xml:space="preserve">All </w:t>
      </w:r>
      <w:r w:rsidR="0048400E" w:rsidRPr="00C974EE">
        <w:rPr>
          <w:rFonts w:ascii="Times New Roman" w:hAnsi="Times New Roman" w:cs="Times New Roman"/>
        </w:rPr>
        <w:t>in-charge</w:t>
      </w:r>
      <w:r w:rsidRPr="006C22A2">
        <w:rPr>
          <w:rFonts w:ascii="Times New Roman" w:hAnsi="Times New Roman" w:cs="Times New Roman"/>
        </w:rPr>
        <w:t xml:space="preserve">s emphasized the impossibility of meaningful NCD budgeting given the absence of dedicated NCD budget lines and overall resource scarcity. One </w:t>
      </w:r>
      <w:r w:rsidR="0048400E" w:rsidRPr="00C974EE">
        <w:rPr>
          <w:rFonts w:ascii="Times New Roman" w:hAnsi="Times New Roman" w:cs="Times New Roman"/>
        </w:rPr>
        <w:t>in-charge</w:t>
      </w:r>
      <w:r w:rsidRPr="006C22A2">
        <w:rPr>
          <w:rFonts w:ascii="Times New Roman" w:hAnsi="Times New Roman" w:cs="Times New Roman"/>
        </w:rPr>
        <w:t xml:space="preserve"> quantified this inadequacy:</w:t>
      </w:r>
    </w:p>
    <w:p w14:paraId="7334039C" w14:textId="29E4B170"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i/>
          <w:iCs/>
        </w:rPr>
        <w:t>"It doesn't [work], because you only budget with the money received from the facility. And the money is usually very inadequate. Sometimes you can even give NCDs 2,000 [Kenyan Shillings, approximately USD 15] for the whole year."</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72821743" w14:textId="2BAF3A4F"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rPr>
        <w:t xml:space="preserve">Most </w:t>
      </w:r>
      <w:r w:rsidR="0048400E" w:rsidRPr="00C974EE">
        <w:rPr>
          <w:rFonts w:ascii="Times New Roman" w:hAnsi="Times New Roman" w:cs="Times New Roman"/>
        </w:rPr>
        <w:t>in-charge</w:t>
      </w:r>
      <w:r w:rsidRPr="006C22A2">
        <w:rPr>
          <w:rFonts w:ascii="Times New Roman" w:hAnsi="Times New Roman" w:cs="Times New Roman"/>
        </w:rPr>
        <w:t>s (6/7) also described limited facility input into final budget decisions despite the participatory process:</w:t>
      </w:r>
    </w:p>
    <w:p w14:paraId="79BC7B95" w14:textId="26758AFD"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i/>
          <w:iCs/>
        </w:rPr>
        <w:t>"We participate in making the budget and presenting our needs, but the implementation is done by the county. They don't follow what we proposed."</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4EDDFF5C" w14:textId="70B2B6B8"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rPr>
        <w:t xml:space="preserve">However, two </w:t>
      </w:r>
      <w:r w:rsidR="0048400E" w:rsidRPr="00C974EE">
        <w:rPr>
          <w:rFonts w:ascii="Times New Roman" w:hAnsi="Times New Roman" w:cs="Times New Roman"/>
        </w:rPr>
        <w:t>in-charge</w:t>
      </w:r>
      <w:r w:rsidRPr="006C22A2">
        <w:rPr>
          <w:rFonts w:ascii="Times New Roman" w:hAnsi="Times New Roman" w:cs="Times New Roman"/>
        </w:rPr>
        <w:t>s from Level 4 facilities offered a more nuanced perspective. While acknowledging that NCD budgets were inadequate and often not fully actualized, they emphasized that the budget process did allow them to advocate for resources and occasionally influence allocation decisions:</w:t>
      </w:r>
    </w:p>
    <w:p w14:paraId="359A4C8E" w14:textId="321C8FD6" w:rsidR="0079256F" w:rsidRPr="006C22A2" w:rsidRDefault="0079256F" w:rsidP="00C974EE">
      <w:pPr>
        <w:spacing w:line="360" w:lineRule="auto"/>
        <w:rPr>
          <w:rFonts w:ascii="Times New Roman" w:hAnsi="Times New Roman" w:cs="Times New Roman"/>
        </w:rPr>
      </w:pPr>
      <w:r w:rsidRPr="006C22A2">
        <w:rPr>
          <w:rFonts w:ascii="Times New Roman" w:hAnsi="Times New Roman" w:cs="Times New Roman"/>
          <w:i/>
          <w:iCs/>
        </w:rPr>
        <w:t>"It's not perfect, and we rarely get what we ask for, but at least we can present what we need. Sometimes we get a portion of what we requested, especially if we justify it well with data."</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3719638A" w14:textId="77777777" w:rsidR="00FE675A" w:rsidRDefault="00FE675A" w:rsidP="00C974EE">
      <w:pPr>
        <w:spacing w:line="360" w:lineRule="auto"/>
        <w:rPr>
          <w:rFonts w:ascii="Times New Roman" w:hAnsi="Times New Roman" w:cs="Times New Roman"/>
          <w:b/>
          <w:bCs/>
        </w:rPr>
      </w:pPr>
      <w:r w:rsidRPr="00FE675A">
        <w:rPr>
          <w:rFonts w:ascii="Times New Roman" w:hAnsi="Times New Roman" w:cs="Times New Roman"/>
          <w:b/>
          <w:bCs/>
        </w:rPr>
        <w:t>Financial autonomy and expenditure control</w:t>
      </w:r>
    </w:p>
    <w:p w14:paraId="5701CE66" w14:textId="3C7E9510" w:rsidR="00C974EE" w:rsidRDefault="00825312" w:rsidP="00C974EE">
      <w:pPr>
        <w:spacing w:line="360" w:lineRule="auto"/>
        <w:rPr>
          <w:rFonts w:ascii="Times New Roman" w:hAnsi="Times New Roman" w:cs="Times New Roman"/>
        </w:rPr>
      </w:pPr>
      <w:r w:rsidRPr="00C974EE">
        <w:rPr>
          <w:rFonts w:ascii="Times New Roman" w:hAnsi="Times New Roman" w:cs="Times New Roman"/>
        </w:rPr>
        <w:t>While all facilities (100%) operated bank accounts, their control over these funds was minimal</w:t>
      </w:r>
      <w:r w:rsidR="00CE61F8" w:rsidRPr="00C974EE">
        <w:rPr>
          <w:rFonts w:ascii="Times New Roman" w:hAnsi="Times New Roman" w:cs="Times New Roman"/>
        </w:rPr>
        <w:t xml:space="preserve"> (Table 4)</w:t>
      </w:r>
      <w:r w:rsidRPr="00C974EE">
        <w:rPr>
          <w:rFonts w:ascii="Times New Roman" w:hAnsi="Times New Roman" w:cs="Times New Roman"/>
        </w:rPr>
        <w:t>. All seven facilities (100%) required external approval from county health administration to spend funds from their accounts. Consequently, only two facilities (28.6%) perceived themselves as having any degree of spending autonomy</w:t>
      </w:r>
      <w:r w:rsidR="00EA04F2">
        <w:rPr>
          <w:rFonts w:ascii="Times New Roman" w:hAnsi="Times New Roman" w:cs="Times New Roman"/>
        </w:rPr>
        <w:t>.</w:t>
      </w:r>
      <w:r w:rsidRPr="00C974EE">
        <w:rPr>
          <w:rFonts w:ascii="Times New Roman" w:hAnsi="Times New Roman" w:cs="Times New Roman"/>
        </w:rPr>
        <w:t xml:space="preserve"> A majority of facilities (</w:t>
      </w:r>
      <w:r w:rsidR="00B41768" w:rsidRPr="00C974EE">
        <w:rPr>
          <w:rFonts w:ascii="Times New Roman" w:hAnsi="Times New Roman" w:cs="Times New Roman"/>
        </w:rPr>
        <w:t>57.1</w:t>
      </w:r>
      <w:r w:rsidRPr="00C974EE">
        <w:rPr>
          <w:rFonts w:ascii="Times New Roman" w:hAnsi="Times New Roman" w:cs="Times New Roman"/>
        </w:rPr>
        <w:t>%, n=4) reported that the authorization process typically took 3-4 weeks, while for others delays extended to 2-3 months (</w:t>
      </w:r>
      <w:r w:rsidR="00B41768" w:rsidRPr="00C974EE">
        <w:rPr>
          <w:rFonts w:ascii="Times New Roman" w:hAnsi="Times New Roman" w:cs="Times New Roman"/>
        </w:rPr>
        <w:t>28.6</w:t>
      </w:r>
      <w:r w:rsidRPr="00C974EE">
        <w:rPr>
          <w:rFonts w:ascii="Times New Roman" w:hAnsi="Times New Roman" w:cs="Times New Roman"/>
        </w:rPr>
        <w:t>%, n=</w:t>
      </w:r>
      <w:r w:rsidR="00B41768" w:rsidRPr="00C974EE">
        <w:rPr>
          <w:rFonts w:ascii="Times New Roman" w:hAnsi="Times New Roman" w:cs="Times New Roman"/>
        </w:rPr>
        <w:t>2</w:t>
      </w:r>
      <w:r w:rsidRPr="00C974EE">
        <w:rPr>
          <w:rFonts w:ascii="Times New Roman" w:hAnsi="Times New Roman" w:cs="Times New Roman"/>
        </w:rPr>
        <w:t>) or even beyond three months (1</w:t>
      </w:r>
      <w:r w:rsidR="00B41768" w:rsidRPr="00C974EE">
        <w:rPr>
          <w:rFonts w:ascii="Times New Roman" w:hAnsi="Times New Roman" w:cs="Times New Roman"/>
        </w:rPr>
        <w:t>4.3</w:t>
      </w:r>
      <w:r w:rsidRPr="00C974EE">
        <w:rPr>
          <w:rFonts w:ascii="Times New Roman" w:hAnsi="Times New Roman" w:cs="Times New Roman"/>
        </w:rPr>
        <w:t xml:space="preserve">%, n=1). </w:t>
      </w:r>
    </w:p>
    <w:p w14:paraId="576CB529" w14:textId="35D816DE" w:rsidR="004A2F03" w:rsidRPr="004A2F03" w:rsidRDefault="004A2F03" w:rsidP="004A2F03">
      <w:pPr>
        <w:pStyle w:val="Caption"/>
        <w:keepNext/>
        <w:rPr>
          <w:rFonts w:ascii="Times New Roman" w:hAnsi="Times New Roman" w:cs="Times New Roman"/>
          <w:b/>
          <w:bCs/>
          <w:color w:val="auto"/>
          <w:sz w:val="24"/>
          <w:szCs w:val="24"/>
        </w:rPr>
      </w:pPr>
      <w:r w:rsidRPr="004A2F03">
        <w:rPr>
          <w:rFonts w:ascii="Times New Roman" w:hAnsi="Times New Roman" w:cs="Times New Roman"/>
          <w:b/>
          <w:bCs/>
          <w:color w:val="auto"/>
          <w:sz w:val="24"/>
          <w:szCs w:val="24"/>
        </w:rPr>
        <w:t xml:space="preserve">Table </w:t>
      </w:r>
      <w:r w:rsidRPr="004A2F03">
        <w:rPr>
          <w:rFonts w:ascii="Times New Roman" w:hAnsi="Times New Roman" w:cs="Times New Roman"/>
          <w:b/>
          <w:bCs/>
          <w:color w:val="auto"/>
          <w:sz w:val="24"/>
          <w:szCs w:val="24"/>
        </w:rPr>
        <w:fldChar w:fldCharType="begin"/>
      </w:r>
      <w:r w:rsidRPr="004A2F03">
        <w:rPr>
          <w:rFonts w:ascii="Times New Roman" w:hAnsi="Times New Roman" w:cs="Times New Roman"/>
          <w:b/>
          <w:bCs/>
          <w:color w:val="auto"/>
          <w:sz w:val="24"/>
          <w:szCs w:val="24"/>
        </w:rPr>
        <w:instrText xml:space="preserve"> SEQ Table \* ARABIC </w:instrText>
      </w:r>
      <w:r w:rsidRPr="004A2F03">
        <w:rPr>
          <w:rFonts w:ascii="Times New Roman" w:hAnsi="Times New Roman" w:cs="Times New Roman"/>
          <w:b/>
          <w:bCs/>
          <w:color w:val="auto"/>
          <w:sz w:val="24"/>
          <w:szCs w:val="24"/>
        </w:rPr>
        <w:fldChar w:fldCharType="separate"/>
      </w:r>
      <w:r w:rsidR="00841E0F">
        <w:rPr>
          <w:rFonts w:ascii="Times New Roman" w:hAnsi="Times New Roman" w:cs="Times New Roman"/>
          <w:b/>
          <w:bCs/>
          <w:noProof/>
          <w:color w:val="auto"/>
          <w:sz w:val="24"/>
          <w:szCs w:val="24"/>
        </w:rPr>
        <w:t>4</w:t>
      </w:r>
      <w:r w:rsidRPr="004A2F03">
        <w:rPr>
          <w:rFonts w:ascii="Times New Roman" w:hAnsi="Times New Roman" w:cs="Times New Roman"/>
          <w:b/>
          <w:bCs/>
          <w:color w:val="auto"/>
          <w:sz w:val="24"/>
          <w:szCs w:val="24"/>
        </w:rPr>
        <w:fldChar w:fldCharType="end"/>
      </w:r>
      <w:r w:rsidRPr="004A2F03">
        <w:rPr>
          <w:rFonts w:ascii="Times New Roman" w:hAnsi="Times New Roman" w:cs="Times New Roman"/>
          <w:b/>
          <w:bCs/>
          <w:color w:val="auto"/>
          <w:sz w:val="24"/>
          <w:szCs w:val="24"/>
        </w:rPr>
        <w:t>: Financial autonomy and expenditure control indicators (N=7)</w:t>
      </w:r>
    </w:p>
    <w:tbl>
      <w:tblPr>
        <w:tblW w:w="0" w:type="auto"/>
        <w:tblLayout w:type="fixed"/>
        <w:tblLook w:val="04A0" w:firstRow="1" w:lastRow="0" w:firstColumn="1" w:lastColumn="0" w:noHBand="0" w:noVBand="1"/>
      </w:tblPr>
      <w:tblGrid>
        <w:gridCol w:w="6893"/>
        <w:gridCol w:w="1705"/>
        <w:gridCol w:w="762"/>
      </w:tblGrid>
      <w:tr w:rsidR="006F675A" w:rsidRPr="00C974EE" w14:paraId="437CD062" w14:textId="77777777" w:rsidTr="00777FD3">
        <w:trPr>
          <w:trHeight w:val="316"/>
        </w:trPr>
        <w:tc>
          <w:tcPr>
            <w:tcW w:w="6893" w:type="dxa"/>
            <w:tcBorders>
              <w:top w:val="single" w:sz="8" w:space="0" w:color="auto"/>
              <w:left w:val="nil"/>
              <w:bottom w:val="single" w:sz="12" w:space="0" w:color="auto"/>
              <w:right w:val="nil"/>
            </w:tcBorders>
            <w:shd w:val="clear" w:color="auto" w:fill="auto"/>
            <w:vAlign w:val="center"/>
            <w:hideMark/>
          </w:tcPr>
          <w:p w14:paraId="0FAFE4CA"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Indicator</w:t>
            </w:r>
          </w:p>
        </w:tc>
        <w:tc>
          <w:tcPr>
            <w:tcW w:w="1705" w:type="dxa"/>
            <w:tcBorders>
              <w:top w:val="single" w:sz="8" w:space="0" w:color="auto"/>
              <w:left w:val="nil"/>
              <w:bottom w:val="single" w:sz="12" w:space="0" w:color="auto"/>
              <w:right w:val="nil"/>
            </w:tcBorders>
            <w:shd w:val="clear" w:color="auto" w:fill="auto"/>
            <w:vAlign w:val="center"/>
            <w:hideMark/>
          </w:tcPr>
          <w:p w14:paraId="69E8DF83"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Number (n)</w:t>
            </w:r>
          </w:p>
        </w:tc>
        <w:tc>
          <w:tcPr>
            <w:tcW w:w="762" w:type="dxa"/>
            <w:tcBorders>
              <w:top w:val="single" w:sz="8" w:space="0" w:color="auto"/>
              <w:left w:val="nil"/>
              <w:bottom w:val="single" w:sz="12" w:space="0" w:color="auto"/>
              <w:right w:val="nil"/>
            </w:tcBorders>
            <w:shd w:val="clear" w:color="auto" w:fill="auto"/>
            <w:vAlign w:val="center"/>
            <w:hideMark/>
          </w:tcPr>
          <w:p w14:paraId="25D3A565" w14:textId="6A637419" w:rsidR="006F675A" w:rsidRPr="00C974EE" w:rsidRDefault="00CE61F8" w:rsidP="007D7F9D">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w:t>
            </w:r>
          </w:p>
        </w:tc>
      </w:tr>
      <w:tr w:rsidR="006F675A" w:rsidRPr="00C974EE" w14:paraId="1F7CB031" w14:textId="77777777" w:rsidTr="00777FD3">
        <w:trPr>
          <w:trHeight w:val="316"/>
        </w:trPr>
        <w:tc>
          <w:tcPr>
            <w:tcW w:w="6893" w:type="dxa"/>
            <w:tcBorders>
              <w:top w:val="nil"/>
              <w:left w:val="nil"/>
              <w:bottom w:val="nil"/>
              <w:right w:val="nil"/>
            </w:tcBorders>
            <w:shd w:val="clear" w:color="auto" w:fill="auto"/>
            <w:vAlign w:val="center"/>
            <w:hideMark/>
          </w:tcPr>
          <w:p w14:paraId="26531E63"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A. Financial Autonomy Indicators</w:t>
            </w:r>
          </w:p>
        </w:tc>
        <w:tc>
          <w:tcPr>
            <w:tcW w:w="1705" w:type="dxa"/>
            <w:tcBorders>
              <w:top w:val="nil"/>
              <w:left w:val="nil"/>
              <w:bottom w:val="nil"/>
              <w:right w:val="nil"/>
            </w:tcBorders>
            <w:shd w:val="clear" w:color="auto" w:fill="auto"/>
            <w:vAlign w:val="center"/>
            <w:hideMark/>
          </w:tcPr>
          <w:p w14:paraId="5DC18D30"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p>
        </w:tc>
        <w:tc>
          <w:tcPr>
            <w:tcW w:w="762" w:type="dxa"/>
            <w:tcBorders>
              <w:top w:val="nil"/>
              <w:left w:val="nil"/>
              <w:bottom w:val="nil"/>
              <w:right w:val="nil"/>
            </w:tcBorders>
            <w:shd w:val="clear" w:color="auto" w:fill="auto"/>
            <w:vAlign w:val="center"/>
            <w:hideMark/>
          </w:tcPr>
          <w:p w14:paraId="65524061" w14:textId="77777777" w:rsidR="006F675A" w:rsidRPr="00C974EE" w:rsidRDefault="006F675A" w:rsidP="007D7F9D">
            <w:pPr>
              <w:spacing w:after="0" w:line="360" w:lineRule="auto"/>
              <w:rPr>
                <w:rFonts w:ascii="Times New Roman" w:eastAsia="Times New Roman" w:hAnsi="Times New Roman" w:cs="Times New Roman"/>
                <w:kern w:val="0"/>
                <w:sz w:val="20"/>
                <w:szCs w:val="20"/>
                <w14:ligatures w14:val="none"/>
              </w:rPr>
            </w:pPr>
          </w:p>
        </w:tc>
      </w:tr>
      <w:tr w:rsidR="006F675A" w:rsidRPr="00C974EE" w14:paraId="4F25B799" w14:textId="77777777" w:rsidTr="00777FD3">
        <w:trPr>
          <w:trHeight w:val="305"/>
        </w:trPr>
        <w:tc>
          <w:tcPr>
            <w:tcW w:w="6893" w:type="dxa"/>
            <w:tcBorders>
              <w:top w:val="nil"/>
              <w:left w:val="nil"/>
              <w:bottom w:val="nil"/>
              <w:right w:val="nil"/>
            </w:tcBorders>
            <w:shd w:val="clear" w:color="auto" w:fill="auto"/>
            <w:vAlign w:val="center"/>
            <w:hideMark/>
          </w:tcPr>
          <w:p w14:paraId="0D80114F" w14:textId="77777777" w:rsidR="006F675A"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Facilities with a bank account</w:t>
            </w:r>
          </w:p>
        </w:tc>
        <w:tc>
          <w:tcPr>
            <w:tcW w:w="1705" w:type="dxa"/>
            <w:tcBorders>
              <w:top w:val="nil"/>
              <w:left w:val="nil"/>
              <w:bottom w:val="nil"/>
              <w:right w:val="nil"/>
            </w:tcBorders>
            <w:shd w:val="clear" w:color="auto" w:fill="auto"/>
            <w:vAlign w:val="center"/>
            <w:hideMark/>
          </w:tcPr>
          <w:p w14:paraId="0524BE72"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762" w:type="dxa"/>
            <w:tcBorders>
              <w:top w:val="nil"/>
              <w:left w:val="nil"/>
              <w:bottom w:val="nil"/>
              <w:right w:val="nil"/>
            </w:tcBorders>
            <w:shd w:val="clear" w:color="auto" w:fill="auto"/>
            <w:noWrap/>
            <w:vAlign w:val="bottom"/>
            <w:hideMark/>
          </w:tcPr>
          <w:p w14:paraId="6DAADE79"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3119AAC5" w14:textId="77777777" w:rsidTr="00777FD3">
        <w:trPr>
          <w:trHeight w:val="305"/>
        </w:trPr>
        <w:tc>
          <w:tcPr>
            <w:tcW w:w="6893" w:type="dxa"/>
            <w:tcBorders>
              <w:top w:val="nil"/>
              <w:left w:val="nil"/>
              <w:bottom w:val="nil"/>
              <w:right w:val="nil"/>
            </w:tcBorders>
            <w:shd w:val="clear" w:color="auto" w:fill="auto"/>
            <w:vAlign w:val="center"/>
            <w:hideMark/>
          </w:tcPr>
          <w:p w14:paraId="75015B4B" w14:textId="77777777" w:rsidR="006F675A"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Requires external approval to spend funds</w:t>
            </w:r>
          </w:p>
        </w:tc>
        <w:tc>
          <w:tcPr>
            <w:tcW w:w="1705" w:type="dxa"/>
            <w:tcBorders>
              <w:top w:val="nil"/>
              <w:left w:val="nil"/>
              <w:bottom w:val="nil"/>
              <w:right w:val="nil"/>
            </w:tcBorders>
            <w:shd w:val="clear" w:color="auto" w:fill="auto"/>
            <w:vAlign w:val="center"/>
            <w:hideMark/>
          </w:tcPr>
          <w:p w14:paraId="50184FF8"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7</w:t>
            </w:r>
          </w:p>
        </w:tc>
        <w:tc>
          <w:tcPr>
            <w:tcW w:w="762" w:type="dxa"/>
            <w:tcBorders>
              <w:top w:val="nil"/>
              <w:left w:val="nil"/>
              <w:bottom w:val="nil"/>
              <w:right w:val="nil"/>
            </w:tcBorders>
            <w:shd w:val="clear" w:color="auto" w:fill="auto"/>
            <w:noWrap/>
            <w:vAlign w:val="bottom"/>
            <w:hideMark/>
          </w:tcPr>
          <w:p w14:paraId="4FC0C385"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100</w:t>
            </w:r>
          </w:p>
        </w:tc>
      </w:tr>
      <w:tr w:rsidR="006F675A" w:rsidRPr="00C974EE" w14:paraId="41AABC8C" w14:textId="77777777" w:rsidTr="00777FD3">
        <w:trPr>
          <w:trHeight w:val="305"/>
        </w:trPr>
        <w:tc>
          <w:tcPr>
            <w:tcW w:w="6893" w:type="dxa"/>
            <w:tcBorders>
              <w:top w:val="nil"/>
              <w:left w:val="nil"/>
              <w:bottom w:val="nil"/>
              <w:right w:val="nil"/>
            </w:tcBorders>
            <w:shd w:val="clear" w:color="auto" w:fill="auto"/>
            <w:vAlign w:val="center"/>
            <w:hideMark/>
          </w:tcPr>
          <w:p w14:paraId="40B91F28" w14:textId="1A52A44C" w:rsidR="00CE61F8"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00CE61F8" w:rsidRPr="00C974EE">
              <w:rPr>
                <w:rFonts w:ascii="Times New Roman" w:eastAsia="Times New Roman" w:hAnsi="Times New Roman" w:cs="Times New Roman"/>
                <w:color w:val="000000"/>
                <w:kern w:val="0"/>
                <w14:ligatures w14:val="none"/>
              </w:rPr>
              <w:t>Report moderate-high perceived spending autonomy**</w:t>
            </w:r>
          </w:p>
        </w:tc>
        <w:tc>
          <w:tcPr>
            <w:tcW w:w="1705" w:type="dxa"/>
            <w:tcBorders>
              <w:top w:val="nil"/>
              <w:left w:val="nil"/>
              <w:bottom w:val="nil"/>
              <w:right w:val="nil"/>
            </w:tcBorders>
            <w:shd w:val="clear" w:color="auto" w:fill="auto"/>
            <w:vAlign w:val="center"/>
            <w:hideMark/>
          </w:tcPr>
          <w:p w14:paraId="18ED2856"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762" w:type="dxa"/>
            <w:tcBorders>
              <w:top w:val="nil"/>
              <w:left w:val="nil"/>
              <w:bottom w:val="nil"/>
              <w:right w:val="nil"/>
            </w:tcBorders>
            <w:shd w:val="clear" w:color="auto" w:fill="auto"/>
            <w:noWrap/>
            <w:vAlign w:val="bottom"/>
            <w:hideMark/>
          </w:tcPr>
          <w:p w14:paraId="5D3126CF"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CE61F8" w:rsidRPr="00C974EE" w14:paraId="5023589F" w14:textId="77777777" w:rsidTr="00777FD3">
        <w:trPr>
          <w:trHeight w:val="305"/>
        </w:trPr>
        <w:tc>
          <w:tcPr>
            <w:tcW w:w="6893" w:type="dxa"/>
            <w:tcBorders>
              <w:top w:val="nil"/>
              <w:left w:val="nil"/>
              <w:bottom w:val="nil"/>
              <w:right w:val="nil"/>
            </w:tcBorders>
            <w:shd w:val="clear" w:color="auto" w:fill="auto"/>
            <w:vAlign w:val="center"/>
          </w:tcPr>
          <w:p w14:paraId="757A278D" w14:textId="10D0CB49" w:rsidR="00CE61F8" w:rsidRPr="00C974EE" w:rsidRDefault="00CE61F8"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xml:space="preserve">   </w:t>
            </w:r>
            <w:r w:rsidRPr="006C22A2">
              <w:rPr>
                <w:rFonts w:ascii="Times New Roman" w:hAnsi="Times New Roman" w:cs="Times New Roman"/>
              </w:rPr>
              <w:t>Has formal financial autonomy*</w:t>
            </w:r>
          </w:p>
        </w:tc>
        <w:tc>
          <w:tcPr>
            <w:tcW w:w="1705" w:type="dxa"/>
            <w:tcBorders>
              <w:top w:val="nil"/>
              <w:left w:val="nil"/>
              <w:bottom w:val="nil"/>
              <w:right w:val="nil"/>
            </w:tcBorders>
            <w:shd w:val="clear" w:color="auto" w:fill="auto"/>
            <w:vAlign w:val="center"/>
          </w:tcPr>
          <w:p w14:paraId="6A4C550A" w14:textId="3513640C" w:rsidR="00CE61F8" w:rsidRPr="00C974EE" w:rsidRDefault="00CE61F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0</w:t>
            </w:r>
          </w:p>
        </w:tc>
        <w:tc>
          <w:tcPr>
            <w:tcW w:w="762" w:type="dxa"/>
            <w:tcBorders>
              <w:top w:val="nil"/>
              <w:left w:val="nil"/>
              <w:bottom w:val="nil"/>
              <w:right w:val="nil"/>
            </w:tcBorders>
            <w:shd w:val="clear" w:color="auto" w:fill="auto"/>
            <w:noWrap/>
            <w:vAlign w:val="bottom"/>
          </w:tcPr>
          <w:p w14:paraId="0D67548D" w14:textId="3F3EC56B" w:rsidR="00CE61F8" w:rsidRPr="00C974EE" w:rsidRDefault="00CE61F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0.0</w:t>
            </w:r>
          </w:p>
        </w:tc>
      </w:tr>
      <w:tr w:rsidR="006F675A" w:rsidRPr="00C974EE" w14:paraId="5A98BF3E" w14:textId="77777777" w:rsidTr="00777FD3">
        <w:trPr>
          <w:trHeight w:val="60"/>
        </w:trPr>
        <w:tc>
          <w:tcPr>
            <w:tcW w:w="6893" w:type="dxa"/>
            <w:tcBorders>
              <w:top w:val="nil"/>
              <w:left w:val="nil"/>
              <w:bottom w:val="nil"/>
              <w:right w:val="nil"/>
            </w:tcBorders>
            <w:shd w:val="clear" w:color="auto" w:fill="auto"/>
            <w:vAlign w:val="center"/>
            <w:hideMark/>
          </w:tcPr>
          <w:p w14:paraId="4E102F89"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B. Average Timeframe for Spending Authorization</w:t>
            </w:r>
          </w:p>
        </w:tc>
        <w:tc>
          <w:tcPr>
            <w:tcW w:w="1705" w:type="dxa"/>
            <w:tcBorders>
              <w:top w:val="nil"/>
              <w:left w:val="nil"/>
              <w:bottom w:val="nil"/>
              <w:right w:val="nil"/>
            </w:tcBorders>
            <w:shd w:val="clear" w:color="auto" w:fill="auto"/>
            <w:vAlign w:val="center"/>
            <w:hideMark/>
          </w:tcPr>
          <w:p w14:paraId="5DFC6B17" w14:textId="77777777" w:rsidR="006F675A" w:rsidRPr="00C974EE" w:rsidRDefault="006F675A" w:rsidP="007D7F9D">
            <w:pPr>
              <w:spacing w:after="0" w:line="360" w:lineRule="auto"/>
              <w:rPr>
                <w:rFonts w:ascii="Times New Roman" w:eastAsia="Times New Roman" w:hAnsi="Times New Roman" w:cs="Times New Roman"/>
                <w:b/>
                <w:bCs/>
                <w:color w:val="000000"/>
                <w:kern w:val="0"/>
                <w14:ligatures w14:val="none"/>
              </w:rPr>
            </w:pPr>
          </w:p>
        </w:tc>
        <w:tc>
          <w:tcPr>
            <w:tcW w:w="762" w:type="dxa"/>
            <w:tcBorders>
              <w:top w:val="nil"/>
              <w:left w:val="nil"/>
              <w:bottom w:val="nil"/>
              <w:right w:val="nil"/>
            </w:tcBorders>
            <w:shd w:val="clear" w:color="auto" w:fill="auto"/>
            <w:noWrap/>
            <w:vAlign w:val="bottom"/>
            <w:hideMark/>
          </w:tcPr>
          <w:p w14:paraId="37A546C5"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0</w:t>
            </w:r>
          </w:p>
        </w:tc>
      </w:tr>
      <w:tr w:rsidR="006F675A" w:rsidRPr="00C974EE" w14:paraId="4DF9D7DD" w14:textId="77777777" w:rsidTr="00777FD3">
        <w:trPr>
          <w:trHeight w:val="305"/>
        </w:trPr>
        <w:tc>
          <w:tcPr>
            <w:tcW w:w="6893" w:type="dxa"/>
            <w:tcBorders>
              <w:top w:val="nil"/>
              <w:left w:val="nil"/>
              <w:bottom w:val="nil"/>
              <w:right w:val="nil"/>
            </w:tcBorders>
            <w:shd w:val="clear" w:color="auto" w:fill="auto"/>
            <w:vAlign w:val="center"/>
            <w:hideMark/>
          </w:tcPr>
          <w:p w14:paraId="30ED98E6" w14:textId="77777777" w:rsidR="006F675A"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3-4 Weeks</w:t>
            </w:r>
          </w:p>
        </w:tc>
        <w:tc>
          <w:tcPr>
            <w:tcW w:w="1705" w:type="dxa"/>
            <w:tcBorders>
              <w:top w:val="nil"/>
              <w:left w:val="nil"/>
              <w:bottom w:val="nil"/>
              <w:right w:val="nil"/>
            </w:tcBorders>
            <w:shd w:val="clear" w:color="auto" w:fill="auto"/>
            <w:vAlign w:val="center"/>
            <w:hideMark/>
          </w:tcPr>
          <w:p w14:paraId="260F6E32"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w:t>
            </w:r>
          </w:p>
        </w:tc>
        <w:tc>
          <w:tcPr>
            <w:tcW w:w="762" w:type="dxa"/>
            <w:tcBorders>
              <w:top w:val="nil"/>
              <w:left w:val="nil"/>
              <w:bottom w:val="nil"/>
              <w:right w:val="nil"/>
            </w:tcBorders>
            <w:shd w:val="clear" w:color="auto" w:fill="auto"/>
            <w:noWrap/>
            <w:vAlign w:val="bottom"/>
            <w:hideMark/>
          </w:tcPr>
          <w:p w14:paraId="3903484F" w14:textId="4ED1437E" w:rsidR="006F675A" w:rsidRPr="00C974EE" w:rsidRDefault="00B4176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57.1</w:t>
            </w:r>
          </w:p>
        </w:tc>
      </w:tr>
      <w:tr w:rsidR="006F675A" w:rsidRPr="00C974EE" w14:paraId="5A060B0A" w14:textId="77777777" w:rsidTr="00777FD3">
        <w:trPr>
          <w:trHeight w:val="90"/>
        </w:trPr>
        <w:tc>
          <w:tcPr>
            <w:tcW w:w="6893" w:type="dxa"/>
            <w:tcBorders>
              <w:top w:val="nil"/>
              <w:left w:val="nil"/>
              <w:bottom w:val="nil"/>
              <w:right w:val="nil"/>
            </w:tcBorders>
            <w:shd w:val="clear" w:color="auto" w:fill="auto"/>
            <w:vAlign w:val="center"/>
            <w:hideMark/>
          </w:tcPr>
          <w:p w14:paraId="04DB18F9" w14:textId="77777777" w:rsidR="006F675A"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2-3 Months</w:t>
            </w:r>
          </w:p>
        </w:tc>
        <w:tc>
          <w:tcPr>
            <w:tcW w:w="1705" w:type="dxa"/>
            <w:tcBorders>
              <w:top w:val="nil"/>
              <w:left w:val="nil"/>
              <w:bottom w:val="nil"/>
              <w:right w:val="nil"/>
            </w:tcBorders>
            <w:shd w:val="clear" w:color="auto" w:fill="auto"/>
            <w:vAlign w:val="center"/>
            <w:hideMark/>
          </w:tcPr>
          <w:p w14:paraId="6459BA35" w14:textId="6DD3570E" w:rsidR="006F675A" w:rsidRPr="00C974EE" w:rsidRDefault="00B4176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w:t>
            </w:r>
          </w:p>
        </w:tc>
        <w:tc>
          <w:tcPr>
            <w:tcW w:w="762" w:type="dxa"/>
            <w:tcBorders>
              <w:top w:val="nil"/>
              <w:left w:val="nil"/>
              <w:bottom w:val="nil"/>
              <w:right w:val="nil"/>
            </w:tcBorders>
            <w:shd w:val="clear" w:color="auto" w:fill="auto"/>
            <w:noWrap/>
            <w:vAlign w:val="bottom"/>
            <w:hideMark/>
          </w:tcPr>
          <w:p w14:paraId="61497478" w14:textId="17DC6808" w:rsidR="006F675A" w:rsidRPr="00C974EE" w:rsidRDefault="00B4176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28.6</w:t>
            </w:r>
          </w:p>
        </w:tc>
      </w:tr>
      <w:tr w:rsidR="006F675A" w:rsidRPr="00C974EE" w14:paraId="69964F1B" w14:textId="77777777" w:rsidTr="00777FD3">
        <w:trPr>
          <w:trHeight w:val="316"/>
        </w:trPr>
        <w:tc>
          <w:tcPr>
            <w:tcW w:w="6893" w:type="dxa"/>
            <w:tcBorders>
              <w:top w:val="nil"/>
              <w:left w:val="nil"/>
              <w:bottom w:val="single" w:sz="12" w:space="0" w:color="auto"/>
              <w:right w:val="nil"/>
            </w:tcBorders>
            <w:shd w:val="clear" w:color="auto" w:fill="auto"/>
            <w:vAlign w:val="center"/>
            <w:hideMark/>
          </w:tcPr>
          <w:p w14:paraId="34E26A9B" w14:textId="77777777" w:rsidR="006F675A" w:rsidRPr="00C974EE" w:rsidRDefault="006F675A" w:rsidP="007D7F9D">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More than 3 Months</w:t>
            </w:r>
          </w:p>
        </w:tc>
        <w:tc>
          <w:tcPr>
            <w:tcW w:w="1705" w:type="dxa"/>
            <w:tcBorders>
              <w:top w:val="nil"/>
              <w:left w:val="nil"/>
              <w:bottom w:val="single" w:sz="12" w:space="0" w:color="auto"/>
              <w:right w:val="nil"/>
            </w:tcBorders>
            <w:shd w:val="clear" w:color="auto" w:fill="auto"/>
            <w:vAlign w:val="center"/>
            <w:hideMark/>
          </w:tcPr>
          <w:p w14:paraId="6D208C54" w14:textId="77777777" w:rsidR="006F675A" w:rsidRPr="00C974EE" w:rsidRDefault="006F675A"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w:t>
            </w:r>
          </w:p>
        </w:tc>
        <w:tc>
          <w:tcPr>
            <w:tcW w:w="762" w:type="dxa"/>
            <w:tcBorders>
              <w:top w:val="nil"/>
              <w:left w:val="nil"/>
              <w:bottom w:val="single" w:sz="12" w:space="0" w:color="auto"/>
              <w:right w:val="nil"/>
            </w:tcBorders>
            <w:shd w:val="clear" w:color="auto" w:fill="auto"/>
            <w:noWrap/>
            <w:vAlign w:val="bottom"/>
            <w:hideMark/>
          </w:tcPr>
          <w:p w14:paraId="14B4726C" w14:textId="3886EC71" w:rsidR="006F675A" w:rsidRPr="00C974EE" w:rsidRDefault="00B41768" w:rsidP="007D7F9D">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14.3</w:t>
            </w:r>
          </w:p>
        </w:tc>
      </w:tr>
    </w:tbl>
    <w:p w14:paraId="5FD0538C" w14:textId="314A5162" w:rsidR="0079256F" w:rsidRPr="00FE675A" w:rsidRDefault="0079256F" w:rsidP="00C974EE">
      <w:pPr>
        <w:spacing w:line="360" w:lineRule="auto"/>
        <w:rPr>
          <w:rFonts w:ascii="Times New Roman" w:hAnsi="Times New Roman" w:cs="Times New Roman"/>
          <w:sz w:val="18"/>
          <w:szCs w:val="18"/>
        </w:rPr>
      </w:pPr>
      <w:r w:rsidRPr="00FE675A">
        <w:rPr>
          <w:rFonts w:ascii="Times New Roman" w:hAnsi="Times New Roman" w:cs="Times New Roman"/>
          <w:sz w:val="18"/>
          <w:szCs w:val="18"/>
        </w:rPr>
        <w:t>*Formal financial autonomy = legal authority to authorize expenditures without external approval</w:t>
      </w:r>
      <w:r w:rsidRPr="00FE675A">
        <w:rPr>
          <w:rFonts w:ascii="Times New Roman" w:hAnsi="Times New Roman" w:cs="Times New Roman"/>
          <w:sz w:val="18"/>
          <w:szCs w:val="18"/>
        </w:rPr>
        <w:br/>
        <w:t xml:space="preserve">**Perceived autonomy = </w:t>
      </w:r>
      <w:r w:rsidR="0048400E" w:rsidRPr="00FE675A">
        <w:rPr>
          <w:rFonts w:ascii="Times New Roman" w:hAnsi="Times New Roman" w:cs="Times New Roman"/>
          <w:sz w:val="18"/>
          <w:szCs w:val="18"/>
        </w:rPr>
        <w:t>in-charge</w:t>
      </w:r>
      <w:r w:rsidRPr="00FE675A">
        <w:rPr>
          <w:rFonts w:ascii="Times New Roman" w:hAnsi="Times New Roman" w:cs="Times New Roman"/>
          <w:sz w:val="18"/>
          <w:szCs w:val="18"/>
        </w:rPr>
        <w:t>s' subjective sense of control over resource use decisions</w:t>
      </w:r>
      <w:r w:rsidRPr="00FE675A">
        <w:rPr>
          <w:rFonts w:ascii="Times New Roman" w:hAnsi="Times New Roman" w:cs="Times New Roman"/>
          <w:sz w:val="18"/>
          <w:szCs w:val="18"/>
        </w:rPr>
        <w:br/>
        <w:t>***Based on n=7; all facilities require authorization</w:t>
      </w:r>
    </w:p>
    <w:p w14:paraId="0DBBB7C7" w14:textId="0FDDB0FE" w:rsidR="00CE61F8" w:rsidRPr="006C22A2" w:rsidRDefault="00CE61F8" w:rsidP="00C974EE">
      <w:pPr>
        <w:spacing w:line="360" w:lineRule="auto"/>
        <w:rPr>
          <w:rFonts w:ascii="Times New Roman" w:hAnsi="Times New Roman" w:cs="Times New Roman"/>
        </w:rPr>
      </w:pPr>
      <w:r w:rsidRPr="00C974EE">
        <w:rPr>
          <w:rFonts w:ascii="Times New Roman" w:hAnsi="Times New Roman" w:cs="Times New Roman"/>
        </w:rPr>
        <w:t>Two</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xml:space="preserve">s reporting moderate perceived autonomy felt they could </w:t>
      </w:r>
      <w:r w:rsidRPr="006C22A2">
        <w:rPr>
          <w:rFonts w:ascii="Times New Roman" w:hAnsi="Times New Roman" w:cs="Times New Roman"/>
          <w:i/>
          <w:iCs/>
        </w:rPr>
        <w:t>request</w:t>
      </w:r>
      <w:r w:rsidRPr="006C22A2">
        <w:rPr>
          <w:rFonts w:ascii="Times New Roman" w:hAnsi="Times New Roman" w:cs="Times New Roman"/>
        </w:rPr>
        <w:t xml:space="preserve"> and sometimes influence specific expenditure decisions through advocacy to county officials, even though final approval rested with the county. This contrasted with other </w:t>
      </w:r>
      <w:r w:rsidR="0048400E" w:rsidRPr="00C974EE">
        <w:rPr>
          <w:rFonts w:ascii="Times New Roman" w:hAnsi="Times New Roman" w:cs="Times New Roman"/>
        </w:rPr>
        <w:t>in-charge</w:t>
      </w:r>
      <w:r w:rsidRPr="006C22A2">
        <w:rPr>
          <w:rFonts w:ascii="Times New Roman" w:hAnsi="Times New Roman" w:cs="Times New Roman"/>
        </w:rPr>
        <w:t>s who felt they had no meaningful input into spending decisions:</w:t>
      </w:r>
    </w:p>
    <w:p w14:paraId="75860BB5" w14:textId="73A2F468"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"At least we can request what we need and sometimes they listen, especially for urgent things. But it's their decision in the end."</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5ABFFC96" w14:textId="55001C0B" w:rsidR="00CE61F8" w:rsidRPr="006C22A2" w:rsidRDefault="00FE675A" w:rsidP="00C974EE">
      <w:pPr>
        <w:spacing w:line="360" w:lineRule="auto"/>
        <w:rPr>
          <w:rFonts w:ascii="Times New Roman" w:hAnsi="Times New Roman" w:cs="Times New Roman"/>
        </w:rPr>
      </w:pPr>
      <w:r>
        <w:rPr>
          <w:rFonts w:ascii="Times New Roman" w:hAnsi="Times New Roman" w:cs="Times New Roman"/>
        </w:rPr>
        <w:t>All</w:t>
      </w:r>
      <w:r w:rsidRPr="00FE675A">
        <w:rPr>
          <w:rFonts w:ascii="Times New Roman" w:hAnsi="Times New Roman" w:cs="Times New Roman"/>
        </w:rPr>
        <w:t xml:space="preserve"> in-charges reported that even funds generated locally were deposited in county-controlled accounts and could not be used without authorization.</w:t>
      </w:r>
      <w:r w:rsidR="00CE61F8" w:rsidRPr="006C22A2">
        <w:rPr>
          <w:rFonts w:ascii="Times New Roman" w:hAnsi="Times New Roman" w:cs="Times New Roman"/>
        </w:rPr>
        <w:t>:</w:t>
      </w:r>
    </w:p>
    <w:p w14:paraId="1249E50E" w14:textId="15A0598E"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 xml:space="preserve">"The money collected through </w:t>
      </w:r>
      <w:proofErr w:type="spellStart"/>
      <w:r w:rsidRPr="006C22A2">
        <w:rPr>
          <w:rFonts w:ascii="Times New Roman" w:hAnsi="Times New Roman" w:cs="Times New Roman"/>
          <w:i/>
          <w:iCs/>
        </w:rPr>
        <w:t>paybill</w:t>
      </w:r>
      <w:proofErr w:type="spellEnd"/>
      <w:r w:rsidRPr="006C22A2">
        <w:rPr>
          <w:rFonts w:ascii="Times New Roman" w:hAnsi="Times New Roman" w:cs="Times New Roman"/>
          <w:i/>
          <w:iCs/>
        </w:rPr>
        <w:t xml:space="preserve"> goes to county and then sent to our account, but I can't use it. I have to be authorized to use it, which can take weeks."</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68337FB9" w14:textId="2E7E10C3"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"Even money we generate ourselves through user fees, we can't touch without approval. It doesn't make sense—we know what we need here."</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3 facility)</w:t>
      </w:r>
    </w:p>
    <w:p w14:paraId="1AB7C20A" w14:textId="391173F7"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rPr>
        <w:t xml:space="preserve">All </w:t>
      </w:r>
      <w:r w:rsidR="0048400E" w:rsidRPr="00C974EE">
        <w:rPr>
          <w:rFonts w:ascii="Times New Roman" w:hAnsi="Times New Roman" w:cs="Times New Roman"/>
        </w:rPr>
        <w:t>in-charge</w:t>
      </w:r>
      <w:r w:rsidRPr="006C22A2">
        <w:rPr>
          <w:rFonts w:ascii="Times New Roman" w:hAnsi="Times New Roman" w:cs="Times New Roman"/>
        </w:rPr>
        <w:t>s emphasized that authorization delays created cascading operational problems:</w:t>
      </w:r>
    </w:p>
    <w:p w14:paraId="169BA758" w14:textId="5DC587F2"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"The county sometimes waits for other budgets and this makes them take longer to authorize the money. We don't have direct withdrawal, so we just wait."</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66955D88" w14:textId="1758CEF2"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rPr>
        <w:t xml:space="preserve">Most </w:t>
      </w:r>
      <w:r w:rsidR="0048400E" w:rsidRPr="00C974EE">
        <w:rPr>
          <w:rFonts w:ascii="Times New Roman" w:hAnsi="Times New Roman" w:cs="Times New Roman"/>
        </w:rPr>
        <w:t>in-charge</w:t>
      </w:r>
      <w:r w:rsidRPr="006C22A2">
        <w:rPr>
          <w:rFonts w:ascii="Times New Roman" w:hAnsi="Times New Roman" w:cs="Times New Roman"/>
        </w:rPr>
        <w:t>s (6/7) specifically linked this lack of financial autonomy to their inability to respond to supply chain failures:</w:t>
      </w:r>
    </w:p>
    <w:p w14:paraId="0B321F26" w14:textId="58259E13"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"When KEMSA doesn't supply and we need to buy locally, we can't act fast. We have to wait for county approval and by then there's a stockout."</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1CE1A822" w14:textId="24C7FC8C" w:rsidR="00CE61F8" w:rsidRPr="006C22A2" w:rsidRDefault="00CE61F8" w:rsidP="00C974EE">
      <w:pPr>
        <w:spacing w:line="360" w:lineRule="auto"/>
        <w:rPr>
          <w:rFonts w:ascii="Times New Roman" w:hAnsi="Times New Roman" w:cs="Times New Roman"/>
        </w:rPr>
      </w:pPr>
      <w:r w:rsidRPr="006C22A2">
        <w:rPr>
          <w:rFonts w:ascii="Times New Roman" w:hAnsi="Times New Roman" w:cs="Times New Roman"/>
          <w:i/>
          <w:iCs/>
        </w:rPr>
        <w:t>"If we had even small petty cash for emergencies, we could buy locally when there are gaps. But we can't do anything without approval, so patients suffer."</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3 facility)</w:t>
      </w:r>
    </w:p>
    <w:p w14:paraId="2AEF14CF" w14:textId="77777777" w:rsidR="00FE675A" w:rsidRDefault="00FE675A" w:rsidP="00C974EE">
      <w:pPr>
        <w:spacing w:line="360" w:lineRule="auto"/>
        <w:rPr>
          <w:rFonts w:ascii="Times New Roman" w:hAnsi="Times New Roman" w:cs="Times New Roman"/>
          <w:b/>
          <w:bCs/>
        </w:rPr>
      </w:pPr>
      <w:r w:rsidRPr="00FE675A">
        <w:rPr>
          <w:rFonts w:ascii="Times New Roman" w:hAnsi="Times New Roman" w:cs="Times New Roman"/>
          <w:b/>
          <w:bCs/>
        </w:rPr>
        <w:t>Effects of financing mechanisms on NCD service delivery</w:t>
      </w:r>
    </w:p>
    <w:p w14:paraId="40F1603C" w14:textId="5F2966DE" w:rsidR="00825312" w:rsidRPr="00C974EE" w:rsidRDefault="004A2F03" w:rsidP="00C974EE">
      <w:pPr>
        <w:spacing w:line="360" w:lineRule="auto"/>
        <w:rPr>
          <w:rFonts w:ascii="Times New Roman" w:hAnsi="Times New Roman" w:cs="Times New Roman"/>
          <w:b/>
          <w:bCs/>
        </w:rPr>
      </w:pPr>
      <w:r w:rsidRPr="004A2F03">
        <w:rPr>
          <w:rFonts w:ascii="Times New Roman" w:hAnsi="Times New Roman" w:cs="Times New Roman"/>
        </w:rPr>
        <w:t>A majority of facilities (85.7%, n=6) experienced frequent or very frequent stockouts of essential hypertension and diabetes medicines</w:t>
      </w:r>
      <w:r w:rsidR="00825312" w:rsidRPr="004A2F03">
        <w:rPr>
          <w:rFonts w:ascii="Times New Roman" w:hAnsi="Times New Roman" w:cs="Times New Roman"/>
        </w:rPr>
        <w:t xml:space="preserve">, with 42.9% (n=3) reporting stockouts occurring almost always and another 42.9% experiencing stockouts </w:t>
      </w:r>
      <w:r w:rsidR="00825312" w:rsidRPr="00C974EE">
        <w:rPr>
          <w:rFonts w:ascii="Times New Roman" w:hAnsi="Times New Roman" w:cs="Times New Roman"/>
        </w:rPr>
        <w:t>more than four times annually (Table 5). Only one facility (14.3%) reported merely occasional stockouts (3-4 times per year).</w:t>
      </w:r>
      <w:r>
        <w:rPr>
          <w:rFonts w:ascii="Times New Roman" w:hAnsi="Times New Roman" w:cs="Times New Roman"/>
        </w:rPr>
        <w:t xml:space="preserve"> </w:t>
      </w:r>
    </w:p>
    <w:p w14:paraId="4BEF9F49" w14:textId="619CAF9B" w:rsidR="004A2F03" w:rsidRPr="004A2F03" w:rsidRDefault="004A2F03" w:rsidP="004A2F03">
      <w:pPr>
        <w:pStyle w:val="Caption"/>
        <w:keepNext/>
        <w:rPr>
          <w:rFonts w:ascii="Times New Roman" w:hAnsi="Times New Roman" w:cs="Times New Roman"/>
          <w:b/>
          <w:bCs/>
          <w:color w:val="auto"/>
          <w:sz w:val="24"/>
          <w:szCs w:val="24"/>
        </w:rPr>
      </w:pPr>
      <w:r w:rsidRPr="004A2F03">
        <w:rPr>
          <w:rFonts w:ascii="Times New Roman" w:hAnsi="Times New Roman" w:cs="Times New Roman"/>
          <w:b/>
          <w:bCs/>
          <w:color w:val="auto"/>
          <w:sz w:val="24"/>
          <w:szCs w:val="24"/>
        </w:rPr>
        <w:t xml:space="preserve">Table </w:t>
      </w:r>
      <w:r w:rsidRPr="004A2F03">
        <w:rPr>
          <w:rFonts w:ascii="Times New Roman" w:hAnsi="Times New Roman" w:cs="Times New Roman"/>
          <w:b/>
          <w:bCs/>
          <w:color w:val="auto"/>
          <w:sz w:val="24"/>
          <w:szCs w:val="24"/>
        </w:rPr>
        <w:fldChar w:fldCharType="begin"/>
      </w:r>
      <w:r w:rsidRPr="004A2F03">
        <w:rPr>
          <w:rFonts w:ascii="Times New Roman" w:hAnsi="Times New Roman" w:cs="Times New Roman"/>
          <w:b/>
          <w:bCs/>
          <w:color w:val="auto"/>
          <w:sz w:val="24"/>
          <w:szCs w:val="24"/>
        </w:rPr>
        <w:instrText xml:space="preserve"> SEQ Table \* ARABIC </w:instrText>
      </w:r>
      <w:r w:rsidRPr="004A2F03">
        <w:rPr>
          <w:rFonts w:ascii="Times New Roman" w:hAnsi="Times New Roman" w:cs="Times New Roman"/>
          <w:b/>
          <w:bCs/>
          <w:color w:val="auto"/>
          <w:sz w:val="24"/>
          <w:szCs w:val="24"/>
        </w:rPr>
        <w:fldChar w:fldCharType="separate"/>
      </w:r>
      <w:r w:rsidR="00841E0F">
        <w:rPr>
          <w:rFonts w:ascii="Times New Roman" w:hAnsi="Times New Roman" w:cs="Times New Roman"/>
          <w:b/>
          <w:bCs/>
          <w:noProof/>
          <w:color w:val="auto"/>
          <w:sz w:val="24"/>
          <w:szCs w:val="24"/>
        </w:rPr>
        <w:t>5</w:t>
      </w:r>
      <w:r w:rsidRPr="004A2F03">
        <w:rPr>
          <w:rFonts w:ascii="Times New Roman" w:hAnsi="Times New Roman" w:cs="Times New Roman"/>
          <w:b/>
          <w:bCs/>
          <w:color w:val="auto"/>
          <w:sz w:val="24"/>
          <w:szCs w:val="24"/>
        </w:rPr>
        <w:fldChar w:fldCharType="end"/>
      </w:r>
      <w:r w:rsidRPr="004A2F03">
        <w:rPr>
          <w:rFonts w:ascii="Times New Roman" w:hAnsi="Times New Roman" w:cs="Times New Roman"/>
          <w:b/>
          <w:bCs/>
          <w:color w:val="auto"/>
          <w:sz w:val="24"/>
          <w:szCs w:val="24"/>
        </w:rPr>
        <w:t>: Service readiness and medication availability indicators (N=7)</w:t>
      </w:r>
    </w:p>
    <w:tbl>
      <w:tblPr>
        <w:tblW w:w="5000" w:type="pct"/>
        <w:tblLook w:val="04A0" w:firstRow="1" w:lastRow="0" w:firstColumn="1" w:lastColumn="0" w:noHBand="0" w:noVBand="1"/>
      </w:tblPr>
      <w:tblGrid>
        <w:gridCol w:w="6038"/>
        <w:gridCol w:w="1486"/>
        <w:gridCol w:w="1836"/>
      </w:tblGrid>
      <w:tr w:rsidR="00122D0A" w:rsidRPr="00C974EE" w14:paraId="4C4413E1" w14:textId="77777777" w:rsidTr="00252AAD">
        <w:trPr>
          <w:trHeight w:val="312"/>
        </w:trPr>
        <w:tc>
          <w:tcPr>
            <w:tcW w:w="3225" w:type="pct"/>
            <w:tcBorders>
              <w:top w:val="single" w:sz="8" w:space="0" w:color="auto"/>
              <w:left w:val="nil"/>
              <w:bottom w:val="single" w:sz="12" w:space="0" w:color="auto"/>
              <w:right w:val="nil"/>
            </w:tcBorders>
            <w:shd w:val="clear" w:color="auto" w:fill="auto"/>
            <w:vAlign w:val="center"/>
            <w:hideMark/>
          </w:tcPr>
          <w:p w14:paraId="0BE91B8D"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Indicator</w:t>
            </w:r>
          </w:p>
        </w:tc>
        <w:tc>
          <w:tcPr>
            <w:tcW w:w="794" w:type="pct"/>
            <w:tcBorders>
              <w:top w:val="single" w:sz="8" w:space="0" w:color="auto"/>
              <w:left w:val="nil"/>
              <w:bottom w:val="single" w:sz="12" w:space="0" w:color="auto"/>
              <w:right w:val="nil"/>
            </w:tcBorders>
            <w:shd w:val="clear" w:color="auto" w:fill="auto"/>
            <w:vAlign w:val="center"/>
            <w:hideMark/>
          </w:tcPr>
          <w:p w14:paraId="08D29B29"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Number (n)</w:t>
            </w:r>
          </w:p>
        </w:tc>
        <w:tc>
          <w:tcPr>
            <w:tcW w:w="981" w:type="pct"/>
            <w:tcBorders>
              <w:top w:val="single" w:sz="8" w:space="0" w:color="auto"/>
              <w:left w:val="nil"/>
              <w:bottom w:val="single" w:sz="12" w:space="0" w:color="auto"/>
              <w:right w:val="nil"/>
            </w:tcBorders>
            <w:shd w:val="clear" w:color="auto" w:fill="auto"/>
            <w:vAlign w:val="center"/>
            <w:hideMark/>
          </w:tcPr>
          <w:p w14:paraId="12972A72"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Percentage (%)</w:t>
            </w:r>
          </w:p>
        </w:tc>
      </w:tr>
      <w:tr w:rsidR="00122D0A" w:rsidRPr="00C974EE" w14:paraId="0E27E31F" w14:textId="77777777" w:rsidTr="00252AAD">
        <w:trPr>
          <w:trHeight w:val="312"/>
        </w:trPr>
        <w:tc>
          <w:tcPr>
            <w:tcW w:w="3225" w:type="pct"/>
            <w:tcBorders>
              <w:top w:val="nil"/>
              <w:left w:val="nil"/>
              <w:bottom w:val="nil"/>
              <w:right w:val="nil"/>
            </w:tcBorders>
            <w:shd w:val="clear" w:color="auto" w:fill="auto"/>
            <w:vAlign w:val="center"/>
            <w:hideMark/>
          </w:tcPr>
          <w:p w14:paraId="6ABB8EFB"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A. Service Readiness</w:t>
            </w:r>
          </w:p>
        </w:tc>
        <w:tc>
          <w:tcPr>
            <w:tcW w:w="794" w:type="pct"/>
            <w:tcBorders>
              <w:top w:val="nil"/>
              <w:left w:val="nil"/>
              <w:bottom w:val="nil"/>
              <w:right w:val="nil"/>
            </w:tcBorders>
            <w:shd w:val="clear" w:color="auto" w:fill="auto"/>
            <w:vAlign w:val="center"/>
            <w:hideMark/>
          </w:tcPr>
          <w:p w14:paraId="386910C5"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p>
        </w:tc>
        <w:tc>
          <w:tcPr>
            <w:tcW w:w="981" w:type="pct"/>
            <w:tcBorders>
              <w:top w:val="nil"/>
              <w:left w:val="nil"/>
              <w:bottom w:val="nil"/>
              <w:right w:val="nil"/>
            </w:tcBorders>
            <w:shd w:val="clear" w:color="auto" w:fill="auto"/>
            <w:vAlign w:val="center"/>
            <w:hideMark/>
          </w:tcPr>
          <w:p w14:paraId="31B52A63" w14:textId="77777777" w:rsidR="00122D0A" w:rsidRPr="00C974EE" w:rsidRDefault="00122D0A" w:rsidP="00C974EE">
            <w:pPr>
              <w:spacing w:after="0" w:line="360" w:lineRule="auto"/>
              <w:rPr>
                <w:rFonts w:ascii="Times New Roman" w:eastAsia="Times New Roman" w:hAnsi="Times New Roman" w:cs="Times New Roman"/>
                <w:kern w:val="0"/>
                <w:sz w:val="20"/>
                <w:szCs w:val="20"/>
                <w14:ligatures w14:val="none"/>
              </w:rPr>
            </w:pPr>
          </w:p>
        </w:tc>
      </w:tr>
      <w:tr w:rsidR="00122D0A" w:rsidRPr="00C974EE" w14:paraId="1ED5B58F" w14:textId="77777777" w:rsidTr="00252AAD">
        <w:trPr>
          <w:trHeight w:val="302"/>
        </w:trPr>
        <w:tc>
          <w:tcPr>
            <w:tcW w:w="3225" w:type="pct"/>
            <w:tcBorders>
              <w:top w:val="nil"/>
              <w:left w:val="nil"/>
              <w:bottom w:val="nil"/>
              <w:right w:val="nil"/>
            </w:tcBorders>
            <w:shd w:val="clear" w:color="auto" w:fill="auto"/>
            <w:vAlign w:val="center"/>
            <w:hideMark/>
          </w:tcPr>
          <w:p w14:paraId="2B40D6DB"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Facilities with NCD-trained staff</w:t>
            </w:r>
          </w:p>
        </w:tc>
        <w:tc>
          <w:tcPr>
            <w:tcW w:w="794" w:type="pct"/>
            <w:tcBorders>
              <w:top w:val="nil"/>
              <w:left w:val="nil"/>
              <w:bottom w:val="nil"/>
              <w:right w:val="nil"/>
            </w:tcBorders>
            <w:shd w:val="clear" w:color="auto" w:fill="auto"/>
            <w:vAlign w:val="center"/>
            <w:hideMark/>
          </w:tcPr>
          <w:p w14:paraId="717F6B0B" w14:textId="5088DEAD" w:rsidR="00122D0A" w:rsidRPr="00C974EE" w:rsidRDefault="00403733"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3</w:t>
            </w:r>
          </w:p>
        </w:tc>
        <w:tc>
          <w:tcPr>
            <w:tcW w:w="981" w:type="pct"/>
            <w:tcBorders>
              <w:top w:val="nil"/>
              <w:left w:val="nil"/>
              <w:bottom w:val="nil"/>
              <w:right w:val="nil"/>
            </w:tcBorders>
            <w:shd w:val="clear" w:color="auto" w:fill="auto"/>
            <w:noWrap/>
            <w:vAlign w:val="bottom"/>
            <w:hideMark/>
          </w:tcPr>
          <w:p w14:paraId="403A7CE2" w14:textId="318D03D2" w:rsidR="00122D0A" w:rsidRPr="00C974EE" w:rsidRDefault="00403733"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122D0A" w:rsidRPr="00C974EE" w14:paraId="64ADB69A" w14:textId="77777777" w:rsidTr="00252AAD">
        <w:trPr>
          <w:trHeight w:val="144"/>
        </w:trPr>
        <w:tc>
          <w:tcPr>
            <w:tcW w:w="3225" w:type="pct"/>
            <w:tcBorders>
              <w:top w:val="nil"/>
              <w:left w:val="nil"/>
              <w:bottom w:val="nil"/>
              <w:right w:val="nil"/>
            </w:tcBorders>
            <w:shd w:val="clear" w:color="auto" w:fill="auto"/>
            <w:vAlign w:val="center"/>
            <w:hideMark/>
          </w:tcPr>
          <w:p w14:paraId="07A2DF0F"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Facilities with adequate NCD equipment</w:t>
            </w:r>
          </w:p>
        </w:tc>
        <w:tc>
          <w:tcPr>
            <w:tcW w:w="794" w:type="pct"/>
            <w:tcBorders>
              <w:top w:val="nil"/>
              <w:left w:val="nil"/>
              <w:bottom w:val="nil"/>
              <w:right w:val="nil"/>
            </w:tcBorders>
            <w:shd w:val="clear" w:color="auto" w:fill="auto"/>
            <w:vAlign w:val="center"/>
            <w:hideMark/>
          </w:tcPr>
          <w:p w14:paraId="0E53E718"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3</w:t>
            </w:r>
          </w:p>
        </w:tc>
        <w:tc>
          <w:tcPr>
            <w:tcW w:w="981" w:type="pct"/>
            <w:tcBorders>
              <w:top w:val="nil"/>
              <w:left w:val="nil"/>
              <w:bottom w:val="nil"/>
              <w:right w:val="nil"/>
            </w:tcBorders>
            <w:shd w:val="clear" w:color="auto" w:fill="auto"/>
            <w:noWrap/>
            <w:vAlign w:val="bottom"/>
            <w:hideMark/>
          </w:tcPr>
          <w:p w14:paraId="43D53060"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122D0A" w:rsidRPr="00C974EE" w14:paraId="37EDDDAE" w14:textId="77777777" w:rsidTr="00252AAD">
        <w:trPr>
          <w:trHeight w:val="302"/>
        </w:trPr>
        <w:tc>
          <w:tcPr>
            <w:tcW w:w="3225" w:type="pct"/>
            <w:tcBorders>
              <w:top w:val="nil"/>
              <w:left w:val="nil"/>
              <w:bottom w:val="nil"/>
              <w:right w:val="nil"/>
            </w:tcBorders>
            <w:shd w:val="clear" w:color="auto" w:fill="auto"/>
            <w:vAlign w:val="center"/>
            <w:hideMark/>
          </w:tcPr>
          <w:p w14:paraId="77432914"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B. Medication Availability</w:t>
            </w:r>
          </w:p>
        </w:tc>
        <w:tc>
          <w:tcPr>
            <w:tcW w:w="794" w:type="pct"/>
            <w:tcBorders>
              <w:top w:val="nil"/>
              <w:left w:val="nil"/>
              <w:bottom w:val="nil"/>
              <w:right w:val="nil"/>
            </w:tcBorders>
            <w:shd w:val="clear" w:color="auto" w:fill="auto"/>
            <w:vAlign w:val="center"/>
            <w:hideMark/>
          </w:tcPr>
          <w:p w14:paraId="668BDD1F" w14:textId="77777777" w:rsidR="00122D0A" w:rsidRPr="00C974EE" w:rsidRDefault="00122D0A" w:rsidP="00C974EE">
            <w:pPr>
              <w:spacing w:after="0" w:line="360" w:lineRule="auto"/>
              <w:rPr>
                <w:rFonts w:ascii="Times New Roman" w:eastAsia="Times New Roman" w:hAnsi="Times New Roman" w:cs="Times New Roman"/>
                <w:b/>
                <w:bCs/>
                <w:color w:val="000000"/>
                <w:kern w:val="0"/>
                <w14:ligatures w14:val="none"/>
              </w:rPr>
            </w:pPr>
          </w:p>
        </w:tc>
        <w:tc>
          <w:tcPr>
            <w:tcW w:w="981" w:type="pct"/>
            <w:tcBorders>
              <w:top w:val="nil"/>
              <w:left w:val="nil"/>
              <w:bottom w:val="nil"/>
              <w:right w:val="nil"/>
            </w:tcBorders>
            <w:shd w:val="clear" w:color="auto" w:fill="auto"/>
            <w:noWrap/>
            <w:vAlign w:val="bottom"/>
            <w:hideMark/>
          </w:tcPr>
          <w:p w14:paraId="1EAEEE04" w14:textId="46CC0AE9"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p>
        </w:tc>
      </w:tr>
      <w:tr w:rsidR="00122D0A" w:rsidRPr="00C974EE" w14:paraId="55EA8BBC" w14:textId="77777777" w:rsidTr="00252AAD">
        <w:trPr>
          <w:trHeight w:val="302"/>
        </w:trPr>
        <w:tc>
          <w:tcPr>
            <w:tcW w:w="3225" w:type="pct"/>
            <w:tcBorders>
              <w:top w:val="nil"/>
              <w:left w:val="nil"/>
              <w:bottom w:val="nil"/>
              <w:right w:val="nil"/>
            </w:tcBorders>
            <w:shd w:val="clear" w:color="auto" w:fill="auto"/>
            <w:vAlign w:val="center"/>
            <w:hideMark/>
          </w:tcPr>
          <w:p w14:paraId="3B5E27F7"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Reports frequent or very frequent medication stockouts</w:t>
            </w:r>
          </w:p>
        </w:tc>
        <w:tc>
          <w:tcPr>
            <w:tcW w:w="794" w:type="pct"/>
            <w:tcBorders>
              <w:top w:val="nil"/>
              <w:left w:val="nil"/>
              <w:bottom w:val="nil"/>
              <w:right w:val="nil"/>
            </w:tcBorders>
            <w:shd w:val="clear" w:color="auto" w:fill="auto"/>
            <w:vAlign w:val="center"/>
            <w:hideMark/>
          </w:tcPr>
          <w:p w14:paraId="262FFAB6" w14:textId="77777777" w:rsidR="00122D0A" w:rsidRPr="00C974EE" w:rsidRDefault="00122D0A" w:rsidP="00C974EE">
            <w:pPr>
              <w:spacing w:after="0" w:line="360" w:lineRule="auto"/>
              <w:jc w:val="right"/>
              <w:rPr>
                <w:rFonts w:ascii="Times New Roman" w:eastAsia="Times New Roman" w:hAnsi="Times New Roman" w:cs="Times New Roman"/>
                <w:b/>
                <w:bCs/>
                <w:color w:val="000000"/>
                <w:kern w:val="0"/>
                <w14:ligatures w14:val="none"/>
              </w:rPr>
            </w:pPr>
            <w:r w:rsidRPr="00C974EE">
              <w:rPr>
                <w:rFonts w:ascii="Times New Roman" w:eastAsia="Times New Roman" w:hAnsi="Times New Roman" w:cs="Times New Roman"/>
                <w:b/>
                <w:bCs/>
                <w:color w:val="000000"/>
                <w:kern w:val="0"/>
                <w14:ligatures w14:val="none"/>
              </w:rPr>
              <w:t>6</w:t>
            </w:r>
          </w:p>
        </w:tc>
        <w:tc>
          <w:tcPr>
            <w:tcW w:w="981" w:type="pct"/>
            <w:tcBorders>
              <w:top w:val="nil"/>
              <w:left w:val="nil"/>
              <w:bottom w:val="nil"/>
              <w:right w:val="nil"/>
            </w:tcBorders>
            <w:shd w:val="clear" w:color="auto" w:fill="auto"/>
            <w:noWrap/>
            <w:vAlign w:val="bottom"/>
            <w:hideMark/>
          </w:tcPr>
          <w:p w14:paraId="19B1D2A4"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85.7</w:t>
            </w:r>
          </w:p>
        </w:tc>
      </w:tr>
      <w:tr w:rsidR="00122D0A" w:rsidRPr="00C974EE" w14:paraId="4755A1EE" w14:textId="77777777" w:rsidTr="00252AAD">
        <w:trPr>
          <w:trHeight w:val="302"/>
        </w:trPr>
        <w:tc>
          <w:tcPr>
            <w:tcW w:w="3225" w:type="pct"/>
            <w:tcBorders>
              <w:top w:val="nil"/>
              <w:left w:val="nil"/>
              <w:bottom w:val="nil"/>
              <w:right w:val="nil"/>
            </w:tcBorders>
            <w:shd w:val="clear" w:color="auto" w:fill="auto"/>
            <w:vAlign w:val="center"/>
            <w:hideMark/>
          </w:tcPr>
          <w:p w14:paraId="21FF80F1"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i/>
                <w:iCs/>
                <w:color w:val="000000"/>
                <w:kern w:val="0"/>
                <w14:ligatures w14:val="none"/>
              </w:rPr>
              <w:t>Very frequently (almost always)</w:t>
            </w:r>
          </w:p>
        </w:tc>
        <w:tc>
          <w:tcPr>
            <w:tcW w:w="794" w:type="pct"/>
            <w:tcBorders>
              <w:top w:val="nil"/>
              <w:left w:val="nil"/>
              <w:bottom w:val="nil"/>
              <w:right w:val="nil"/>
            </w:tcBorders>
            <w:shd w:val="clear" w:color="auto" w:fill="auto"/>
            <w:vAlign w:val="center"/>
            <w:hideMark/>
          </w:tcPr>
          <w:p w14:paraId="620268A1" w14:textId="77777777" w:rsidR="00122D0A" w:rsidRPr="00C974EE" w:rsidRDefault="00122D0A" w:rsidP="00C974EE">
            <w:pPr>
              <w:spacing w:after="0" w:line="360" w:lineRule="auto"/>
              <w:jc w:val="right"/>
              <w:rPr>
                <w:rFonts w:ascii="Times New Roman" w:eastAsia="Times New Roman" w:hAnsi="Times New Roman" w:cs="Times New Roman"/>
                <w:i/>
                <w:iCs/>
                <w:color w:val="000000"/>
                <w:kern w:val="0"/>
                <w14:ligatures w14:val="none"/>
              </w:rPr>
            </w:pPr>
            <w:r w:rsidRPr="00C974EE">
              <w:rPr>
                <w:rFonts w:ascii="Times New Roman" w:eastAsia="Times New Roman" w:hAnsi="Times New Roman" w:cs="Times New Roman"/>
                <w:i/>
                <w:iCs/>
                <w:color w:val="000000"/>
                <w:kern w:val="0"/>
                <w14:ligatures w14:val="none"/>
              </w:rPr>
              <w:t>3</w:t>
            </w:r>
          </w:p>
        </w:tc>
        <w:tc>
          <w:tcPr>
            <w:tcW w:w="981" w:type="pct"/>
            <w:tcBorders>
              <w:top w:val="nil"/>
              <w:left w:val="nil"/>
              <w:bottom w:val="nil"/>
              <w:right w:val="nil"/>
            </w:tcBorders>
            <w:shd w:val="clear" w:color="auto" w:fill="auto"/>
            <w:noWrap/>
            <w:vAlign w:val="bottom"/>
            <w:hideMark/>
          </w:tcPr>
          <w:p w14:paraId="1174C27B"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122D0A" w:rsidRPr="00C974EE" w14:paraId="3F0E1295" w14:textId="77777777" w:rsidTr="00252AAD">
        <w:trPr>
          <w:trHeight w:val="302"/>
        </w:trPr>
        <w:tc>
          <w:tcPr>
            <w:tcW w:w="3225" w:type="pct"/>
            <w:tcBorders>
              <w:top w:val="nil"/>
              <w:left w:val="nil"/>
              <w:bottom w:val="nil"/>
              <w:right w:val="nil"/>
            </w:tcBorders>
            <w:shd w:val="clear" w:color="auto" w:fill="auto"/>
            <w:vAlign w:val="center"/>
            <w:hideMark/>
          </w:tcPr>
          <w:p w14:paraId="3B31F89C"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i/>
                <w:iCs/>
                <w:color w:val="000000"/>
                <w:kern w:val="0"/>
                <w14:ligatures w14:val="none"/>
              </w:rPr>
              <w:t>Frequently (more than 4 times per year)</w:t>
            </w:r>
          </w:p>
        </w:tc>
        <w:tc>
          <w:tcPr>
            <w:tcW w:w="794" w:type="pct"/>
            <w:tcBorders>
              <w:top w:val="nil"/>
              <w:left w:val="nil"/>
              <w:bottom w:val="nil"/>
              <w:right w:val="nil"/>
            </w:tcBorders>
            <w:shd w:val="clear" w:color="auto" w:fill="auto"/>
            <w:vAlign w:val="center"/>
            <w:hideMark/>
          </w:tcPr>
          <w:p w14:paraId="071B47A6" w14:textId="77777777" w:rsidR="00122D0A" w:rsidRPr="00C974EE" w:rsidRDefault="00122D0A" w:rsidP="00C974EE">
            <w:pPr>
              <w:spacing w:after="0" w:line="360" w:lineRule="auto"/>
              <w:jc w:val="right"/>
              <w:rPr>
                <w:rFonts w:ascii="Times New Roman" w:eastAsia="Times New Roman" w:hAnsi="Times New Roman" w:cs="Times New Roman"/>
                <w:i/>
                <w:iCs/>
                <w:color w:val="000000"/>
                <w:kern w:val="0"/>
                <w14:ligatures w14:val="none"/>
              </w:rPr>
            </w:pPr>
            <w:r w:rsidRPr="00C974EE">
              <w:rPr>
                <w:rFonts w:ascii="Times New Roman" w:eastAsia="Times New Roman" w:hAnsi="Times New Roman" w:cs="Times New Roman"/>
                <w:i/>
                <w:iCs/>
                <w:color w:val="000000"/>
                <w:kern w:val="0"/>
                <w14:ligatures w14:val="none"/>
              </w:rPr>
              <w:t>3</w:t>
            </w:r>
          </w:p>
        </w:tc>
        <w:tc>
          <w:tcPr>
            <w:tcW w:w="981" w:type="pct"/>
            <w:tcBorders>
              <w:top w:val="nil"/>
              <w:left w:val="nil"/>
              <w:bottom w:val="nil"/>
              <w:right w:val="nil"/>
            </w:tcBorders>
            <w:shd w:val="clear" w:color="auto" w:fill="auto"/>
            <w:noWrap/>
            <w:vAlign w:val="bottom"/>
            <w:hideMark/>
          </w:tcPr>
          <w:p w14:paraId="3C987004"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42.9</w:t>
            </w:r>
          </w:p>
        </w:tc>
      </w:tr>
      <w:tr w:rsidR="00122D0A" w:rsidRPr="00C974EE" w14:paraId="1BD6B0A5" w14:textId="77777777" w:rsidTr="00252AAD">
        <w:trPr>
          <w:trHeight w:val="312"/>
        </w:trPr>
        <w:tc>
          <w:tcPr>
            <w:tcW w:w="3225" w:type="pct"/>
            <w:tcBorders>
              <w:top w:val="nil"/>
              <w:left w:val="nil"/>
              <w:bottom w:val="single" w:sz="12" w:space="0" w:color="auto"/>
              <w:right w:val="nil"/>
            </w:tcBorders>
            <w:shd w:val="clear" w:color="auto" w:fill="auto"/>
            <w:vAlign w:val="center"/>
            <w:hideMark/>
          </w:tcPr>
          <w:p w14:paraId="19EBC2C3" w14:textId="77777777" w:rsidR="00122D0A" w:rsidRPr="00C974EE" w:rsidRDefault="00122D0A" w:rsidP="00C974EE">
            <w:pPr>
              <w:spacing w:after="0" w:line="360" w:lineRule="auto"/>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color w:val="000000"/>
                <w:kern w:val="0"/>
                <w14:ligatures w14:val="none"/>
              </w:rPr>
              <w:t> </w:t>
            </w:r>
            <w:r w:rsidRPr="00C974EE">
              <w:rPr>
                <w:rFonts w:ascii="Times New Roman" w:eastAsia="Times New Roman" w:hAnsi="Times New Roman" w:cs="Times New Roman"/>
                <w:i/>
                <w:iCs/>
                <w:color w:val="000000"/>
                <w:kern w:val="0"/>
                <w14:ligatures w14:val="none"/>
              </w:rPr>
              <w:t>Occasionally (3-4 times per year)</w:t>
            </w:r>
          </w:p>
        </w:tc>
        <w:tc>
          <w:tcPr>
            <w:tcW w:w="794" w:type="pct"/>
            <w:tcBorders>
              <w:top w:val="nil"/>
              <w:left w:val="nil"/>
              <w:bottom w:val="single" w:sz="12" w:space="0" w:color="auto"/>
              <w:right w:val="nil"/>
            </w:tcBorders>
            <w:shd w:val="clear" w:color="auto" w:fill="auto"/>
            <w:vAlign w:val="center"/>
            <w:hideMark/>
          </w:tcPr>
          <w:p w14:paraId="049B6426" w14:textId="77777777" w:rsidR="00122D0A" w:rsidRPr="00C974EE" w:rsidRDefault="00122D0A" w:rsidP="00C974EE">
            <w:pPr>
              <w:spacing w:after="0" w:line="360" w:lineRule="auto"/>
              <w:jc w:val="right"/>
              <w:rPr>
                <w:rFonts w:ascii="Times New Roman" w:eastAsia="Times New Roman" w:hAnsi="Times New Roman" w:cs="Times New Roman"/>
                <w:i/>
                <w:iCs/>
                <w:color w:val="000000"/>
                <w:kern w:val="0"/>
                <w14:ligatures w14:val="none"/>
              </w:rPr>
            </w:pPr>
            <w:r w:rsidRPr="00C974EE">
              <w:rPr>
                <w:rFonts w:ascii="Times New Roman" w:eastAsia="Times New Roman" w:hAnsi="Times New Roman" w:cs="Times New Roman"/>
                <w:i/>
                <w:iCs/>
                <w:color w:val="000000"/>
                <w:kern w:val="0"/>
                <w14:ligatures w14:val="none"/>
              </w:rPr>
              <w:t>1</w:t>
            </w:r>
          </w:p>
        </w:tc>
        <w:tc>
          <w:tcPr>
            <w:tcW w:w="981" w:type="pct"/>
            <w:tcBorders>
              <w:top w:val="nil"/>
              <w:left w:val="nil"/>
              <w:bottom w:val="single" w:sz="12" w:space="0" w:color="auto"/>
              <w:right w:val="nil"/>
            </w:tcBorders>
            <w:shd w:val="clear" w:color="auto" w:fill="auto"/>
            <w:noWrap/>
            <w:vAlign w:val="bottom"/>
            <w:hideMark/>
          </w:tcPr>
          <w:p w14:paraId="585DA6D9" w14:textId="77777777" w:rsidR="00122D0A" w:rsidRPr="00C974EE" w:rsidRDefault="00122D0A" w:rsidP="00C974EE">
            <w:pPr>
              <w:spacing w:after="0" w:line="360" w:lineRule="auto"/>
              <w:jc w:val="right"/>
              <w:rPr>
                <w:rFonts w:ascii="Times New Roman" w:eastAsia="Times New Roman" w:hAnsi="Times New Roman" w:cs="Times New Roman"/>
                <w:color w:val="000000"/>
                <w:kern w:val="0"/>
                <w14:ligatures w14:val="none"/>
              </w:rPr>
            </w:pPr>
            <w:r w:rsidRPr="00C974EE">
              <w:rPr>
                <w:rFonts w:ascii="Times New Roman" w:eastAsia="Times New Roman" w:hAnsi="Times New Roman" w:cs="Times New Roman"/>
                <w:color w:val="000000"/>
                <w:kern w:val="0"/>
                <w14:ligatures w14:val="none"/>
              </w:rPr>
              <w:t>14.3</w:t>
            </w:r>
          </w:p>
        </w:tc>
      </w:tr>
    </w:tbl>
    <w:p w14:paraId="1A2F1E3C" w14:textId="77777777" w:rsidR="00122D0A" w:rsidRPr="00C974EE" w:rsidRDefault="00122D0A" w:rsidP="00C974EE">
      <w:pPr>
        <w:spacing w:line="360" w:lineRule="auto"/>
        <w:rPr>
          <w:rFonts w:ascii="Times New Roman" w:hAnsi="Times New Roman" w:cs="Times New Roman"/>
        </w:rPr>
      </w:pPr>
    </w:p>
    <w:p w14:paraId="6E8C94BA" w14:textId="77777777" w:rsidR="004A2F03" w:rsidRPr="004A2F03" w:rsidRDefault="004A2F03" w:rsidP="00C974EE">
      <w:pPr>
        <w:spacing w:line="360" w:lineRule="auto"/>
        <w:rPr>
          <w:rFonts w:ascii="Times New Roman" w:hAnsi="Times New Roman" w:cs="Times New Roman"/>
        </w:rPr>
      </w:pPr>
      <w:r w:rsidRPr="004A2F03">
        <w:rPr>
          <w:rFonts w:ascii="Times New Roman" w:hAnsi="Times New Roman" w:cs="Times New Roman"/>
        </w:rPr>
        <w:t xml:space="preserve">In-charges linked these shortages to unreliable central supplies and inability to procure locally: </w:t>
      </w:r>
    </w:p>
    <w:p w14:paraId="760844F8" w14:textId="48BC95A0"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"Inconsistent supplies from both the county warehouses and KEMSA [Kenya Medical Supplies Authority], plus inadequate finance to make local arrangements for the drugs when there are gaps."</w:t>
      </w:r>
      <w:r w:rsidRPr="006C22A2">
        <w:rPr>
          <w:rFonts w:ascii="Times New Roman" w:hAnsi="Times New Roman" w:cs="Times New Roman"/>
        </w:rPr>
        <w:t xml:space="preserve"> (</w:t>
      </w:r>
      <w:r w:rsidR="0086349B">
        <w:rPr>
          <w:rFonts w:ascii="Times New Roman" w:hAnsi="Times New Roman" w:cs="Times New Roman"/>
        </w:rPr>
        <w:t>I</w:t>
      </w:r>
      <w:r w:rsidR="00B41768" w:rsidRPr="00C974EE">
        <w:rPr>
          <w:rFonts w:ascii="Times New Roman" w:hAnsi="Times New Roman" w:cs="Times New Roman"/>
        </w:rPr>
        <w:t>n-charge, Level 2 facility</w:t>
      </w:r>
      <w:r w:rsidRPr="006C22A2">
        <w:rPr>
          <w:rFonts w:ascii="Times New Roman" w:hAnsi="Times New Roman" w:cs="Times New Roman"/>
        </w:rPr>
        <w:t>)</w:t>
      </w:r>
    </w:p>
    <w:p w14:paraId="45A2D9AB" w14:textId="77777777" w:rsidR="001F63DC" w:rsidRDefault="00403733" w:rsidP="00C974EE">
      <w:pPr>
        <w:spacing w:line="360" w:lineRule="auto"/>
        <w:rPr>
          <w:rFonts w:ascii="Times New Roman" w:hAnsi="Times New Roman" w:cs="Times New Roman"/>
        </w:rPr>
      </w:pPr>
      <w:r w:rsidRPr="006C22A2">
        <w:rPr>
          <w:rFonts w:ascii="Times New Roman" w:hAnsi="Times New Roman" w:cs="Times New Roman"/>
          <w:b/>
          <w:bCs/>
        </w:rPr>
        <w:t>Clinical outcomes and patient safety.</w:t>
      </w:r>
      <w:r w:rsidRPr="006C22A2">
        <w:rPr>
          <w:rFonts w:ascii="Times New Roman" w:hAnsi="Times New Roman" w:cs="Times New Roman"/>
        </w:rPr>
        <w:t xml:space="preserve"> </w:t>
      </w:r>
    </w:p>
    <w:p w14:paraId="62706F89" w14:textId="3A1152D0"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rPr>
        <w:t xml:space="preserve">All </w:t>
      </w:r>
      <w:r w:rsidR="0048400E" w:rsidRPr="00C974EE">
        <w:rPr>
          <w:rFonts w:ascii="Times New Roman" w:hAnsi="Times New Roman" w:cs="Times New Roman"/>
        </w:rPr>
        <w:t>in-charge</w:t>
      </w:r>
      <w:r w:rsidRPr="006C22A2">
        <w:rPr>
          <w:rFonts w:ascii="Times New Roman" w:hAnsi="Times New Roman" w:cs="Times New Roman"/>
        </w:rPr>
        <w:t>s reported that medication stockouts directly led to disease progression and preventable complications. They described patients presenting with uncontrolled hypertension or diabetes because they could not access medications:</w:t>
      </w:r>
    </w:p>
    <w:p w14:paraId="0A517A6A" w14:textId="2D7BB51C"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"We see patients deteriorating because of stockouts. They come back with strokes, kidney problems, or diabetic complications that could have been prevented if we had consistent drug supply."</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72D1DFBD" w14:textId="0D7E0121"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 xml:space="preserve">"[There is] no effective diagnosis and monitoring when equipment breaks down and also misdiagnosis because equipment </w:t>
      </w:r>
      <w:proofErr w:type="gramStart"/>
      <w:r w:rsidRPr="006C22A2">
        <w:rPr>
          <w:rFonts w:ascii="Times New Roman" w:hAnsi="Times New Roman" w:cs="Times New Roman"/>
          <w:i/>
          <w:iCs/>
        </w:rPr>
        <w:t>are</w:t>
      </w:r>
      <w:proofErr w:type="gramEnd"/>
      <w:r w:rsidRPr="006C22A2">
        <w:rPr>
          <w:rFonts w:ascii="Times New Roman" w:hAnsi="Times New Roman" w:cs="Times New Roman"/>
          <w:i/>
          <w:iCs/>
        </w:rPr>
        <w:t xml:space="preserve"> faulty but we can't get them fixed without approval for funds."</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7A501AC3" w14:textId="77777777" w:rsidR="001F63DC" w:rsidRDefault="00403733" w:rsidP="00C974EE">
      <w:pPr>
        <w:spacing w:line="360" w:lineRule="auto"/>
        <w:rPr>
          <w:rFonts w:ascii="Times New Roman" w:hAnsi="Times New Roman" w:cs="Times New Roman"/>
        </w:rPr>
      </w:pPr>
      <w:r w:rsidRPr="006C22A2">
        <w:rPr>
          <w:rFonts w:ascii="Times New Roman" w:hAnsi="Times New Roman" w:cs="Times New Roman"/>
          <w:b/>
          <w:bCs/>
        </w:rPr>
        <w:t>Patient trust and continuity of care.</w:t>
      </w:r>
      <w:r w:rsidRPr="006C22A2">
        <w:rPr>
          <w:rFonts w:ascii="Times New Roman" w:hAnsi="Times New Roman" w:cs="Times New Roman"/>
        </w:rPr>
        <w:t xml:space="preserve"> </w:t>
      </w:r>
    </w:p>
    <w:p w14:paraId="78814E71" w14:textId="13854260"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rPr>
        <w:t xml:space="preserve">All </w:t>
      </w:r>
      <w:r w:rsidR="0048400E" w:rsidRPr="00C974EE">
        <w:rPr>
          <w:rFonts w:ascii="Times New Roman" w:hAnsi="Times New Roman" w:cs="Times New Roman"/>
        </w:rPr>
        <w:t>in-charge</w:t>
      </w:r>
      <w:r w:rsidRPr="006C22A2">
        <w:rPr>
          <w:rFonts w:ascii="Times New Roman" w:hAnsi="Times New Roman" w:cs="Times New Roman"/>
        </w:rPr>
        <w:t>s emphasized that persistent service failures eroded patient confidence in the public health system, leading to treatment abandonment and loss to follow-up:</w:t>
      </w:r>
    </w:p>
    <w:p w14:paraId="13AB3DC3" w14:textId="00C2294B"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"When patients come here repeatedly and we have no medicine, they lose faith in us. They stop coming for their appointments, which leads to poor adherence and worse outcomes. We see them later with complications."</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2B6D2D4B" w14:textId="08BEC58C"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"Stockouts and delay in services because of financing problems—clients run away because of these. They go to private facilities or just stop treatment."</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3 facility)</w:t>
      </w:r>
    </w:p>
    <w:p w14:paraId="166F6CB7" w14:textId="2687864D"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"Once you disappoint a patient several times, they don't come back. Then we lose them until they have an emergency. That's not how chronic disease care should work."</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5025546A" w14:textId="77777777" w:rsidR="001F63DC" w:rsidRDefault="00403733" w:rsidP="00C974EE">
      <w:pPr>
        <w:spacing w:line="360" w:lineRule="auto"/>
        <w:rPr>
          <w:rFonts w:ascii="Times New Roman" w:hAnsi="Times New Roman" w:cs="Times New Roman"/>
        </w:rPr>
      </w:pPr>
      <w:r w:rsidRPr="006C22A2">
        <w:rPr>
          <w:rFonts w:ascii="Times New Roman" w:hAnsi="Times New Roman" w:cs="Times New Roman"/>
          <w:b/>
          <w:bCs/>
        </w:rPr>
        <w:t>Staff morale and operational capacity.</w:t>
      </w:r>
      <w:r w:rsidRPr="006C22A2">
        <w:rPr>
          <w:rFonts w:ascii="Times New Roman" w:hAnsi="Times New Roman" w:cs="Times New Roman"/>
        </w:rPr>
        <w:t xml:space="preserve"> </w:t>
      </w:r>
    </w:p>
    <w:p w14:paraId="4BAA737C" w14:textId="6E1FAC63"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rPr>
        <w:t xml:space="preserve">Most </w:t>
      </w:r>
      <w:r w:rsidR="0048400E" w:rsidRPr="00C974EE">
        <w:rPr>
          <w:rFonts w:ascii="Times New Roman" w:hAnsi="Times New Roman" w:cs="Times New Roman"/>
        </w:rPr>
        <w:t>in-charge</w:t>
      </w:r>
      <w:r w:rsidRPr="006C22A2">
        <w:rPr>
          <w:rFonts w:ascii="Times New Roman" w:hAnsi="Times New Roman" w:cs="Times New Roman"/>
        </w:rPr>
        <w:t>s (6/7) described how financial constraints placed immense strain on health workers, who possessed clinical skills but lacked the resources to apply them effectively:</w:t>
      </w:r>
    </w:p>
    <w:p w14:paraId="651D2F11" w14:textId="48B673E3"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"It is demoralizing. You have the skills and training, but you cannot offer the service because there are no medicines or the glucometer has no strips. That's very frustrating for a professional."</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2BA382E8" w14:textId="089C031B" w:rsidR="00403733" w:rsidRPr="006C22A2" w:rsidRDefault="00403733" w:rsidP="00C974EE">
      <w:pPr>
        <w:spacing w:line="360" w:lineRule="auto"/>
        <w:rPr>
          <w:rFonts w:ascii="Times New Roman" w:hAnsi="Times New Roman" w:cs="Times New Roman"/>
        </w:rPr>
      </w:pPr>
      <w:r w:rsidRPr="006C22A2">
        <w:rPr>
          <w:rFonts w:ascii="Times New Roman" w:hAnsi="Times New Roman" w:cs="Times New Roman"/>
          <w:i/>
          <w:iCs/>
        </w:rPr>
        <w:t>"We have staff who are overworked and burnt out, and at the same time, we cannot even find funds for basic things like batteries for the BP machines or glucometer strips. It becomes a constant struggle that affects morale."</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2 facility)</w:t>
      </w:r>
    </w:p>
    <w:p w14:paraId="3AE1CF0E" w14:textId="18F1EF11" w:rsidR="00403733" w:rsidRDefault="00403733" w:rsidP="00C974EE">
      <w:pPr>
        <w:spacing w:line="360" w:lineRule="auto"/>
        <w:rPr>
          <w:rFonts w:ascii="Times New Roman" w:hAnsi="Times New Roman" w:cs="Times New Roman"/>
        </w:rPr>
      </w:pPr>
      <w:r w:rsidRPr="006C22A2">
        <w:rPr>
          <w:rFonts w:ascii="Times New Roman" w:hAnsi="Times New Roman" w:cs="Times New Roman"/>
          <w:i/>
          <w:iCs/>
        </w:rPr>
        <w:t>"Our nurses and clinical officers feel helpless when they can't help patients because of system failures beyond our control. Some are considering leaving for facilities where they can actually practice."</w:t>
      </w:r>
      <w:r w:rsidRPr="006C22A2">
        <w:rPr>
          <w:rFonts w:ascii="Times New Roman" w:hAnsi="Times New Roman" w:cs="Times New Roman"/>
        </w:rPr>
        <w:t xml:space="preserve"> (</w:t>
      </w:r>
      <w:r w:rsidR="0048400E" w:rsidRPr="00C974EE">
        <w:rPr>
          <w:rFonts w:ascii="Times New Roman" w:hAnsi="Times New Roman" w:cs="Times New Roman"/>
        </w:rPr>
        <w:t>In-charge</w:t>
      </w:r>
      <w:r w:rsidRPr="006C22A2">
        <w:rPr>
          <w:rFonts w:ascii="Times New Roman" w:hAnsi="Times New Roman" w:cs="Times New Roman"/>
        </w:rPr>
        <w:t>, Level 4 facility)</w:t>
      </w:r>
    </w:p>
    <w:p w14:paraId="6ED0F226" w14:textId="77777777" w:rsidR="001F63DC" w:rsidRPr="006C22A2" w:rsidRDefault="001F63DC" w:rsidP="00C974EE">
      <w:pPr>
        <w:spacing w:line="360" w:lineRule="auto"/>
        <w:rPr>
          <w:rFonts w:ascii="Times New Roman" w:hAnsi="Times New Roman" w:cs="Times New Roman"/>
        </w:rPr>
      </w:pPr>
    </w:p>
    <w:p w14:paraId="6499A342"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Discussion</w:t>
      </w:r>
    </w:p>
    <w:p w14:paraId="2ACF1C74" w14:textId="7A5F8535" w:rsidR="00347EA4" w:rsidRPr="00347EA4"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This study contributes to comparative debates on </w:t>
      </w:r>
      <w:proofErr w:type="spellStart"/>
      <w:r w:rsidRPr="00347EA4">
        <w:rPr>
          <w:rFonts w:ascii="Times New Roman" w:hAnsi="Times New Roman" w:cs="Times New Roman"/>
        </w:rPr>
        <w:t>decentralisation</w:t>
      </w:r>
      <w:proofErr w:type="spellEnd"/>
      <w:r w:rsidRPr="00347EA4">
        <w:rPr>
          <w:rFonts w:ascii="Times New Roman" w:hAnsi="Times New Roman" w:cs="Times New Roman"/>
        </w:rPr>
        <w:t xml:space="preserve"> and chronic care by demonstrating how facility financing architecture and fiscal decision space interact to shape continuity of hypertension and diabetes services in rural primary health care. In </w:t>
      </w:r>
      <w:proofErr w:type="spellStart"/>
      <w:r w:rsidRPr="00347EA4">
        <w:rPr>
          <w:rFonts w:ascii="Times New Roman" w:hAnsi="Times New Roman" w:cs="Times New Roman"/>
        </w:rPr>
        <w:t>decentralised</w:t>
      </w:r>
      <w:proofErr w:type="spellEnd"/>
      <w:r w:rsidRPr="00347EA4">
        <w:rPr>
          <w:rFonts w:ascii="Times New Roman" w:hAnsi="Times New Roman" w:cs="Times New Roman"/>
        </w:rPr>
        <w:t xml:space="preserve"> systems, improvements in responsiveness depend not only on transferring responsibilities to local governments, but also on whether frontline facilities have timely access to funds and practical authority to use them for essential commodities and operations. For chronic conditions that require continuous medicines, diagnostics, and follow up, delays in purchasing and constrained spending authority can translate rapidly into service interruptions </w:t>
      </w:r>
      <w:r w:rsidR="004115C2">
        <w:rPr>
          <w:rFonts w:ascii="Times New Roman" w:hAnsi="Times New Roman" w:cs="Times New Roman"/>
        </w:rPr>
        <w:fldChar w:fldCharType="begin"/>
      </w:r>
      <w:r w:rsidR="004115C2">
        <w:rPr>
          <w:rFonts w:ascii="Times New Roman" w:hAnsi="Times New Roman" w:cs="Times New Roman"/>
        </w:rPr>
        <w:instrText xml:space="preserve"> ADDIN ZOTERO_ITEM CSL_CITATION {"citationID":"JTZ7z9SX","properties":{"custom":"[5, 6]","formattedCitation":"[5, 6]","plainCitation":"[5, 6]","noteIndex":0},"citationItems":[{"id":7,"uris":["http://zotero.org/users/local/C4anYv1I/items/PYRACTKA"],"itemData":{"id":7,"type":"article-journal","container-title":"World Health Organization","title":"Package of essential noncommunicable (PEN) disease interventions for primary health care in low-resource settings","author":[{"literal":"WHO"}],"issued":{"date-parts":[["2010"]]}},"label":"page"},{"id":9,"uris":["http://zotero.org/users/local/C4anYv1I/items/6IB4SRFC"],"itemData":{"id":9,"type":"chapter","container-title":"Global action plan for the prevention and control of noncommunicable diseases 2013-2020","title":"Global action plan for the prevention and control of noncommunicable diseases 2013-2020","author":[{"family":"Organization","given":"World Health"},{"literal":"others"}],"issued":{"date-parts":[["2013"]]}},"label":"page"}],"schema":"https://github.com/citation-style-language/schema/raw/master/csl-citation.json"}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[5, 6]</w:t>
      </w:r>
      <w:r w:rsidR="004115C2">
        <w:rPr>
          <w:rFonts w:ascii="Times New Roman" w:hAnsi="Times New Roman" w:cs="Times New Roman"/>
        </w:rPr>
        <w:fldChar w:fldCharType="end"/>
      </w:r>
      <w:r w:rsidR="004115C2">
        <w:rPr>
          <w:rFonts w:ascii="Times New Roman" w:hAnsi="Times New Roman" w:cs="Times New Roman"/>
        </w:rPr>
        <w:t xml:space="preserve">. </w:t>
      </w:r>
      <w:r w:rsidRPr="00347EA4">
        <w:rPr>
          <w:rFonts w:ascii="Times New Roman" w:hAnsi="Times New Roman" w:cs="Times New Roman"/>
        </w:rPr>
        <w:t xml:space="preserve">Our findings therefore speak to a broader governance challenge in </w:t>
      </w:r>
      <w:proofErr w:type="spellStart"/>
      <w:r w:rsidRPr="00347EA4">
        <w:rPr>
          <w:rFonts w:ascii="Times New Roman" w:hAnsi="Times New Roman" w:cs="Times New Roman"/>
        </w:rPr>
        <w:t>decentralised</w:t>
      </w:r>
      <w:proofErr w:type="spellEnd"/>
      <w:r w:rsidRPr="00347EA4">
        <w:rPr>
          <w:rFonts w:ascii="Times New Roman" w:hAnsi="Times New Roman" w:cs="Times New Roman"/>
        </w:rPr>
        <w:t xml:space="preserve"> health systems, namely how accountability arrangements can unintentionally reduce local responsiveness for services that depend on continuity.</w:t>
      </w:r>
    </w:p>
    <w:p w14:paraId="66835DA3" w14:textId="0A6AAA62" w:rsidR="00347EA4" w:rsidRPr="00347EA4"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A key finding is that facilities reported preparing annual workplans and budgets, yet these processes were often weakly linked to executed allocations and disbursements. In the absence of dedicated budget lines for noncommunicable disease services, facility plans for hypertension and diabetes were frequently subsumed within general budgets and competed with other priorities. Similar fragmentation between planning and budgeting has been documented in other devolved county contexts in Kenya, where facility and sub county plans do not consistently translate into predictable resource flows </w:t>
      </w:r>
      <w:r w:rsidR="004115C2">
        <w:rPr>
          <w:rFonts w:ascii="Times New Roman" w:hAnsi="Times New Roman" w:cs="Times New Roman"/>
        </w:rPr>
        <w:fldChar w:fldCharType="begin"/>
      </w:r>
      <w:r w:rsidR="004115C2">
        <w:rPr>
          <w:rFonts w:ascii="Times New Roman" w:hAnsi="Times New Roman" w:cs="Times New Roman"/>
        </w:rPr>
        <w:instrText xml:space="preserve"> ADDIN ZOTERO_ITEM CSL_CITATION {"citationID":"GB1uH7Dd","properties":{"custom":"[14, 38]","formattedCitation":"[14, 38]","plainCitation":"[14, 38]","noteIndex":0},"citationItems":[{"id":23,"uris":["http://zotero.org/users/local/C4anYv1I/items/W2DLM355"],"itemData":{"id":23,"type":"article-journal","container-title":"BMC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id":20,"uris":["http://zotero.org/users/local/C4anYv1I/items/A5DXREMU"],"itemData":{"id":20,"type":"article-journal","abstract":"Operational planning is considered an important tool for translating government policies and strategic objectives into day-to-day management activities. However,  developing countries suffer from persistent misalignment between policy, planning  and budgeting. The Medium Term Expenditure Framework (MTEF) was introduced to  address this misalignment. Kenya adopted the MTEF in the early 2000s, and in  2005, the Ministry of Health adopted the Annual Operational Plan process to adapt  the MTEF to the health sector. This study assessed the degree to which the health  sector Annual Operational Plan process in Kenya has achieved alignment between  planning and budgeting at the national level, using document reviews, participant  observation and key informant interviews. We found that the Kenyan health sector  was far from achieving planning and budgeting alignment. Several factors  contributed to this problem including weak Ministry of Health stewardship and  institutionalized separation between planning and budgeting processes; a rapidly  changing planning and budgeting environment; lack of reliable data to inform  target setting and poor participation by key stakeholders in the process  including a top-down approach to target setting. We conclude that alignment is  unlikely to be achieved without consideration of the specific institutional  contexts and the power relationships between stakeholders. In particular, there  is a need for institutional integration of the planning and budgeting processes  into a common cycle and framework with common reporting lines and for improved  data and local-level input to inform appropriate and realistic target setting. ©  2015 The Authors. International Journal of Health Planning and Management  published by John Wiley &amp; Sons, Ltd.","container-title":"The International journal of health planning and management","DOI":"10.1002/hpm.2286","ISSN":"1099-1751 0749-6753","issue":"3","journalAbbreviation":"Int J Health Plann Manage","language":"eng","license":"© 2015 The Authors. International Journal of Health Planning and Management published by John Wiley &amp; Sons, Ltd.","note":"publisher-place: England","page":"260-276","PMID":"25783862","PMCID":"PMC4988384","title":"Health sector operational planning and budgeting processes in Kenya-\"never the twain shall meet\".","volume":"31","author":[{"family":"Tsofa","given":"Benjamin"},{"family":"Molyneux","given":"Sassy"},{"family":"Goodman","given":"Catherine"}],"issued":{"date-parts":[["2016",7]]}},"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[14, 38]</w:t>
      </w:r>
      <w:r w:rsidR="004115C2">
        <w:rPr>
          <w:rFonts w:ascii="Times New Roman" w:hAnsi="Times New Roman" w:cs="Times New Roman"/>
        </w:rPr>
        <w:fldChar w:fldCharType="end"/>
      </w:r>
      <w:r w:rsidR="004115C2" w:rsidRPr="009A686F">
        <w:rPr>
          <w:rFonts w:ascii="Times New Roman" w:hAnsi="Times New Roman" w:cs="Times New Roman"/>
        </w:rPr>
        <w:t xml:space="preserve">. </w:t>
      </w:r>
      <w:r w:rsidRPr="00347EA4">
        <w:rPr>
          <w:rFonts w:ascii="Times New Roman" w:hAnsi="Times New Roman" w:cs="Times New Roman"/>
        </w:rPr>
        <w:t xml:space="preserve">For chronic care, this disconnection matters because it undermines the ability to plan procurement, sustain counselling and follow up activities, and maintain minimum diagnostic and medicine availability required for stable disease control </w:t>
      </w:r>
      <w:r w:rsidR="004115C2">
        <w:rPr>
          <w:rFonts w:ascii="Times New Roman" w:hAnsi="Times New Roman" w:cs="Times New Roman"/>
        </w:rPr>
        <w:fldChar w:fldCharType="begin"/>
      </w:r>
      <w:r w:rsidR="00CC6C64">
        <w:rPr>
          <w:rFonts w:ascii="Times New Roman" w:hAnsi="Times New Roman" w:cs="Times New Roman"/>
        </w:rPr>
        <w:instrText xml:space="preserve"> ADDIN ZOTERO_ITEM CSL_CITATION {"citationID":"sg1KiGCR","properties":{"custom":"[5, 6]","formattedCitation":"[5, 6]","plainCitation":"[5, 6]","noteIndex":0},"citationItems":[{"id":7,"uris":["http://zotero.org/users/local/C4anYv1I/items/PYRACTKA"],"itemData":{"id":7,"type":"article-journal","container-title":"World Health Organization","title":"Package of essential noncommunicable (PEN) disease interventions for primary health care in low-resource settings","author":[{"literal":"WHO"}],"issued":{"date-parts":[["2010"]]}},"label":"page"},{"id":9,"uris":["http://zotero.org/users/local/C4anYv1I/items/6IB4SRFC"],"itemData":{"id":9,"type":"chapter","container-title":"Global action plan for the prevention and control of noncommunicable diseases 2013-2020","title":"Global action plan for the prevention and control of noncommunicable diseases 2013-2020","author":[{"family":"Organization","given":"World Health"},{"literal":"others"}],"issued":{"date-parts":[["2013"]]}},"label":"page"}],"schema":"https://github.com/citation-style-language/schema/raw/master/csl-citation.json"}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[5, 6]</w:t>
      </w:r>
      <w:r w:rsidR="004115C2">
        <w:rPr>
          <w:rFonts w:ascii="Times New Roman" w:hAnsi="Times New Roman" w:cs="Times New Roman"/>
        </w:rPr>
        <w:fldChar w:fldCharType="end"/>
      </w:r>
      <w:r w:rsidR="004115C2">
        <w:rPr>
          <w:rFonts w:ascii="Times New Roman" w:hAnsi="Times New Roman" w:cs="Times New Roman"/>
        </w:rPr>
        <w:t>.</w:t>
      </w:r>
    </w:p>
    <w:p w14:paraId="58AC2BB4" w14:textId="52C15C22" w:rsidR="00347EA4" w:rsidRPr="00347EA4"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The findings also indicate that the composition and predictability of facility revenue contributed to fragile service readiness. Most facilities relied on a narrow set of funding sources, particularly insurance reimbursements and external support, with limited direct county funding through routine mechanisms. Participants described delays in reimbursements and uncertainty in external support, which reduced liquidity and constrained routine purchasing decisions. These patterns align with broader evidence that noncommunicable diseases receive comparatively limited external assistance, raising concerns about sustainability where domestic financing and purchasing arrangements remain weak </w:t>
      </w:r>
      <w:r w:rsidR="004115C2">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{"citationID":"4MXl66Jd","properties":{"formattedCitation":"[44]","plainCitation":"[44]","noteIndex":0},"citationItems":[{"id":63,"uris":["http://zotero.org/users/local/C4anYv1I/items/LVZKKI8P"],"itemData":{"id":63,"type":"article-journal","abstract":"The economic burden on households of non-communicable diseases (NCDs), including cardiovascular diseases, cancer, respiratory diseases, and diabetes, poses major challenges to global poverty alleviation efforts. For patients with NCDs, being uninsured is associated with 2-7-fold higher odds of catastrophic levels of out-of-pocket costs; however, the protection offered by health insurance is often incomplete. To enable coverage of the predictable and long-term costs of treatment, national programmes to extend financial protection should be based on schemes that entail compulsory enrolment or be financed through taxation. Priority should be given to eliminating financial barriers to the uptake of and adherence to interventions that are cost-effective and are designed to help the poor. In concert with programmes to strengthen national health systems and governance arrangements, comprehensive financial protection against the growing burden of NCDs is crucial in meeting the UN's Sustainable Development Goals.","container-title":"Lancet (London, England)","DOI":"10.1016/S0140-6736(18)30323-4","ISSN":"1474-547X","issue":"10134","journalAbbreviation":"Lancet","language":"eng","page":"2047-2058","PMID":"29627161","source":"PubMed","title":"Action to address the household economic burden of non-communicable diseases","volume":"391","author":[{"family":"Jan","given":"Stephen"},{"family":"Laba","given":"Tracey-Lea"},{"family":"Essue","given":"Beverley M."},{"family":"Gheorghe","given":"Adrian"},{"family":"Muhunthan","given":"Janani"},{"family":"Engelgau","given":"Michael"},{"family":"Mahal","given":"Ajay"},{"family":"Griffiths","given":"Ulla"},{"family":"McIntyre","given":"Diane"},{"family":"Meng","given":"Qingyue"},{"family":"Nugent","given":"Rachel"},{"family":"Atun","given":"Rifat"}],"issued":{"date-parts":[["2018",5,19]]}}}],"schema":"https://github.com/citation-style-language/schema/raw/master/csl-citation.json"} </w:instrText>
      </w:r>
      <w:r w:rsidR="004115C2">
        <w:rPr>
          <w:rFonts w:ascii="Times New Roman" w:hAnsi="Times New Roman" w:cs="Times New Roman"/>
        </w:rPr>
        <w:fldChar w:fldCharType="separate"/>
      </w:r>
      <w:r w:rsidR="0086349B" w:rsidRPr="0086349B">
        <w:rPr>
          <w:rFonts w:ascii="Times New Roman" w:hAnsi="Times New Roman" w:cs="Times New Roman"/>
        </w:rPr>
        <w:t>[44]</w:t>
      </w:r>
      <w:r w:rsidR="004115C2">
        <w:rPr>
          <w:rFonts w:ascii="Times New Roman" w:hAnsi="Times New Roman" w:cs="Times New Roman"/>
        </w:rPr>
        <w:fldChar w:fldCharType="end"/>
      </w:r>
      <w:r w:rsidR="004115C2">
        <w:rPr>
          <w:rFonts w:ascii="Times New Roman" w:hAnsi="Times New Roman" w:cs="Times New Roman"/>
        </w:rPr>
        <w:t xml:space="preserve">. </w:t>
      </w:r>
      <w:r w:rsidRPr="00347EA4">
        <w:rPr>
          <w:rFonts w:ascii="Times New Roman" w:hAnsi="Times New Roman" w:cs="Times New Roman"/>
        </w:rPr>
        <w:t>In this context, strengthening chronic care requires a financing approach that increases predictability and reduces volatility in facility operating resources, especially for essential medicines that cannot be substituted when stockouts occur.</w:t>
      </w:r>
    </w:p>
    <w:p w14:paraId="4313773C" w14:textId="5CC804BB" w:rsidR="00220DD8"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Restricted facility spending authority further amplified the effects of limited and unpredictable revenue. All participating facilities required external </w:t>
      </w:r>
      <w:proofErr w:type="spellStart"/>
      <w:r w:rsidRPr="00347EA4">
        <w:rPr>
          <w:rFonts w:ascii="Times New Roman" w:hAnsi="Times New Roman" w:cs="Times New Roman"/>
        </w:rPr>
        <w:t>authorisation</w:t>
      </w:r>
      <w:proofErr w:type="spellEnd"/>
      <w:r w:rsidRPr="00347EA4">
        <w:rPr>
          <w:rFonts w:ascii="Times New Roman" w:hAnsi="Times New Roman" w:cs="Times New Roman"/>
        </w:rPr>
        <w:t xml:space="preserve"> to spend funds held in facility accounts, with reported approval timelines ranging from weeks to months. These delays were described as particularly consequential when central supplies were delayed or incomplete and facilities needed to respond quickly to commodity gaps. This finding is consistent with the governance tension within Kenya’s devolved system, where devolution sought to bring decision making closer to communities </w:t>
      </w:r>
      <w:r w:rsidR="004115C2">
        <w:rPr>
          <w:rFonts w:ascii="Times New Roman" w:hAnsi="Times New Roman" w:cs="Times New Roman"/>
        </w:rPr>
        <w:fldChar w:fldCharType="begin"/>
      </w:r>
      <w:r w:rsidR="004115C2">
        <w:rPr>
          <w:rFonts w:ascii="Times New Roman" w:hAnsi="Times New Roman" w:cs="Times New Roman"/>
        </w:rPr>
        <w:instrText xml:space="preserve"> ADDIN ZOTERO_ITEM CSL_CITATION {"citationID":"n5cnLeok","properties":{"formattedCitation":"[15]","plainCitation":"[15]","noteIndex":0},"citationItems":[{"id":14,"uris":["http://zotero.org/users/local/C4anYv1I/items/F25BZ6R2"],"itemData":{"id":14,"type":"article-journal","container-title":"Government Printer.","title":"The Constitution of Kenya. Nairobi: National Council for Law Reporting","URL":"https://www.refworld.org/legal/legislation/natlegbod/2010/en/75699","author":[{"family":"The Constitution of Kenya","given":""}],"issued":{"date-parts":[["2010"]]}}}],"schema":"https://github.com/citation-style-language/schema/raw/master/csl-citation.json"}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[15]</w:t>
      </w:r>
      <w:r w:rsidR="004115C2">
        <w:rPr>
          <w:rFonts w:ascii="Times New Roman" w:hAnsi="Times New Roman" w:cs="Times New Roman"/>
        </w:rPr>
        <w:fldChar w:fldCharType="end"/>
      </w:r>
      <w:r w:rsidR="004115C2">
        <w:rPr>
          <w:rFonts w:ascii="Times New Roman" w:hAnsi="Times New Roman" w:cs="Times New Roman"/>
        </w:rPr>
        <w:t xml:space="preserve">, </w:t>
      </w:r>
      <w:r w:rsidRPr="00347EA4">
        <w:rPr>
          <w:rFonts w:ascii="Times New Roman" w:hAnsi="Times New Roman" w:cs="Times New Roman"/>
        </w:rPr>
        <w:t xml:space="preserve">yet the Public Finance Management Act of 2012 strengthened county level control over public funds and, in practice, often limited facility level decision space for routine operational decisions </w:t>
      </w:r>
      <w:r w:rsidR="004115C2">
        <w:rPr>
          <w:rFonts w:ascii="Times New Roman" w:hAnsi="Times New Roman" w:cs="Times New Roman"/>
        </w:rPr>
        <w:fldChar w:fldCharType="begin"/>
      </w:r>
      <w:r w:rsidR="0086349B">
        <w:rPr>
          <w:rFonts w:ascii="Times New Roman" w:hAnsi="Times New Roman" w:cs="Times New Roman"/>
        </w:rPr>
        <w:instrText xml:space="preserve"> ADDIN ZOTERO_ITEM CSL_CITATION {"citationID":"iproxc7a","properties":{"formattedCitation":"[21]","plainCitation":"[21]","noteIndex":0},"citationItems":[{"id":128,"uris":["http://zotero.org/users/local/C4anYv1I/items/UCPFZ9YB"],"itemData":{"id":128,"type":"bill","authority":"National Council for Law Reporting","title":"PUBLIC FINANCE MANAGEMENT ACT","volume":"12","issued":{"date-parts":[["2012"]]}}}],"schema":"https://github.com/citation-style-language/schema/raw/master/csl-citation.json"} </w:instrText>
      </w:r>
      <w:r w:rsidR="004115C2">
        <w:rPr>
          <w:rFonts w:ascii="Times New Roman" w:hAnsi="Times New Roman" w:cs="Times New Roman"/>
        </w:rPr>
        <w:fldChar w:fldCharType="separate"/>
      </w:r>
      <w:r w:rsidR="0086349B" w:rsidRPr="0086349B">
        <w:rPr>
          <w:rFonts w:ascii="Times New Roman" w:hAnsi="Times New Roman" w:cs="Times New Roman"/>
        </w:rPr>
        <w:t>[21]</w:t>
      </w:r>
      <w:r w:rsidR="004115C2">
        <w:rPr>
          <w:rFonts w:ascii="Times New Roman" w:hAnsi="Times New Roman" w:cs="Times New Roman"/>
        </w:rPr>
        <w:fldChar w:fldCharType="end"/>
      </w:r>
      <w:r w:rsidR="004115C2" w:rsidRPr="009A686F">
        <w:rPr>
          <w:rFonts w:ascii="Times New Roman" w:hAnsi="Times New Roman" w:cs="Times New Roman"/>
        </w:rPr>
        <w:t>.</w:t>
      </w:r>
      <w:r w:rsidR="004115C2">
        <w:rPr>
          <w:rFonts w:ascii="Times New Roman" w:hAnsi="Times New Roman" w:cs="Times New Roman"/>
        </w:rPr>
        <w:t xml:space="preserve"> </w:t>
      </w:r>
      <w:r w:rsidRPr="00347EA4">
        <w:rPr>
          <w:rFonts w:ascii="Times New Roman" w:hAnsi="Times New Roman" w:cs="Times New Roman"/>
        </w:rPr>
        <w:t>Our findings support the interpretation that the challenge is not only the adequacy of financing, but also the institutional rules that govern whether funds can be used when needed.</w:t>
      </w:r>
    </w:p>
    <w:p w14:paraId="60156B09" w14:textId="20D88EEA" w:rsidR="00347EA4" w:rsidRPr="00347EA4"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This represents a structural misalignment between </w:t>
      </w:r>
      <w:proofErr w:type="spellStart"/>
      <w:r w:rsidRPr="00347EA4">
        <w:rPr>
          <w:rFonts w:ascii="Times New Roman" w:hAnsi="Times New Roman" w:cs="Times New Roman"/>
        </w:rPr>
        <w:t>decentralisation</w:t>
      </w:r>
      <w:proofErr w:type="spellEnd"/>
      <w:r w:rsidRPr="00347EA4">
        <w:rPr>
          <w:rFonts w:ascii="Times New Roman" w:hAnsi="Times New Roman" w:cs="Times New Roman"/>
        </w:rPr>
        <w:t xml:space="preserve"> rhetoric and practical fiscal decision space at facility level</w:t>
      </w:r>
      <w:r w:rsidR="00220DD8" w:rsidRPr="00220DD8">
        <w:rPr>
          <w:rFonts w:ascii="Times New Roman" w:hAnsi="Times New Roman" w:cs="Times New Roman"/>
        </w:rPr>
        <w:t>. This contrasts with successful decentralized financing models, such as Thailand’s Universal Coverage Scheme, where district-level contracting units retain significant purchasing authority, enabling them to respond rapidly to local needs despite central budget caps</w:t>
      </w:r>
      <w:r w:rsidR="00220DD8">
        <w:rPr>
          <w:rFonts w:ascii="Times New Roman" w:hAnsi="Times New Roman" w:cs="Times New Roman"/>
        </w:rPr>
        <w:fldChar w:fldCharType="begin"/>
      </w:r>
      <w:r w:rsidR="00633833">
        <w:rPr>
          <w:rFonts w:ascii="Times New Roman" w:hAnsi="Times New Roman" w:cs="Times New Roman"/>
        </w:rPr>
        <w:instrText xml:space="preserve"> ADDIN ZOTERO_ITEM CSL_CITATION {"citationID":"hZDB9dnR","properties":{"formattedCitation":"[45, 46]","plainCitation":"[45, 46]","noteIndex":0},"citationItems":[{"id":150,"uris":["http://zotero.org/users/local/C4anYv1I/items/2X5F3DRI"],"itemData":{"id":150,"type":"article-journal","abstract":"Background\nThailand’s Universal Coverage Scheme (UCS) has improved healthcare access and utilization since its initial introduction in 2002. However, a substantial proportion of beneficiaries has utilized care outside the UCS boundaries. Because low utilization may be an indication of a policy gap between people’s health needs and the services available to them, we investigated the patterns of health-seeking behavior and their social/contextual determinants among UCS beneficiaries in the year 2013.\n\nResults\nThe study findings from the outpatient analysis showed that the use of designated facilities for care was significantly higher in low-income, unemployed, and chronic status groups. The findings from the inpatient analysis showed that the use of designated facilities for care was significantly higher in the low-income, older, and female groups. Particularly, for the low-income group, we found that they (1) had greater health care needs, (2) received a larger number of services from designated facilities, and (3) paid the least for both inpatient and outpatient services.\n\nConclusions\nThis pro-poor impact indicated that the UCS could adequately respond to beneficiaries’ needs in terms of vertical equity. However, we also found that a considerable proportion of beneficiaries utilized out-of-network services, which implied a lack of universal access to policy services from a horizontal equity point of view. Thus, the policy should continue expanding and diversifying its service benefits to strengthen horizontal equity. Particularly, private sector involvement for those who are employed as well as the increased unmet health needs of those in rural areas may be important policy priorities for that. Lastly, methodological issues such as severity adjustment and a detailed categorization of health-seeking behaviors need to be further considered for a better understanding of the policy impact.","container-title":"SpringerPlus","DOI":"10.1186/s40064-016-3665-4","ISSN":"2193-1801","issue":"1","journalAbbreviation":"Springerplus","page":"1952","PMID":"27933235","PMCID":"PMC5104696","source":"PubMed Central","title":"Thailand’s universal coverage scheme and its impact on health-seeking behavior","URL":"https://pmc.ncbi.nlm.nih.gov/articles/PMC5104696/","volume":"5","author":[{"family":"Paek","given":"Seung Chun"},{"family":"Meemon","given":"Natthani"},{"family":"Wan","given":"Thomas T. H."}],"accessed":{"date-parts":[["2026",2,17]]},"issued":{"date-parts":[["2016",11,10]]}},"label":"page"},{"id":154,"uris":["http://zotero.org/users/local/C4anYv1I/items/QUSMDCEB"],"itemData":{"id":154,"type":"article-journal","language":"en","source":"Zotero","title":"Health Care Financing in Thailand: Learnings in the Theory and Practice of Universal Health Coverage","author":[{"family":"Sundararaman","given":"Dr T"}],"issued":{"date-parts":[["2024"]]}},"label":"page"}],"schema":"https://github.com/citation-style-language/schema/raw/master/csl-citation.json"} </w:instrText>
      </w:r>
      <w:r w:rsidR="00220DD8">
        <w:rPr>
          <w:rFonts w:ascii="Times New Roman" w:hAnsi="Times New Roman" w:cs="Times New Roman"/>
        </w:rPr>
        <w:fldChar w:fldCharType="separate"/>
      </w:r>
      <w:r w:rsidR="00633833" w:rsidRPr="00633833">
        <w:rPr>
          <w:rFonts w:ascii="Times New Roman" w:hAnsi="Times New Roman" w:cs="Times New Roman"/>
        </w:rPr>
        <w:t>[45, 46]</w:t>
      </w:r>
      <w:r w:rsidR="00220DD8">
        <w:rPr>
          <w:rFonts w:ascii="Times New Roman" w:hAnsi="Times New Roman" w:cs="Times New Roman"/>
        </w:rPr>
        <w:fldChar w:fldCharType="end"/>
      </w:r>
      <w:r w:rsidR="00220DD8" w:rsidRPr="00220DD8">
        <w:rPr>
          <w:rFonts w:ascii="Times New Roman" w:hAnsi="Times New Roman" w:cs="Times New Roman"/>
        </w:rPr>
        <w:t>. In the Kenyan context, it is critical to distinguish the loci of reform: while the National government determines the overarching legal framework (PFM Act) and reimbursement rates</w:t>
      </w:r>
      <w:r w:rsidR="00070B89">
        <w:rPr>
          <w:rFonts w:ascii="Times New Roman" w:hAnsi="Times New Roman" w:cs="Times New Roman"/>
        </w:rPr>
        <w:t xml:space="preserve"> </w:t>
      </w:r>
      <w:r w:rsidR="00070B89">
        <w:rPr>
          <w:rFonts w:ascii="Times New Roman" w:hAnsi="Times New Roman" w:cs="Times New Roman"/>
        </w:rPr>
        <w:fldChar w:fldCharType="begin"/>
      </w:r>
      <w:r w:rsidR="00070B89">
        <w:rPr>
          <w:rFonts w:ascii="Times New Roman" w:hAnsi="Times New Roman" w:cs="Times New Roman"/>
        </w:rPr>
        <w:instrText xml:space="preserve"> ADDIN ZOTERO_ITEM CSL_CITATION {"citationID":"3MaKd14M","properties":{"formattedCitation":"[14]","plainCitation":"[14]","noteIndex":0},"citationItems":[{"id":23,"uris":["http://zotero.org/users/local/C4anYv1I/items/W2DLM355"],"itemData":{"id":23,"type":"article-journal","container-title":"BMC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schema":"https://github.com/citation-style-language/schema/raw/master/csl-citation.json"} </w:instrText>
      </w:r>
      <w:r w:rsidR="00070B89">
        <w:rPr>
          <w:rFonts w:ascii="Times New Roman" w:hAnsi="Times New Roman" w:cs="Times New Roman"/>
        </w:rPr>
        <w:fldChar w:fldCharType="separate"/>
      </w:r>
      <w:r w:rsidR="00070B89" w:rsidRPr="00070B89">
        <w:rPr>
          <w:rFonts w:ascii="Times New Roman" w:hAnsi="Times New Roman" w:cs="Times New Roman"/>
        </w:rPr>
        <w:t>[14]</w:t>
      </w:r>
      <w:r w:rsidR="00070B89">
        <w:rPr>
          <w:rFonts w:ascii="Times New Roman" w:hAnsi="Times New Roman" w:cs="Times New Roman"/>
        </w:rPr>
        <w:fldChar w:fldCharType="end"/>
      </w:r>
      <w:r w:rsidR="00220DD8" w:rsidRPr="00220DD8">
        <w:rPr>
          <w:rFonts w:ascii="Times New Roman" w:hAnsi="Times New Roman" w:cs="Times New Roman"/>
        </w:rPr>
        <w:t>, County governments possess the administrative discretion to streamline authorization workflows and enact facility-level retention laws (Facility Improvement Fund Acts) that can bypass current bottlenecks</w:t>
      </w:r>
      <w:r w:rsidR="00070B89">
        <w:rPr>
          <w:rFonts w:ascii="Times New Roman" w:hAnsi="Times New Roman" w:cs="Times New Roman"/>
        </w:rPr>
        <w:t xml:space="preserve"> </w:t>
      </w:r>
      <w:r w:rsidR="00070B89">
        <w:rPr>
          <w:rFonts w:ascii="Times New Roman" w:hAnsi="Times New Roman" w:cs="Times New Roman"/>
        </w:rPr>
        <w:fldChar w:fldCharType="begin"/>
      </w:r>
      <w:r w:rsidR="00070B89">
        <w:rPr>
          <w:rFonts w:ascii="Times New Roman" w:hAnsi="Times New Roman" w:cs="Times New Roman"/>
        </w:rPr>
        <w:instrText xml:space="preserve"> ADDIN ZOTERO_ITEM CSL_CITATION {"citationID":"4lZYB2PO","properties":{"formattedCitation":"[47, 48]","plainCitation":"[47, 48]","noteIndex":0},"citationItems":[{"id":157,"uris":["http://zotero.org/users/local/C4anYv1I/items/7CDC49AY"],"itemData":{"id":157,"type":"article-journal","abstract":"Introduction\nThere is a growing emphasis on improving primary health care services and granting frontline service providers more decision-making autonomy. In October 2023, Kenya enacted legislation mandating nationwide facility autonomy. There is limited understanding of the effects of health facility autonomy on primary health care (PHC) facilities performance. It is recognized that stakeholder interests influence reforms, and gender plays a critical role in access to health and its outcomes. This protocol outlines the methods for a study that plans to evaluate the effects, implementation experience, political economy, and gendered effects of health facility autonomy reforms in Kenya.\n\nMethods and Analysis\nThe research will use a before-and-after quasi-experimental study design to measure the effects of the reform on service readiness and service utilization, and a cross-sectional qualitative study to explore the implementation experience, political economy, and gendered effects of these reforms. Data to measure the effects of autonomy will be collected from a sample of 80 health facilities and 1600 clients per study arm. Qualitative interviews will involve approximately 83 facility managers and policymakers at the county level, distributed across intervening (36), and planning to intervene (36) counties. Additionally, 11 interviews will be conducted at the national level with representatives from the Ministry of Health, the National Treasury, the Controller of Budget, the Council of Governors, the Auditor General, and development partners. Given the uncertainty surrounding the implementation of the reforms, this study proposes two secondary designs in the event our primary design is not feasible – a cross-sectional study, and a quasi-experimental interrupted time series design. The study will use a difference-in-difference analysis for the quantitative component to evaluate the effects of the reforms, while using thematic analysis for the qualitative component to evaluate the political economy and the implementation experience of the reforms.\n\nEthics and Dissemination\nThis study was approved by the Kenya Medical Research Institute Scientific and Ethics Review Unit (KEMRI/SERU/CGMR-C/294/4708) and the National Commission for Science, Technology and Innovation (NACOSTI/P/23/28111). We plan to disseminate the findings through publications, policy briefs and dissemination workshops","container-title":"BMJ public health","DOI":"10.1136/bmjph-2024-001156","ISSN":"2753-4294","issue":"2","journalAbbreviation":"BMJ Public Health","page":"e001156","PMID":"39822946","PMCID":"PMC11737602","source":"PubMed Central","title":"Evaluating the effects, implementation experience and political economy of primary healthcare facility autonomy reforms within counties in Kenya: a mixed methods study protocol","title-short":"Evaluating the effects, implementation experience and political economy of primary healthcare facility autonomy reforms within counties in Kenya","URL":"https://pmc.ncbi.nlm.nih.gov/articles/PMC11737602/","volume":"2","author":[{"family":"Musiega","given":"Anita"},{"family":"Amboko","given":"Beatrice"},{"family":"Maritim","given":"Beryl"},{"family":"Nzinga","given":"Jacinta"},{"family":"Tsofa","given":"Benjamin"},{"family":"Mugo","given":"Peter Mwangi"},{"family":"Wong","given":"Ethan"},{"family":"Mazzilli","given":"Caitlin"},{"family":"Ng'ang'a","given":"Wangari"},{"family":"Hagedorn","given":"Brittany L"},{"family":"Turner","given":"Gillian"},{"family":"Musuva","given":"Anne"},{"family":"Murira","given":"Felix"},{"family":"Ravishankar","given":"Nirmala"},{"family":"Barasa","given":"Edwine"}],"accessed":{"date-parts":[["2026",2,17]]},"issued":{"date-parts":[["2024",7]]}},"label":"page"},{"id":155,"uris":["http://zotero.org/users/local/C4anYv1I/items/LXDEL3KX"],"itemData":{"id":155,"type":"book","language":"en","source":"new.kenyalaw.org","title":"Facilities Improvement Financing Act","URL":"https://new.kenyalaw.org/akn/ke/act/2023/14/eng@2023-11-24","accessed":{"date-parts":[["2026",2,17]]},"issued":{"date-parts":[["2023",11,24]]}},"label":"page"}],"schema":"https://github.com/citation-style-language/schema/raw/master/csl-citation.json"} </w:instrText>
      </w:r>
      <w:r w:rsidR="00070B89">
        <w:rPr>
          <w:rFonts w:ascii="Times New Roman" w:hAnsi="Times New Roman" w:cs="Times New Roman"/>
        </w:rPr>
        <w:fldChar w:fldCharType="separate"/>
      </w:r>
      <w:r w:rsidR="00070B89" w:rsidRPr="00070B89">
        <w:rPr>
          <w:rFonts w:ascii="Times New Roman" w:hAnsi="Times New Roman" w:cs="Times New Roman"/>
        </w:rPr>
        <w:t>[47, 48]</w:t>
      </w:r>
      <w:r w:rsidR="00070B89">
        <w:rPr>
          <w:rFonts w:ascii="Times New Roman" w:hAnsi="Times New Roman" w:cs="Times New Roman"/>
        </w:rPr>
        <w:fldChar w:fldCharType="end"/>
      </w:r>
      <w:r w:rsidR="00220DD8" w:rsidRPr="00220DD8">
        <w:rPr>
          <w:rFonts w:ascii="Times New Roman" w:hAnsi="Times New Roman" w:cs="Times New Roman"/>
        </w:rPr>
        <w:t>.</w:t>
      </w:r>
    </w:p>
    <w:p w14:paraId="30B81F86" w14:textId="6D9438DF" w:rsidR="00347EA4" w:rsidRDefault="00347EA4" w:rsidP="00347EA4">
      <w:pPr>
        <w:spacing w:line="360" w:lineRule="auto"/>
        <w:rPr>
          <w:rFonts w:ascii="Times New Roman" w:hAnsi="Times New Roman" w:cs="Times New Roman"/>
        </w:rPr>
      </w:pPr>
      <w:r w:rsidRPr="00347EA4">
        <w:rPr>
          <w:rFonts w:ascii="Times New Roman" w:hAnsi="Times New Roman" w:cs="Times New Roman"/>
        </w:rPr>
        <w:t xml:space="preserve">This study also adds to Kenyan literature on health financing under devolution, including work by </w:t>
      </w:r>
      <w:proofErr w:type="spellStart"/>
      <w:r w:rsidRPr="00347EA4">
        <w:rPr>
          <w:rFonts w:ascii="Times New Roman" w:hAnsi="Times New Roman" w:cs="Times New Roman"/>
        </w:rPr>
        <w:t>Barasa</w:t>
      </w:r>
      <w:proofErr w:type="spellEnd"/>
      <w:r w:rsidRPr="00347EA4">
        <w:rPr>
          <w:rFonts w:ascii="Times New Roman" w:hAnsi="Times New Roman" w:cs="Times New Roman"/>
        </w:rPr>
        <w:t xml:space="preserve">, </w:t>
      </w:r>
      <w:proofErr w:type="spellStart"/>
      <w:r w:rsidRPr="00347EA4">
        <w:rPr>
          <w:rFonts w:ascii="Times New Roman" w:hAnsi="Times New Roman" w:cs="Times New Roman"/>
        </w:rPr>
        <w:t>Tsofa</w:t>
      </w:r>
      <w:proofErr w:type="spellEnd"/>
      <w:r w:rsidRPr="00347EA4">
        <w:rPr>
          <w:rFonts w:ascii="Times New Roman" w:hAnsi="Times New Roman" w:cs="Times New Roman"/>
        </w:rPr>
        <w:t xml:space="preserve"> and colleagues, and Kairu and colleagues, by focusing on the facility as the unit of analysis for chronic care delivery and integrating routine facility financial records with detailed accounts from facility in charges </w:t>
      </w:r>
      <w:r w:rsidR="004115C2">
        <w:rPr>
          <w:rFonts w:ascii="Times New Roman" w:hAnsi="Times New Roman" w:cs="Times New Roman"/>
        </w:rPr>
        <w:fldChar w:fldCharType="begin"/>
      </w:r>
      <w:r w:rsidR="00CC6C64">
        <w:rPr>
          <w:rFonts w:ascii="Times New Roman" w:hAnsi="Times New Roman" w:cs="Times New Roman"/>
        </w:rPr>
        <w:instrText xml:space="preserve"> ADDIN ZOTERO_ITEM CSL_CITATION {"citationID":"Yrou8LWE","properties":{"custom":"[14, 38]","formattedCitation":"[14, 38]","plainCitation":"[14, 38]","noteIndex":0},"citationItems":[{"id":23,"uris":["http://zotero.org/users/local/C4anYv1I/items/W2DLM355"],"itemData":{"id":23,"type":"article-journal","container-title":"BMC health services research","issue":"1","page":"1086","publisher":"Springer","title":"Examining health facility financing in Kenya in the context of devolution","volume":"21","author":[{"family":"Kairu","given":"Angela"},{"family":"Orangi","given":"Stacey"},{"family":"Mbuthia","given":"Boniface"},{"family":"Ondera","given":"Joanne"},{"family":"Ravishankar","given":"Nirmala"},{"family":"Barasa","given":"Edwine"}],"issued":{"date-parts":[["2021"]]}},"label":"page"},{"id":20,"uris":["http://zotero.org/users/local/C4anYv1I/items/A5DXREMU"],"itemData":{"id":20,"type":"article-journal","abstract":"Operational planning is considered an important tool for translating government policies and strategic objectives into day-to-day management activities. However,  developing countries suffer from persistent misalignment between policy, planning  and budgeting. The Medium Term Expenditure Framework (MTEF) was introduced to  address this misalignment. Kenya adopted the MTEF in the early 2000s, and in  2005, the Ministry of Health adopted the Annual Operational Plan process to adapt  the MTEF to the health sector. This study assessed the degree to which the health  sector Annual Operational Plan process in Kenya has achieved alignment between  planning and budgeting at the national level, using document reviews, participant  observation and key informant interviews. We found that the Kenyan health sector  was far from achieving planning and budgeting alignment. Several factors  contributed to this problem including weak Ministry of Health stewardship and  institutionalized separation between planning and budgeting processes; a rapidly  changing planning and budgeting environment; lack of reliable data to inform  target setting and poor participation by key stakeholders in the process  including a top-down approach to target setting. We conclude that alignment is  unlikely to be achieved without consideration of the specific institutional  contexts and the power relationships between stakeholders. In particular, there  is a need for institutional integration of the planning and budgeting processes  into a common cycle and framework with common reporting lines and for improved  data and local-level input to inform appropriate and realistic target setting. ©  2015 The Authors. International Journal of Health Planning and Management  published by John Wiley &amp; Sons, Ltd.","container-title":"The International journal of health planning and management","DOI":"10.1002/hpm.2286","ISSN":"1099-1751 0749-6753","issue":"3","journalAbbreviation":"Int J Health Plann Manage","language":"eng","license":"© 2015 The Authors. International Journal of Health Planning and Management published by John Wiley &amp; Sons, Ltd.","note":"publisher-place: England","page":"260-276","PMID":"25783862","PMCID":"PMC4988384","title":"Health sector operational planning and budgeting processes in Kenya-\"never the twain shall meet\".","volume":"31","author":[{"family":"Tsofa","given":"Benjamin"},{"family":"Molyneux","given":"Sassy"},{"family":"Goodman","given":"Catherine"}],"issued":{"date-parts":[["2016",7]]}},"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[14, 38]</w:t>
      </w:r>
      <w:r w:rsidR="004115C2">
        <w:rPr>
          <w:rFonts w:ascii="Times New Roman" w:hAnsi="Times New Roman" w:cs="Times New Roman"/>
        </w:rPr>
        <w:fldChar w:fldCharType="end"/>
      </w:r>
      <w:r w:rsidR="004115C2">
        <w:rPr>
          <w:rFonts w:ascii="Times New Roman" w:hAnsi="Times New Roman" w:cs="Times New Roman"/>
        </w:rPr>
        <w:t xml:space="preserve">. </w:t>
      </w:r>
      <w:r w:rsidRPr="00347EA4">
        <w:rPr>
          <w:rFonts w:ascii="Times New Roman" w:hAnsi="Times New Roman" w:cs="Times New Roman"/>
        </w:rPr>
        <w:t xml:space="preserve">While prior work has documented weaknesses in planning, budgeting, and accountability arrangements at county and facility levels, our contribution is to clarify how three elements combine at facility level to shape chronic care continuity. First, narrow and unstable revenue sources limit liquidity. Second, the absence of dedicated budgeting reduces visibility and </w:t>
      </w:r>
      <w:proofErr w:type="spellStart"/>
      <w:r w:rsidRPr="00347EA4">
        <w:rPr>
          <w:rFonts w:ascii="Times New Roman" w:hAnsi="Times New Roman" w:cs="Times New Roman"/>
        </w:rPr>
        <w:t>prioritisation</w:t>
      </w:r>
      <w:proofErr w:type="spellEnd"/>
      <w:r w:rsidRPr="00347EA4">
        <w:rPr>
          <w:rFonts w:ascii="Times New Roman" w:hAnsi="Times New Roman" w:cs="Times New Roman"/>
        </w:rPr>
        <w:t xml:space="preserve"> of hypertension and diabetes commodities. Third, </w:t>
      </w:r>
      <w:proofErr w:type="spellStart"/>
      <w:r w:rsidRPr="00347EA4">
        <w:rPr>
          <w:rFonts w:ascii="Times New Roman" w:hAnsi="Times New Roman" w:cs="Times New Roman"/>
        </w:rPr>
        <w:t>centralised</w:t>
      </w:r>
      <w:proofErr w:type="spellEnd"/>
      <w:r w:rsidRPr="00347EA4">
        <w:rPr>
          <w:rFonts w:ascii="Times New Roman" w:hAnsi="Times New Roman" w:cs="Times New Roman"/>
        </w:rPr>
        <w:t xml:space="preserve"> approval rules delay spending, which constrains the capacity to respond to supply gaps. We </w:t>
      </w:r>
      <w:proofErr w:type="spellStart"/>
      <w:r w:rsidRPr="00347EA4">
        <w:rPr>
          <w:rFonts w:ascii="Times New Roman" w:hAnsi="Times New Roman" w:cs="Times New Roman"/>
        </w:rPr>
        <w:t>conceptualise</w:t>
      </w:r>
      <w:proofErr w:type="spellEnd"/>
      <w:r w:rsidRPr="00347EA4">
        <w:rPr>
          <w:rFonts w:ascii="Times New Roman" w:hAnsi="Times New Roman" w:cs="Times New Roman"/>
        </w:rPr>
        <w:t xml:space="preserve"> this interaction as a facility level triple constraint that links financing architecture and governance rules to measurable interruptions in service readiness and medicine availability.</w:t>
      </w:r>
    </w:p>
    <w:p w14:paraId="03D93007" w14:textId="6A94B565" w:rsidR="002D0634" w:rsidRPr="00347EA4" w:rsidRDefault="002D0634" w:rsidP="00347EA4">
      <w:pPr>
        <w:spacing w:line="360" w:lineRule="auto"/>
        <w:rPr>
          <w:rFonts w:ascii="Times New Roman" w:hAnsi="Times New Roman" w:cs="Times New Roman"/>
        </w:rPr>
      </w:pPr>
      <w:r w:rsidRPr="002D0634">
        <w:rPr>
          <w:rFonts w:ascii="Times New Roman" w:hAnsi="Times New Roman" w:cs="Times New Roman"/>
        </w:rPr>
        <w:t>A critical insight from this study is that chronic care continuity depends as much on facility decision space as on funding volume. Facilities with trained staff, established clinical protocols, and patient demand nonetheless failed to maintain consistent hypertension and diabetes services because governance structures prevented timely resource use. Even when funds existed in facility accounts</w:t>
      </w:r>
      <w:r>
        <w:rPr>
          <w:rFonts w:ascii="Times New Roman" w:hAnsi="Times New Roman" w:cs="Times New Roman"/>
        </w:rPr>
        <w:t xml:space="preserve">, </w:t>
      </w:r>
      <w:r w:rsidRPr="002D0634">
        <w:rPr>
          <w:rFonts w:ascii="Times New Roman" w:hAnsi="Times New Roman" w:cs="Times New Roman"/>
        </w:rPr>
        <w:t>whether from insurance reimbursements, user fees, or county allocations</w:t>
      </w:r>
      <w:r>
        <w:rPr>
          <w:rFonts w:ascii="Times New Roman" w:hAnsi="Times New Roman" w:cs="Times New Roman"/>
        </w:rPr>
        <w:t xml:space="preserve">, </w:t>
      </w:r>
      <w:r w:rsidRPr="002D0634">
        <w:rPr>
          <w:rFonts w:ascii="Times New Roman" w:hAnsi="Times New Roman" w:cs="Times New Roman"/>
        </w:rPr>
        <w:t>centralized approval requirements created delays of weeks to months that translated directly into medicine stockouts and service interruptions. Th</w:t>
      </w:r>
      <w:r>
        <w:rPr>
          <w:rFonts w:ascii="Times New Roman" w:hAnsi="Times New Roman" w:cs="Times New Roman"/>
        </w:rPr>
        <w:t>ese</w:t>
      </w:r>
      <w:r w:rsidRPr="002D0634">
        <w:rPr>
          <w:rFonts w:ascii="Times New Roman" w:hAnsi="Times New Roman" w:cs="Times New Roman"/>
        </w:rPr>
        <w:t xml:space="preserve"> finding</w:t>
      </w:r>
      <w:r>
        <w:rPr>
          <w:rFonts w:ascii="Times New Roman" w:hAnsi="Times New Roman" w:cs="Times New Roman"/>
        </w:rPr>
        <w:t>s</w:t>
      </w:r>
      <w:r w:rsidRPr="002D0634">
        <w:rPr>
          <w:rFonts w:ascii="Times New Roman" w:hAnsi="Times New Roman" w:cs="Times New Roman"/>
        </w:rPr>
        <w:t xml:space="preserve"> challenge financing reform approaches that focus exclusively on increasing resource allocation without addressing the institutional rules that determine whether facilities can deploy resources effectively when needed. For chronic conditions requiring continuous medicine availability, procurement delays measured in weeks or months can precipitate treatment interruptions, patient loss to follow-up, and preventable complications</w:t>
      </w:r>
      <w:r>
        <w:rPr>
          <w:rFonts w:ascii="Times New Roman" w:hAnsi="Times New Roman" w:cs="Times New Roman"/>
        </w:rPr>
        <w:t xml:space="preserve">, </w:t>
      </w:r>
      <w:r w:rsidRPr="002D0634">
        <w:rPr>
          <w:rFonts w:ascii="Times New Roman" w:hAnsi="Times New Roman" w:cs="Times New Roman"/>
        </w:rPr>
        <w:t>regardless of total funding levels. The governance implication is that reforms must address both resource adequacy and decision space constraints simultaneously to achieve sustained chronic care delivery</w:t>
      </w:r>
      <w:r>
        <w:rPr>
          <w:rFonts w:ascii="Times New Roman" w:hAnsi="Times New Roman" w:cs="Times New Roman"/>
        </w:rPr>
        <w:t xml:space="preserve">. </w:t>
      </w:r>
    </w:p>
    <w:p w14:paraId="6EA8161D" w14:textId="5E867D24" w:rsidR="00347EA4" w:rsidRDefault="00347EA4" w:rsidP="009F40D7">
      <w:pPr>
        <w:spacing w:line="360" w:lineRule="auto"/>
        <w:rPr>
          <w:rFonts w:ascii="Times New Roman" w:hAnsi="Times New Roman" w:cs="Times New Roman"/>
        </w:rPr>
      </w:pPr>
      <w:r w:rsidRPr="00347EA4">
        <w:rPr>
          <w:rFonts w:ascii="Times New Roman" w:hAnsi="Times New Roman" w:cs="Times New Roman"/>
        </w:rPr>
        <w:t xml:space="preserve">The implications for ongoing reforms are timely. As Kenya transitions from NHIF purchasing arrangements toward the Social Health Authority framework within the universal health coverage agenda, the findings highlight priorities for implementation and evaluation </w:t>
      </w:r>
      <w:r w:rsidR="004115C2">
        <w:rPr>
          <w:rFonts w:ascii="Times New Roman" w:hAnsi="Times New Roman" w:cs="Times New Roman"/>
        </w:rPr>
        <w:fldChar w:fldCharType="begin"/>
      </w:r>
      <w:r w:rsidR="004115C2">
        <w:rPr>
          <w:rFonts w:ascii="Times New Roman" w:hAnsi="Times New Roman" w:cs="Times New Roman"/>
        </w:rPr>
        <w:instrText xml:space="preserve"> ADDIN ZOTERO_ITEM CSL_CITATION {"citationID":"8E5C7WyY","properties":{"custom":"[9, 26]","formattedCitation":"[9, 26]","plainCitation":"[9, 26]","noteIndex":0},"citationItems":[{"id":16,"uris":["http://zotero.org/users/local/C4anYv1I/items/URJFWRAM"],"itemData":{"id":16,"type":"legislation","title":"Kenya Health Financing Strategy 2020-2030","author":[{"family":"MoH","given":"Ministry of Health","suffix":"Kenya."}],"issued":{"date-parts":[["2020"]]}},"label":"page"},{"id":47,"uris":["http://zotero.org/users/local/C4anYv1I/items/ZC6LTHM4"],"itemData":{"id":47,"type":"webpage","abstract":"This report summarizes the findings of the Health Financing Progress Matrix assessment, WHO’s standardized assessment of a country’s health financing policies, for Kenya. The report highlights both strengths and weaknesses in Kenya's current health financing arrangements, assessed against the desirable attributes of a health financing system, based on global evidence. Based on the findings, the report suggests a number of policy adjustments to drive accelerated progress towards universal health coverage (UHC) in the country.","language":"en","title":"Health Financing Progress Matrix assessment, Kenya 2023: summary of findings and recommendations","title-short":"Health Financing Progress Matrix assessment, Kenya 2023","URL":"https://www.who.int/publications/i/item/9789240094307","author":[{"family":"WHO","given":""}],"accessed":{"date-parts":[["2025",10,6]]}},"label":"page"}],"schema":"https://github.com/citation-style-language/schema/raw/master/csl-citation.json"}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[9, 26]</w:t>
      </w:r>
      <w:r w:rsidR="004115C2">
        <w:rPr>
          <w:rFonts w:ascii="Times New Roman" w:hAnsi="Times New Roman" w:cs="Times New Roman"/>
        </w:rPr>
        <w:fldChar w:fldCharType="end"/>
      </w:r>
      <w:r w:rsidR="004115C2" w:rsidRPr="00D93BF0">
        <w:rPr>
          <w:rFonts w:ascii="Times New Roman" w:hAnsi="Times New Roman" w:cs="Times New Roman"/>
        </w:rPr>
        <w:t>.</w:t>
      </w:r>
      <w:r w:rsidR="004115C2">
        <w:rPr>
          <w:rFonts w:ascii="Times New Roman" w:hAnsi="Times New Roman" w:cs="Times New Roman"/>
        </w:rPr>
        <w:t xml:space="preserve"> </w:t>
      </w:r>
      <w:r w:rsidRPr="00347EA4">
        <w:rPr>
          <w:rFonts w:ascii="Times New Roman" w:hAnsi="Times New Roman" w:cs="Times New Roman"/>
        </w:rPr>
        <w:t xml:space="preserve">Purchasing reforms that improve payment timeliness and align reimbursement with the costs of delivering hypertension and diabetes care may improve facility liquidity, but continuity will remain vulnerable if approval rules continue to delay routine and emergency procurement. Similarly, as external partner support evolves, counties may need to strengthen predictable domestic allocations and establish practical mechanisms that allow accountable local procurement when central supplies are delayed. These findings therefore provide a baseline for future evaluation of whether Social Health Authority implementation improves reimbursement timelines, facility liquidity, approval turnaround time, and continuity of essential medicine availability for chronic care </w:t>
      </w:r>
      <w:r w:rsidR="004115C2">
        <w:rPr>
          <w:rFonts w:ascii="Times New Roman" w:hAnsi="Times New Roman" w:cs="Times New Roman"/>
        </w:rPr>
        <w:fldChar w:fldCharType="begin"/>
      </w:r>
      <w:r w:rsidR="00CC6C64">
        <w:rPr>
          <w:rFonts w:ascii="Times New Roman" w:hAnsi="Times New Roman" w:cs="Times New Roman"/>
        </w:rPr>
        <w:instrText xml:space="preserve"> ADDIN ZOTERO_ITEM CSL_CITATION {"citationID":"iIBPOwgn","properties":{"custom":"[9, 26]","formattedCitation":"[9, 26]","plainCitation":"[9, 26]","noteIndex":0},"citationItems":[{"id":16,"uris":["http://zotero.org/users/local/C4anYv1I/items/URJFWRAM"],"itemData":{"id":16,"type":"legislation","title":"Kenya Health Financing Strategy 2020-2030","author":[{"family":"MoH","given":"Ministry of Health","suffix":"Kenya."}],"issued":{"date-parts":[["2020"]]}},"label":"page"},{"id":47,"uris":["http://zotero.org/users/local/C4anYv1I/items/ZC6LTHM4"],"itemData":{"id":47,"type":"webpage","abstract":"This report summarizes the findings of the Health Financing Progress Matrix assessment, WHO’s standardized assessment of a country’s health financing policies, for Kenya. The report highlights both strengths and weaknesses in Kenya's current health financing arrangements, assessed against the desirable attributes of a health financing system, based on global evidence. Based on the findings, the report suggests a number of policy adjustments to drive accelerated progress towards universal health coverage (UHC) in the country.","language":"en","title":"Health Financing Progress Matrix assessment, Kenya 2023: summary of findings and recommendations","title-short":"Health Financing Progress Matrix assessment, Kenya 2023","URL":"https://www.who.int/publications/i/item/9789240094307","author":[{"family":"WHO","given":""}],"accessed":{"date-parts":[["2025",10,6]]}},"label":"page"}],"schema":"https://github.com/citation-style-language/schema/raw/master/csl-citation.json"} </w:instrText>
      </w:r>
      <w:r w:rsidR="004115C2">
        <w:rPr>
          <w:rFonts w:ascii="Times New Roman" w:hAnsi="Times New Roman" w:cs="Times New Roman"/>
        </w:rPr>
        <w:fldChar w:fldCharType="separate"/>
      </w:r>
      <w:r w:rsidR="004115C2" w:rsidRPr="00521BE0">
        <w:rPr>
          <w:rFonts w:ascii="Times New Roman" w:hAnsi="Times New Roman" w:cs="Times New Roman"/>
        </w:rPr>
        <w:t>[9, 26]</w:t>
      </w:r>
      <w:r w:rsidR="004115C2">
        <w:rPr>
          <w:rFonts w:ascii="Times New Roman" w:hAnsi="Times New Roman" w:cs="Times New Roman"/>
        </w:rPr>
        <w:fldChar w:fldCharType="end"/>
      </w:r>
      <w:r w:rsidR="004115C2" w:rsidRPr="00D93BF0">
        <w:rPr>
          <w:rFonts w:ascii="Times New Roman" w:hAnsi="Times New Roman" w:cs="Times New Roman"/>
        </w:rPr>
        <w:t>.</w:t>
      </w:r>
    </w:p>
    <w:p w14:paraId="6455DE30" w14:textId="38A7C6C4" w:rsidR="00D93BF0" w:rsidRPr="00D93BF0" w:rsidRDefault="00D93BF0" w:rsidP="00D93BF0">
      <w:pPr>
        <w:spacing w:line="360" w:lineRule="auto"/>
        <w:rPr>
          <w:rFonts w:ascii="Times New Roman" w:hAnsi="Times New Roman" w:cs="Times New Roman"/>
          <w:b/>
          <w:bCs/>
        </w:rPr>
      </w:pPr>
      <w:r w:rsidRPr="00D93BF0">
        <w:rPr>
          <w:rFonts w:ascii="Times New Roman" w:hAnsi="Times New Roman" w:cs="Times New Roman"/>
          <w:b/>
          <w:bCs/>
        </w:rPr>
        <w:t xml:space="preserve">Study limitations </w:t>
      </w:r>
    </w:p>
    <w:p w14:paraId="4D39CCB3" w14:textId="0FC4E15D" w:rsidR="00D93BF0" w:rsidRPr="00D93BF0" w:rsidRDefault="00D93BF0" w:rsidP="00D93BF0">
      <w:pPr>
        <w:spacing w:line="360" w:lineRule="auto"/>
        <w:rPr>
          <w:rFonts w:ascii="Times New Roman" w:hAnsi="Times New Roman" w:cs="Times New Roman"/>
        </w:rPr>
      </w:pPr>
      <w:r w:rsidRPr="00D93BF0">
        <w:rPr>
          <w:rFonts w:ascii="Times New Roman" w:hAnsi="Times New Roman" w:cs="Times New Roman"/>
        </w:rPr>
        <w:t>This study included seven facilities in one rural sub county, which limits statistical generalizability to other contexts in Kenya. However, the facilities covered the major public primary health care levels providing hypertension and diabetes services within the sub county, and the mixed methods approach strengthens the credibility of the identified mechanisms. The cross-sectional design captures a single time period and cannot establish causal relationships or trends over time. In addition, data collection occurred during the transition period when NHIF was still operational and before full implementation of the Social Health Authority, so financing arrangements may evolve. Future research should assess whether ongoing reforms improve facility autonomy, predictability of funding, and commodity availability for chronic care.</w:t>
      </w:r>
    </w:p>
    <w:p w14:paraId="14981B1B" w14:textId="77777777" w:rsidR="001460B3" w:rsidRPr="001460B3" w:rsidRDefault="001460B3" w:rsidP="001460B3">
      <w:pPr>
        <w:spacing w:line="360" w:lineRule="auto"/>
        <w:rPr>
          <w:rFonts w:ascii="Times New Roman" w:hAnsi="Times New Roman" w:cs="Times New Roman"/>
          <w:b/>
          <w:bCs/>
        </w:rPr>
      </w:pPr>
      <w:r w:rsidRPr="001460B3">
        <w:rPr>
          <w:rFonts w:ascii="Times New Roman" w:hAnsi="Times New Roman" w:cs="Times New Roman"/>
          <w:b/>
          <w:bCs/>
        </w:rPr>
        <w:t>Conclusion</w:t>
      </w:r>
    </w:p>
    <w:p w14:paraId="3029492E" w14:textId="561184A2" w:rsidR="004115C2" w:rsidRPr="001460B3" w:rsidRDefault="004115C2" w:rsidP="001460B3">
      <w:pPr>
        <w:spacing w:line="360" w:lineRule="auto"/>
        <w:rPr>
          <w:rFonts w:ascii="Times New Roman" w:hAnsi="Times New Roman" w:cs="Times New Roman"/>
        </w:rPr>
      </w:pPr>
      <w:r w:rsidRPr="004115C2">
        <w:rPr>
          <w:rFonts w:ascii="Times New Roman" w:hAnsi="Times New Roman" w:cs="Times New Roman"/>
        </w:rPr>
        <w:t xml:space="preserve">Rural primary health care facilities in Kisumu County operated within financing arrangements that constrained effective hypertension and diabetes service delivery. Limited and fragmented revenue sources, absence of dedicated budgeting for chronic care, and </w:t>
      </w:r>
      <w:proofErr w:type="spellStart"/>
      <w:r w:rsidRPr="004115C2">
        <w:rPr>
          <w:rFonts w:ascii="Times New Roman" w:hAnsi="Times New Roman" w:cs="Times New Roman"/>
        </w:rPr>
        <w:t>centralised</w:t>
      </w:r>
      <w:proofErr w:type="spellEnd"/>
      <w:r w:rsidRPr="004115C2">
        <w:rPr>
          <w:rFonts w:ascii="Times New Roman" w:hAnsi="Times New Roman" w:cs="Times New Roman"/>
        </w:rPr>
        <w:t xml:space="preserve"> expenditure approval processes were associated with delays in procurement and frequent interruptions in essential medicine availability. Strengthening chronic care under universal health coverage will require reforms that expand accountable facility decision space, improve predictability of county disbursements, and ensure timely purchasing and reimbursement. As implementation of the Social Health Authority progresses and external partner support evolves, monitoring changes in payment timeliness, facility liquidity, and commodity availability will be essential to assess whether reforms improve continuity of chronic care.</w:t>
      </w:r>
      <w:r w:rsidR="0003261F">
        <w:rPr>
          <w:rFonts w:ascii="Times New Roman" w:hAnsi="Times New Roman" w:cs="Times New Roman"/>
        </w:rPr>
        <w:t xml:space="preserve"> </w:t>
      </w:r>
      <w:r w:rsidR="0003261F" w:rsidRPr="0003261F">
        <w:rPr>
          <w:rFonts w:ascii="Times New Roman" w:hAnsi="Times New Roman" w:cs="Times New Roman"/>
        </w:rPr>
        <w:t>Ultimately, the sustainability of effective hypertension and diabetes management depends on expanding facility decision space, not only on increasing funding volume.</w:t>
      </w:r>
    </w:p>
    <w:p w14:paraId="1528F2B3" w14:textId="77777777" w:rsidR="001460B3" w:rsidRPr="001460B3" w:rsidRDefault="001460B3" w:rsidP="001460B3">
      <w:pPr>
        <w:spacing w:line="360" w:lineRule="auto"/>
        <w:rPr>
          <w:rFonts w:ascii="Times New Roman" w:hAnsi="Times New Roman" w:cs="Times New Roman"/>
          <w:b/>
          <w:bCs/>
        </w:rPr>
      </w:pPr>
      <w:r w:rsidRPr="001460B3">
        <w:rPr>
          <w:rFonts w:ascii="Times New Roman" w:hAnsi="Times New Roman" w:cs="Times New Roman"/>
          <w:b/>
          <w:bCs/>
        </w:rPr>
        <w:t>Recommendations</w:t>
      </w:r>
    </w:p>
    <w:p w14:paraId="3D8929B6" w14:textId="77777777" w:rsidR="00070B89" w:rsidRPr="00070B89" w:rsidRDefault="00070B89" w:rsidP="00070B89">
      <w:pPr>
        <w:spacing w:line="360" w:lineRule="auto"/>
        <w:rPr>
          <w:rFonts w:ascii="Times New Roman" w:hAnsi="Times New Roman" w:cs="Times New Roman"/>
        </w:rPr>
      </w:pPr>
      <w:r w:rsidRPr="00070B89">
        <w:rPr>
          <w:rFonts w:ascii="Times New Roman" w:hAnsi="Times New Roman" w:cs="Times New Roman"/>
        </w:rPr>
        <w:t>Reforms requiring county-level action:</w:t>
      </w:r>
    </w:p>
    <w:p w14:paraId="52120687" w14:textId="7DD0615E" w:rsidR="00070B89" w:rsidRPr="00070B89" w:rsidRDefault="00070B89" w:rsidP="00070B89">
      <w:pPr>
        <w:pStyle w:val="ListParagraph"/>
        <w:numPr>
          <w:ilvl w:val="0"/>
          <w:numId w:val="8"/>
        </w:numPr>
        <w:spacing w:line="360" w:lineRule="auto"/>
        <w:rPr>
          <w:rFonts w:ascii="Times New Roman" w:hAnsi="Times New Roman" w:cs="Times New Roman"/>
        </w:rPr>
      </w:pPr>
      <w:r w:rsidRPr="00070B89">
        <w:rPr>
          <w:rFonts w:ascii="Times New Roman" w:hAnsi="Times New Roman" w:cs="Times New Roman"/>
        </w:rPr>
        <w:t>Establish ring-fenced NCD budget lines in county and facility budgets (counties control budget formulation)</w:t>
      </w:r>
    </w:p>
    <w:p w14:paraId="189159F6" w14:textId="77DEBBE8" w:rsidR="00070B89" w:rsidRPr="00070B89" w:rsidRDefault="00070B89" w:rsidP="00070B89">
      <w:pPr>
        <w:pStyle w:val="ListParagraph"/>
        <w:numPr>
          <w:ilvl w:val="0"/>
          <w:numId w:val="8"/>
        </w:numPr>
        <w:spacing w:line="360" w:lineRule="auto"/>
        <w:rPr>
          <w:rFonts w:ascii="Times New Roman" w:hAnsi="Times New Roman" w:cs="Times New Roman"/>
        </w:rPr>
      </w:pPr>
      <w:r w:rsidRPr="00070B89">
        <w:rPr>
          <w:rFonts w:ascii="Times New Roman" w:hAnsi="Times New Roman" w:cs="Times New Roman"/>
        </w:rPr>
        <w:t>Grant facilities financial autonomy through "spend-at-source" provisions or revolving funds (counties control facility expenditure authorization)</w:t>
      </w:r>
    </w:p>
    <w:p w14:paraId="1B3501F2" w14:textId="22DDEC1D" w:rsidR="00070B89" w:rsidRPr="00070B89" w:rsidRDefault="00070B89" w:rsidP="00070B89">
      <w:pPr>
        <w:pStyle w:val="ListParagraph"/>
        <w:numPr>
          <w:ilvl w:val="0"/>
          <w:numId w:val="8"/>
        </w:numPr>
        <w:spacing w:line="360" w:lineRule="auto"/>
        <w:rPr>
          <w:rFonts w:ascii="Times New Roman" w:hAnsi="Times New Roman" w:cs="Times New Roman"/>
        </w:rPr>
      </w:pPr>
      <w:r w:rsidRPr="00070B89">
        <w:rPr>
          <w:rFonts w:ascii="Times New Roman" w:hAnsi="Times New Roman" w:cs="Times New Roman"/>
        </w:rPr>
        <w:t>Streamline facility expenditure approval processes through digital systems (counties control approval workflows)</w:t>
      </w:r>
    </w:p>
    <w:p w14:paraId="7D5A9876" w14:textId="06E261C6" w:rsidR="00070B89" w:rsidRPr="00070B89" w:rsidRDefault="00070B89" w:rsidP="00070B89">
      <w:pPr>
        <w:pStyle w:val="ListParagraph"/>
        <w:numPr>
          <w:ilvl w:val="0"/>
          <w:numId w:val="8"/>
        </w:numPr>
        <w:spacing w:line="360" w:lineRule="auto"/>
        <w:rPr>
          <w:rFonts w:ascii="Times New Roman" w:hAnsi="Times New Roman" w:cs="Times New Roman"/>
        </w:rPr>
      </w:pPr>
      <w:r w:rsidRPr="00070B89">
        <w:rPr>
          <w:rFonts w:ascii="Times New Roman" w:hAnsi="Times New Roman" w:cs="Times New Roman"/>
        </w:rPr>
        <w:t>Increase direct county allocations to facilities from county equitable share revenues (counties control resource allocation to facilities)</w:t>
      </w:r>
    </w:p>
    <w:p w14:paraId="1797F4DC" w14:textId="542AF175" w:rsidR="00070B89" w:rsidRPr="00070B89" w:rsidRDefault="00070B89" w:rsidP="00070B89">
      <w:pPr>
        <w:spacing w:line="360" w:lineRule="auto"/>
        <w:rPr>
          <w:rFonts w:ascii="Times New Roman" w:hAnsi="Times New Roman" w:cs="Times New Roman"/>
        </w:rPr>
      </w:pPr>
      <w:r w:rsidRPr="00070B89">
        <w:rPr>
          <w:rFonts w:ascii="Times New Roman" w:hAnsi="Times New Roman" w:cs="Times New Roman"/>
        </w:rPr>
        <w:t>Reforms requiring national-level action:</w:t>
      </w:r>
    </w:p>
    <w:p w14:paraId="3B99577E" w14:textId="0E7DE741" w:rsidR="00070B89" w:rsidRPr="00070B89" w:rsidRDefault="00070B89" w:rsidP="00070B89">
      <w:pPr>
        <w:pStyle w:val="ListParagraph"/>
        <w:numPr>
          <w:ilvl w:val="0"/>
          <w:numId w:val="9"/>
        </w:numPr>
        <w:spacing w:line="360" w:lineRule="auto"/>
        <w:rPr>
          <w:rFonts w:ascii="Times New Roman" w:hAnsi="Times New Roman" w:cs="Times New Roman"/>
        </w:rPr>
      </w:pPr>
      <w:r w:rsidRPr="00070B89">
        <w:rPr>
          <w:rFonts w:ascii="Times New Roman" w:hAnsi="Times New Roman" w:cs="Times New Roman"/>
        </w:rPr>
        <w:t>Provide policy guidance and standardized frameworks for NCD budgeting across counties (national Ministry of Health coordination role)</w:t>
      </w:r>
    </w:p>
    <w:p w14:paraId="04BE3FC3" w14:textId="0F1D629C" w:rsidR="00070B89" w:rsidRPr="00070B89" w:rsidRDefault="00070B89" w:rsidP="00070B89">
      <w:pPr>
        <w:pStyle w:val="ListParagraph"/>
        <w:numPr>
          <w:ilvl w:val="0"/>
          <w:numId w:val="9"/>
        </w:numPr>
        <w:spacing w:line="360" w:lineRule="auto"/>
        <w:rPr>
          <w:rFonts w:ascii="Times New Roman" w:hAnsi="Times New Roman" w:cs="Times New Roman"/>
        </w:rPr>
      </w:pPr>
      <w:r w:rsidRPr="00070B89">
        <w:rPr>
          <w:rFonts w:ascii="Times New Roman" w:hAnsi="Times New Roman" w:cs="Times New Roman"/>
        </w:rPr>
        <w:t>Ensure SHA provider payment mechanisms are timely and adequate (SHA is a national institution)</w:t>
      </w:r>
    </w:p>
    <w:p w14:paraId="11A0DE28" w14:textId="755CC4C6" w:rsidR="00070B89" w:rsidRPr="00070B89" w:rsidRDefault="00070B89" w:rsidP="00070B89">
      <w:pPr>
        <w:pStyle w:val="ListParagraph"/>
        <w:numPr>
          <w:ilvl w:val="0"/>
          <w:numId w:val="9"/>
        </w:numPr>
        <w:spacing w:line="360" w:lineRule="auto"/>
        <w:rPr>
          <w:rFonts w:ascii="Times New Roman" w:hAnsi="Times New Roman" w:cs="Times New Roman"/>
        </w:rPr>
      </w:pPr>
      <w:r w:rsidRPr="00070B89">
        <w:rPr>
          <w:rFonts w:ascii="Times New Roman" w:hAnsi="Times New Roman" w:cs="Times New Roman"/>
        </w:rPr>
        <w:t>Develop model county by-laws enabling conditional facility autonomy within PFM Act requirements (national Ministry of Health technical support)</w:t>
      </w:r>
    </w:p>
    <w:p w14:paraId="63774E7D" w14:textId="02F5D26D" w:rsidR="00070B89" w:rsidRPr="00070B89" w:rsidRDefault="00070B89" w:rsidP="00070B89">
      <w:pPr>
        <w:pStyle w:val="ListParagraph"/>
        <w:numPr>
          <w:ilvl w:val="0"/>
          <w:numId w:val="9"/>
        </w:numPr>
        <w:spacing w:line="360" w:lineRule="auto"/>
        <w:rPr>
          <w:rFonts w:ascii="Times New Roman" w:hAnsi="Times New Roman" w:cs="Times New Roman"/>
        </w:rPr>
      </w:pPr>
      <w:r w:rsidRPr="00070B89">
        <w:rPr>
          <w:rFonts w:ascii="Times New Roman" w:hAnsi="Times New Roman" w:cs="Times New Roman"/>
        </w:rPr>
        <w:t>Establish national standards for facility financial autonomy with accountability safeguards (requires national policy framework)</w:t>
      </w:r>
    </w:p>
    <w:p w14:paraId="09119855" w14:textId="4B4C3B4B" w:rsidR="00070B89" w:rsidRPr="00070B89" w:rsidRDefault="00070B89" w:rsidP="00070B89">
      <w:pPr>
        <w:spacing w:line="360" w:lineRule="auto"/>
        <w:rPr>
          <w:rFonts w:ascii="Times New Roman" w:hAnsi="Times New Roman" w:cs="Times New Roman"/>
        </w:rPr>
      </w:pPr>
      <w:r w:rsidRPr="00070B89">
        <w:rPr>
          <w:rFonts w:ascii="Times New Roman" w:hAnsi="Times New Roman" w:cs="Times New Roman"/>
        </w:rPr>
        <w:t>Reforms requiring both county and national coordination:</w:t>
      </w:r>
    </w:p>
    <w:p w14:paraId="030DBA0B" w14:textId="468B7A79" w:rsidR="00070B89" w:rsidRPr="00070B89" w:rsidRDefault="00070B89" w:rsidP="00070B89">
      <w:pPr>
        <w:pStyle w:val="ListParagraph"/>
        <w:numPr>
          <w:ilvl w:val="0"/>
          <w:numId w:val="10"/>
        </w:numPr>
        <w:spacing w:line="360" w:lineRule="auto"/>
        <w:rPr>
          <w:rFonts w:ascii="Times New Roman" w:hAnsi="Times New Roman" w:cs="Times New Roman"/>
        </w:rPr>
      </w:pPr>
      <w:r w:rsidRPr="00070B89">
        <w:rPr>
          <w:rFonts w:ascii="Times New Roman" w:hAnsi="Times New Roman" w:cs="Times New Roman"/>
        </w:rPr>
        <w:t>Monitoring and evaluation of SHA implementation effects on facility financing and service continuity (national SHA policy, county implementation)</w:t>
      </w:r>
    </w:p>
    <w:p w14:paraId="40A6DE36" w14:textId="6FE63FB5" w:rsidR="00070B89" w:rsidRPr="00070B89" w:rsidRDefault="00070B89" w:rsidP="00070B89">
      <w:pPr>
        <w:pStyle w:val="ListParagraph"/>
        <w:numPr>
          <w:ilvl w:val="0"/>
          <w:numId w:val="10"/>
        </w:numPr>
        <w:spacing w:line="360" w:lineRule="auto"/>
        <w:rPr>
          <w:rFonts w:ascii="Times New Roman" w:hAnsi="Times New Roman" w:cs="Times New Roman"/>
        </w:rPr>
      </w:pPr>
      <w:r w:rsidRPr="00070B89">
        <w:rPr>
          <w:rFonts w:ascii="Times New Roman" w:hAnsi="Times New Roman" w:cs="Times New Roman"/>
        </w:rPr>
        <w:t>Capacity building for county health management teams on evidence-based NCD budgeting (national technical assistance, county implementation)</w:t>
      </w:r>
    </w:p>
    <w:p w14:paraId="3592FA48" w14:textId="77777777" w:rsidR="00070B89" w:rsidRPr="00070B89" w:rsidRDefault="00070B89" w:rsidP="00070B89">
      <w:pPr>
        <w:pStyle w:val="ListParagraph"/>
        <w:numPr>
          <w:ilvl w:val="0"/>
          <w:numId w:val="10"/>
        </w:numPr>
        <w:spacing w:line="360" w:lineRule="auto"/>
        <w:rPr>
          <w:rFonts w:ascii="Times New Roman" w:hAnsi="Times New Roman" w:cs="Times New Roman"/>
        </w:rPr>
      </w:pPr>
      <w:r w:rsidRPr="00070B89">
        <w:rPr>
          <w:rFonts w:ascii="Times New Roman" w:hAnsi="Times New Roman" w:cs="Times New Roman"/>
        </w:rPr>
        <w:t>Systematic costing studies to determine adequate NCD service financing levels (national research coordination, county-specific application)</w:t>
      </w:r>
    </w:p>
    <w:p w14:paraId="3B17465E" w14:textId="409F5529" w:rsidR="001460B3" w:rsidRPr="00521BE0" w:rsidRDefault="001460B3" w:rsidP="001460B3">
      <w:pPr>
        <w:spacing w:line="360" w:lineRule="auto"/>
        <w:rPr>
          <w:rFonts w:ascii="Times New Roman" w:hAnsi="Times New Roman" w:cs="Times New Roman"/>
        </w:rPr>
      </w:pPr>
      <w:r w:rsidRPr="00521BE0">
        <w:rPr>
          <w:rFonts w:ascii="Times New Roman" w:hAnsi="Times New Roman" w:cs="Times New Roman"/>
        </w:rPr>
        <w:t>Health Facility Managers:</w:t>
      </w:r>
    </w:p>
    <w:p w14:paraId="06F35C91" w14:textId="77777777" w:rsidR="001460B3" w:rsidRPr="00521BE0" w:rsidRDefault="001460B3" w:rsidP="001460B3">
      <w:pPr>
        <w:numPr>
          <w:ilvl w:val="0"/>
          <w:numId w:val="6"/>
        </w:numPr>
        <w:spacing w:line="360" w:lineRule="auto"/>
        <w:rPr>
          <w:rFonts w:ascii="Times New Roman" w:hAnsi="Times New Roman" w:cs="Times New Roman"/>
        </w:rPr>
      </w:pPr>
      <w:r w:rsidRPr="00521BE0">
        <w:rPr>
          <w:rFonts w:ascii="Times New Roman" w:hAnsi="Times New Roman" w:cs="Times New Roman"/>
        </w:rPr>
        <w:t>Evidence-Based Advocacy: Utilize facility-level data on NCD burden and stockouts to justify budget requests during the "bottom-up" planning cycle.</w:t>
      </w:r>
    </w:p>
    <w:p w14:paraId="4132E70A" w14:textId="77777777" w:rsidR="001460B3" w:rsidRPr="00521BE0" w:rsidRDefault="001460B3" w:rsidP="001460B3">
      <w:pPr>
        <w:numPr>
          <w:ilvl w:val="0"/>
          <w:numId w:val="6"/>
        </w:numPr>
        <w:spacing w:line="360" w:lineRule="auto"/>
        <w:rPr>
          <w:rFonts w:ascii="Times New Roman" w:hAnsi="Times New Roman" w:cs="Times New Roman"/>
        </w:rPr>
      </w:pPr>
      <w:r w:rsidRPr="00521BE0">
        <w:rPr>
          <w:rFonts w:ascii="Times New Roman" w:hAnsi="Times New Roman" w:cs="Times New Roman"/>
        </w:rPr>
        <w:t>Inventory Management: Strengthen local tracking of NCD commodity consumption to provide early warnings for potential stockouts before they reach a crisis point.</w:t>
      </w:r>
    </w:p>
    <w:p w14:paraId="58D64598" w14:textId="1DFCF0A0" w:rsidR="001460B3" w:rsidRPr="00521BE0" w:rsidRDefault="001460B3" w:rsidP="001460B3">
      <w:pPr>
        <w:spacing w:line="360" w:lineRule="auto"/>
        <w:rPr>
          <w:rFonts w:ascii="Times New Roman" w:hAnsi="Times New Roman" w:cs="Times New Roman"/>
        </w:rPr>
      </w:pPr>
      <w:r w:rsidRPr="00521BE0">
        <w:rPr>
          <w:rFonts w:ascii="Times New Roman" w:hAnsi="Times New Roman" w:cs="Times New Roman"/>
        </w:rPr>
        <w:t>Researchers and implementation partners:</w:t>
      </w:r>
    </w:p>
    <w:p w14:paraId="2F38C5B1" w14:textId="77777777" w:rsidR="001460B3" w:rsidRPr="00521BE0" w:rsidRDefault="001460B3" w:rsidP="001460B3">
      <w:pPr>
        <w:numPr>
          <w:ilvl w:val="0"/>
          <w:numId w:val="7"/>
        </w:numPr>
        <w:spacing w:line="360" w:lineRule="auto"/>
        <w:rPr>
          <w:rFonts w:ascii="Times New Roman" w:hAnsi="Times New Roman" w:cs="Times New Roman"/>
        </w:rPr>
      </w:pPr>
      <w:r w:rsidRPr="00521BE0">
        <w:rPr>
          <w:rFonts w:ascii="Times New Roman" w:hAnsi="Times New Roman" w:cs="Times New Roman"/>
        </w:rPr>
        <w:t>Post-SHA Impact Studies: Conduct longitudinal research to evaluate how the transition from NHIF to SHA affects facility-level revenue and service readiness.</w:t>
      </w:r>
    </w:p>
    <w:p w14:paraId="3004D93D" w14:textId="77777777" w:rsidR="001460B3" w:rsidRPr="00521BE0" w:rsidRDefault="001460B3" w:rsidP="001460B3">
      <w:pPr>
        <w:numPr>
          <w:ilvl w:val="0"/>
          <w:numId w:val="7"/>
        </w:numPr>
        <w:spacing w:line="360" w:lineRule="auto"/>
        <w:rPr>
          <w:rFonts w:ascii="Times New Roman" w:hAnsi="Times New Roman" w:cs="Times New Roman"/>
        </w:rPr>
      </w:pPr>
      <w:r w:rsidRPr="00521BE0">
        <w:rPr>
          <w:rFonts w:ascii="Times New Roman" w:hAnsi="Times New Roman" w:cs="Times New Roman"/>
        </w:rPr>
        <w:t>Cost-Effectiveness Analysis: Perform a detailed costing study of NCD care at Level 2 and 3 facilities to provide data-driven benchmarks for future county budget allocations.</w:t>
      </w:r>
    </w:p>
    <w:p w14:paraId="5B1531CE" w14:textId="77777777" w:rsidR="0069626F" w:rsidRPr="00521BE0" w:rsidRDefault="0069626F" w:rsidP="00C974EE">
      <w:pPr>
        <w:spacing w:line="360" w:lineRule="auto"/>
        <w:rPr>
          <w:rFonts w:ascii="Times New Roman" w:hAnsi="Times New Roman" w:cs="Times New Roman"/>
        </w:rPr>
      </w:pPr>
    </w:p>
    <w:p w14:paraId="4174740D" w14:textId="77777777" w:rsidR="001460B3" w:rsidRDefault="001460B3" w:rsidP="00C974EE">
      <w:pPr>
        <w:spacing w:line="360" w:lineRule="auto"/>
        <w:rPr>
          <w:rFonts w:ascii="Times New Roman" w:hAnsi="Times New Roman" w:cs="Times New Roman"/>
        </w:rPr>
      </w:pPr>
    </w:p>
    <w:p w14:paraId="1F43B1BE" w14:textId="77777777" w:rsidR="00070B89" w:rsidRDefault="00070B89" w:rsidP="00C974EE">
      <w:pPr>
        <w:spacing w:line="360" w:lineRule="auto"/>
        <w:rPr>
          <w:rFonts w:ascii="Times New Roman" w:hAnsi="Times New Roman" w:cs="Times New Roman"/>
        </w:rPr>
      </w:pPr>
    </w:p>
    <w:p w14:paraId="2B392C1F" w14:textId="77777777" w:rsidR="00070B89" w:rsidRDefault="00070B89" w:rsidP="00C974EE">
      <w:pPr>
        <w:spacing w:line="360" w:lineRule="auto"/>
        <w:rPr>
          <w:rFonts w:ascii="Times New Roman" w:hAnsi="Times New Roman" w:cs="Times New Roman"/>
        </w:rPr>
      </w:pPr>
    </w:p>
    <w:p w14:paraId="7F97A04B" w14:textId="77777777" w:rsidR="00070B89" w:rsidRDefault="00070B89" w:rsidP="00C974EE">
      <w:pPr>
        <w:spacing w:line="360" w:lineRule="auto"/>
        <w:rPr>
          <w:rFonts w:ascii="Times New Roman" w:hAnsi="Times New Roman" w:cs="Times New Roman"/>
        </w:rPr>
      </w:pPr>
    </w:p>
    <w:p w14:paraId="0AFBB865" w14:textId="77777777" w:rsidR="00070B89" w:rsidRDefault="00070B89" w:rsidP="00C974EE">
      <w:pPr>
        <w:spacing w:line="360" w:lineRule="auto"/>
        <w:rPr>
          <w:rFonts w:ascii="Times New Roman" w:hAnsi="Times New Roman" w:cs="Times New Roman"/>
        </w:rPr>
      </w:pPr>
    </w:p>
    <w:p w14:paraId="522513AD" w14:textId="77777777" w:rsidR="00070B89" w:rsidRDefault="00070B89" w:rsidP="00C974EE">
      <w:pPr>
        <w:spacing w:line="360" w:lineRule="auto"/>
        <w:rPr>
          <w:rFonts w:ascii="Times New Roman" w:hAnsi="Times New Roman" w:cs="Times New Roman"/>
        </w:rPr>
      </w:pPr>
    </w:p>
    <w:p w14:paraId="16E35EC5" w14:textId="77777777" w:rsidR="001460B3" w:rsidRDefault="001460B3" w:rsidP="00C974EE">
      <w:pPr>
        <w:spacing w:line="360" w:lineRule="auto"/>
        <w:rPr>
          <w:rFonts w:ascii="Times New Roman" w:hAnsi="Times New Roman" w:cs="Times New Roman"/>
        </w:rPr>
      </w:pPr>
    </w:p>
    <w:p w14:paraId="22353EAC" w14:textId="77777777" w:rsidR="002D0634" w:rsidRDefault="002D0634" w:rsidP="00C974EE">
      <w:pPr>
        <w:spacing w:line="360" w:lineRule="auto"/>
        <w:rPr>
          <w:rFonts w:ascii="Times New Roman" w:hAnsi="Times New Roman" w:cs="Times New Roman"/>
        </w:rPr>
      </w:pPr>
    </w:p>
    <w:p w14:paraId="1EBD439D" w14:textId="77777777" w:rsidR="002D0634" w:rsidRDefault="002D0634" w:rsidP="00C974EE">
      <w:pPr>
        <w:spacing w:line="360" w:lineRule="auto"/>
        <w:rPr>
          <w:rFonts w:ascii="Times New Roman" w:hAnsi="Times New Roman" w:cs="Times New Roman"/>
        </w:rPr>
      </w:pPr>
    </w:p>
    <w:p w14:paraId="3468C412" w14:textId="77777777" w:rsidR="002D0634" w:rsidRDefault="002D0634" w:rsidP="00C974EE">
      <w:pPr>
        <w:spacing w:line="360" w:lineRule="auto"/>
        <w:rPr>
          <w:rFonts w:ascii="Times New Roman" w:hAnsi="Times New Roman" w:cs="Times New Roman"/>
        </w:rPr>
      </w:pPr>
    </w:p>
    <w:p w14:paraId="7706B75C" w14:textId="77777777" w:rsidR="002D0634" w:rsidRDefault="002D0634" w:rsidP="00C974EE">
      <w:pPr>
        <w:spacing w:line="360" w:lineRule="auto"/>
        <w:rPr>
          <w:rFonts w:ascii="Times New Roman" w:hAnsi="Times New Roman" w:cs="Times New Roman"/>
        </w:rPr>
      </w:pPr>
    </w:p>
    <w:p w14:paraId="5DE8D8F6" w14:textId="77777777" w:rsidR="002D0634" w:rsidRDefault="002D0634" w:rsidP="00C974EE">
      <w:pPr>
        <w:spacing w:line="360" w:lineRule="auto"/>
        <w:rPr>
          <w:rFonts w:ascii="Times New Roman" w:hAnsi="Times New Roman" w:cs="Times New Roman"/>
        </w:rPr>
      </w:pPr>
    </w:p>
    <w:p w14:paraId="28A63548" w14:textId="77777777" w:rsidR="002D0634" w:rsidRDefault="002D0634" w:rsidP="00C974EE">
      <w:pPr>
        <w:spacing w:line="360" w:lineRule="auto"/>
        <w:rPr>
          <w:rFonts w:ascii="Times New Roman" w:hAnsi="Times New Roman" w:cs="Times New Roman"/>
        </w:rPr>
      </w:pPr>
    </w:p>
    <w:p w14:paraId="1C7420A7" w14:textId="77777777" w:rsidR="002D0634" w:rsidRDefault="002D0634" w:rsidP="00C974EE">
      <w:pPr>
        <w:spacing w:line="360" w:lineRule="auto"/>
        <w:rPr>
          <w:rFonts w:ascii="Times New Roman" w:hAnsi="Times New Roman" w:cs="Times New Roman"/>
        </w:rPr>
      </w:pPr>
    </w:p>
    <w:p w14:paraId="052FE39B" w14:textId="77777777" w:rsidR="002D0634" w:rsidRDefault="002D0634" w:rsidP="00C974EE">
      <w:pPr>
        <w:spacing w:line="360" w:lineRule="auto"/>
        <w:rPr>
          <w:rFonts w:ascii="Times New Roman" w:hAnsi="Times New Roman" w:cs="Times New Roman"/>
        </w:rPr>
      </w:pPr>
    </w:p>
    <w:p w14:paraId="190BC85F" w14:textId="77777777" w:rsidR="002D0634" w:rsidRDefault="002D0634" w:rsidP="00C974EE">
      <w:pPr>
        <w:spacing w:line="360" w:lineRule="auto"/>
        <w:rPr>
          <w:rFonts w:ascii="Times New Roman" w:hAnsi="Times New Roman" w:cs="Times New Roman"/>
        </w:rPr>
      </w:pPr>
    </w:p>
    <w:p w14:paraId="0B06D7EF" w14:textId="77777777" w:rsidR="002D0634" w:rsidRDefault="002D0634" w:rsidP="00C974EE">
      <w:pPr>
        <w:spacing w:line="360" w:lineRule="auto"/>
        <w:rPr>
          <w:rFonts w:ascii="Times New Roman" w:hAnsi="Times New Roman" w:cs="Times New Roman"/>
        </w:rPr>
      </w:pPr>
    </w:p>
    <w:p w14:paraId="294FB1FA" w14:textId="77777777" w:rsidR="00070B89" w:rsidRDefault="00070B89" w:rsidP="00C974EE">
      <w:pPr>
        <w:spacing w:line="360" w:lineRule="auto"/>
        <w:rPr>
          <w:rFonts w:ascii="Times New Roman" w:hAnsi="Times New Roman" w:cs="Times New Roman"/>
        </w:rPr>
      </w:pPr>
    </w:p>
    <w:bookmarkEnd w:id="0"/>
    <w:p w14:paraId="7AE02137" w14:textId="5E853338" w:rsidR="00857F7A" w:rsidRPr="00857F7A" w:rsidRDefault="00857F7A" w:rsidP="00857F7A">
      <w:pPr>
        <w:spacing w:line="360" w:lineRule="auto"/>
        <w:rPr>
          <w:rFonts w:ascii="Times New Roman" w:hAnsi="Times New Roman" w:cs="Times New Roman"/>
          <w:b/>
          <w:bCs/>
        </w:rPr>
      </w:pPr>
      <w:r w:rsidRPr="00857F7A">
        <w:rPr>
          <w:rFonts w:ascii="Times New Roman" w:hAnsi="Times New Roman" w:cs="Times New Roman"/>
          <w:b/>
          <w:bCs/>
        </w:rPr>
        <w:t>Abbreviations</w:t>
      </w:r>
    </w:p>
    <w:p w14:paraId="036736C4"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BMC: BioMed Central</w:t>
      </w:r>
    </w:p>
    <w:p w14:paraId="29ACB361"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BP: Blood Pressure</w:t>
      </w:r>
    </w:p>
    <w:p w14:paraId="616A503A"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CHMTs: County Health Management Teams</w:t>
      </w:r>
    </w:p>
    <w:p w14:paraId="46949F8E"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CHUs: Community Health Units</w:t>
      </w:r>
    </w:p>
    <w:p w14:paraId="4EB9E64C"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DM: Diabetes Mellitus</w:t>
      </w:r>
    </w:p>
    <w:p w14:paraId="4CC4D809"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FIF: Facility Improvement Fund</w:t>
      </w:r>
    </w:p>
    <w:p w14:paraId="36A0B6B9"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GDP: Gross Domestic Product</w:t>
      </w:r>
    </w:p>
    <w:p w14:paraId="4E8EAECC"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HSSF: Health Sector Services Fund</w:t>
      </w:r>
    </w:p>
    <w:p w14:paraId="52D4AEE9"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HTN: Hypertension</w:t>
      </w:r>
    </w:p>
    <w:p w14:paraId="44470293"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 xml:space="preserve">JOOUST: Jaramogi </w:t>
      </w:r>
      <w:proofErr w:type="spellStart"/>
      <w:r w:rsidRPr="00857F7A">
        <w:rPr>
          <w:rFonts w:ascii="Times New Roman" w:hAnsi="Times New Roman" w:cs="Times New Roman"/>
        </w:rPr>
        <w:t>Oginga</w:t>
      </w:r>
      <w:proofErr w:type="spellEnd"/>
      <w:r w:rsidRPr="00857F7A">
        <w:rPr>
          <w:rFonts w:ascii="Times New Roman" w:hAnsi="Times New Roman" w:cs="Times New Roman"/>
        </w:rPr>
        <w:t xml:space="preserve"> Odinga University of Science and Technology</w:t>
      </w:r>
    </w:p>
    <w:p w14:paraId="733AAAC0"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KEPH: Kenya Essential Package for Health</w:t>
      </w:r>
    </w:p>
    <w:p w14:paraId="2CB5706D"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KEMSA: Kenya Medical Supplies Authority</w:t>
      </w:r>
    </w:p>
    <w:p w14:paraId="47A6D5FF"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KES: Kenyan Shillings</w:t>
      </w:r>
    </w:p>
    <w:p w14:paraId="666C6DA7"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LMICs: Low- and Middle-Income Countries</w:t>
      </w:r>
    </w:p>
    <w:p w14:paraId="68B78D96"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MCP: Model Care Provider (or remove if not used)</w:t>
      </w:r>
    </w:p>
    <w:p w14:paraId="64BF9F3D"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NACOSTI: National Commission for Science, Technology and Innovation</w:t>
      </w:r>
    </w:p>
    <w:p w14:paraId="264CC8A5" w14:textId="4FAD39A9"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NCDs: Non</w:t>
      </w:r>
      <w:r w:rsidR="00733D79">
        <w:rPr>
          <w:rFonts w:ascii="Times New Roman" w:hAnsi="Times New Roman" w:cs="Times New Roman"/>
        </w:rPr>
        <w:t>c</w:t>
      </w:r>
      <w:r w:rsidRPr="00857F7A">
        <w:rPr>
          <w:rFonts w:ascii="Times New Roman" w:hAnsi="Times New Roman" w:cs="Times New Roman"/>
        </w:rPr>
        <w:t>ommunicable Diseases</w:t>
      </w:r>
    </w:p>
    <w:p w14:paraId="6ABA217A"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NGO: Non-Governmental Organization</w:t>
      </w:r>
    </w:p>
    <w:p w14:paraId="01A346BA"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NHIF: National Hospital Insurance Fund</w:t>
      </w:r>
    </w:p>
    <w:p w14:paraId="6FDCF548"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PCNs: Primary Care Networks</w:t>
      </w:r>
    </w:p>
    <w:p w14:paraId="0ABAAF57" w14:textId="4389E6BB"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PEN: Package of Essential Noncommunicable Disease Interventions</w:t>
      </w:r>
    </w:p>
    <w:p w14:paraId="36E55614"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PFM: Public Finance Management</w:t>
      </w:r>
    </w:p>
    <w:p w14:paraId="1723FCF5"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PHC: Primary Health Care</w:t>
      </w:r>
    </w:p>
    <w:p w14:paraId="5AAC059D"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SHA: Social Health Authority</w:t>
      </w:r>
    </w:p>
    <w:p w14:paraId="1460443C"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TB: Tuberculosis</w:t>
      </w:r>
    </w:p>
    <w:p w14:paraId="4C26705D"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UHC: Universal Health Coverage</w:t>
      </w:r>
    </w:p>
    <w:p w14:paraId="79B16CF5"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USD: United States Dollar</w:t>
      </w:r>
    </w:p>
    <w:p w14:paraId="26ADF6A8" w14:textId="5FDCEA86"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VLIR-: Flemish Interuniversity Council - University Development Cooperation</w:t>
      </w:r>
    </w:p>
    <w:p w14:paraId="744036DA" w14:textId="77777777" w:rsidR="00857F7A" w:rsidRPr="00857F7A" w:rsidRDefault="00857F7A" w:rsidP="00857F7A">
      <w:pPr>
        <w:spacing w:line="360" w:lineRule="auto"/>
        <w:rPr>
          <w:rFonts w:ascii="Times New Roman" w:hAnsi="Times New Roman" w:cs="Times New Roman"/>
        </w:rPr>
      </w:pPr>
      <w:r w:rsidRPr="00857F7A">
        <w:rPr>
          <w:rFonts w:ascii="Times New Roman" w:hAnsi="Times New Roman" w:cs="Times New Roman"/>
        </w:rPr>
        <w:t>WHO: World Health Organization</w:t>
      </w:r>
    </w:p>
    <w:p w14:paraId="0FB579EC" w14:textId="6F2B8953" w:rsidR="00825312" w:rsidRPr="00C974EE" w:rsidRDefault="00825312" w:rsidP="00857F7A">
      <w:pPr>
        <w:spacing w:line="360" w:lineRule="auto"/>
        <w:rPr>
          <w:rFonts w:ascii="Times New Roman" w:hAnsi="Times New Roman" w:cs="Times New Roman"/>
          <w:b/>
          <w:bCs/>
        </w:rPr>
      </w:pPr>
      <w:r w:rsidRPr="00C974EE">
        <w:rPr>
          <w:rFonts w:ascii="Times New Roman" w:hAnsi="Times New Roman" w:cs="Times New Roman"/>
          <w:b/>
          <w:bCs/>
        </w:rPr>
        <w:t>Declarations</w:t>
      </w:r>
    </w:p>
    <w:p w14:paraId="401319B1"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Ethics approval and consent to participate</w:t>
      </w:r>
    </w:p>
    <w:p w14:paraId="65056F76" w14:textId="6F19B5AA" w:rsidR="007740D2" w:rsidRDefault="00825312" w:rsidP="00C974EE">
      <w:pPr>
        <w:spacing w:line="360" w:lineRule="auto"/>
        <w:rPr>
          <w:rFonts w:ascii="Times New Roman" w:hAnsi="Times New Roman" w:cs="Times New Roman"/>
        </w:rPr>
      </w:pPr>
      <w:r w:rsidRPr="00C974EE">
        <w:rPr>
          <w:rFonts w:ascii="Times New Roman" w:hAnsi="Times New Roman" w:cs="Times New Roman"/>
        </w:rPr>
        <w:t xml:space="preserve">This study received ethics approval from the Jaramogi </w:t>
      </w:r>
      <w:proofErr w:type="spellStart"/>
      <w:r w:rsidRPr="00C974EE">
        <w:rPr>
          <w:rFonts w:ascii="Times New Roman" w:hAnsi="Times New Roman" w:cs="Times New Roman"/>
        </w:rPr>
        <w:t>Oginga</w:t>
      </w:r>
      <w:proofErr w:type="spellEnd"/>
      <w:r w:rsidRPr="00C974EE">
        <w:rPr>
          <w:rFonts w:ascii="Times New Roman" w:hAnsi="Times New Roman" w:cs="Times New Roman"/>
        </w:rPr>
        <w:t xml:space="preserve"> Odinga University of Science and Technology (JOOUST) Ethics Review Committee (Approval No: ERC 16/01/23) and a research license from the National Commission for Science, Technology and Innovation (NACOSTI) (License No: NACOSTI/P/25/414763). Permission was obtained from the Kisumu County Department of Health and Seme Sub-County Health Management Team. </w:t>
      </w:r>
      <w:r w:rsidR="007740D2" w:rsidRPr="00C974EE">
        <w:rPr>
          <w:rFonts w:ascii="Times New Roman" w:hAnsi="Times New Roman" w:cs="Times New Roman"/>
        </w:rPr>
        <w:t>Written informed consent was obtained from all participants after explaining the study's purpose, voluntary nature of participation, confidentiality measures, and right to withdraw without consequences. All data were anonymized and reported in aggregated form to protect participant identity. Electronic data and audio files were stored on password-protected computers accessible only to the research team.</w:t>
      </w:r>
    </w:p>
    <w:p w14:paraId="48EDE0E3" w14:textId="0AA3B798" w:rsidR="008E7E0D" w:rsidRPr="00C974EE" w:rsidRDefault="008E7E0D" w:rsidP="00C974EE">
      <w:pPr>
        <w:spacing w:line="360" w:lineRule="auto"/>
        <w:rPr>
          <w:rFonts w:ascii="Times New Roman" w:hAnsi="Times New Roman" w:cs="Times New Roman"/>
        </w:rPr>
      </w:pPr>
      <w:r w:rsidRPr="008E7E0D">
        <w:rPr>
          <w:rFonts w:ascii="Times New Roman" w:hAnsi="Times New Roman" w:cs="Times New Roman"/>
        </w:rPr>
        <w:t>All procedures performed in this study involving human participants were conducted in accordance with the ethical standards of the institutional and national research committee and with the 1964 Helsinki Declaration and its later amendments or comparable ethical standards.</w:t>
      </w:r>
    </w:p>
    <w:p w14:paraId="6027D6D8"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Consent for publication</w:t>
      </w:r>
    </w:p>
    <w:p w14:paraId="7369FF5F" w14:textId="77777777" w:rsidR="00825312" w:rsidRPr="00C974EE" w:rsidRDefault="00825312" w:rsidP="00C974EE">
      <w:pPr>
        <w:spacing w:line="360" w:lineRule="auto"/>
        <w:rPr>
          <w:rFonts w:ascii="Times New Roman" w:hAnsi="Times New Roman" w:cs="Times New Roman"/>
        </w:rPr>
      </w:pPr>
      <w:r w:rsidRPr="00C974EE">
        <w:rPr>
          <w:rFonts w:ascii="Times New Roman" w:hAnsi="Times New Roman" w:cs="Times New Roman"/>
        </w:rPr>
        <w:t>Not applicable.</w:t>
      </w:r>
    </w:p>
    <w:p w14:paraId="4476D6B9"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Availability of data and materials</w:t>
      </w:r>
    </w:p>
    <w:p w14:paraId="1E1850C0" w14:textId="77777777" w:rsidR="00825312" w:rsidRDefault="00825312" w:rsidP="00C974EE">
      <w:pPr>
        <w:spacing w:line="360" w:lineRule="auto"/>
        <w:rPr>
          <w:rFonts w:ascii="Times New Roman" w:hAnsi="Times New Roman" w:cs="Times New Roman"/>
        </w:rPr>
      </w:pPr>
      <w:r w:rsidRPr="00C974EE">
        <w:rPr>
          <w:rFonts w:ascii="Times New Roman" w:hAnsi="Times New Roman" w:cs="Times New Roman"/>
        </w:rPr>
        <w:t>The datasets generated and analyzed during this study are not publicly available due to confidentiality agreements with participating health facilities and ethical restrictions related to potentially identifiable facility-level financial data. However, anonymized datasets are available from the corresponding author on reasonable request and with appropriate ethical approval.</w:t>
      </w:r>
    </w:p>
    <w:p w14:paraId="39F1C288" w14:textId="3E11B76E" w:rsidR="00B33A53" w:rsidRPr="00C974EE" w:rsidRDefault="00B33A53" w:rsidP="00C974EE">
      <w:pPr>
        <w:spacing w:line="360" w:lineRule="auto"/>
        <w:rPr>
          <w:rFonts w:ascii="Times New Roman" w:hAnsi="Times New Roman" w:cs="Times New Roman"/>
        </w:rPr>
      </w:pPr>
      <w:r w:rsidRPr="00B33A53">
        <w:rPr>
          <w:rFonts w:ascii="Times New Roman" w:hAnsi="Times New Roman" w:cs="Times New Roman"/>
        </w:rPr>
        <w:t>The data collection instruments (structured questionnaire and semi-structured interview guide) used in this study are provided as Additional File 1</w:t>
      </w:r>
    </w:p>
    <w:p w14:paraId="25DE8B8D"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Competing interests</w:t>
      </w:r>
    </w:p>
    <w:p w14:paraId="659C63BB" w14:textId="77777777" w:rsidR="00825312" w:rsidRPr="00C974EE" w:rsidRDefault="00825312" w:rsidP="00C974EE">
      <w:pPr>
        <w:spacing w:line="360" w:lineRule="auto"/>
        <w:rPr>
          <w:rFonts w:ascii="Times New Roman" w:hAnsi="Times New Roman" w:cs="Times New Roman"/>
        </w:rPr>
      </w:pPr>
      <w:r w:rsidRPr="00C974EE">
        <w:rPr>
          <w:rFonts w:ascii="Times New Roman" w:hAnsi="Times New Roman" w:cs="Times New Roman"/>
        </w:rPr>
        <w:t>The authors declare that they have no competing interests.</w:t>
      </w:r>
    </w:p>
    <w:p w14:paraId="3BAAF006"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Funding</w:t>
      </w:r>
    </w:p>
    <w:p w14:paraId="27C6F005" w14:textId="7C073190" w:rsidR="00825312" w:rsidRPr="00C974EE" w:rsidRDefault="00BF365F" w:rsidP="00C974EE">
      <w:pPr>
        <w:spacing w:line="360" w:lineRule="auto"/>
        <w:rPr>
          <w:rFonts w:ascii="Times New Roman" w:hAnsi="Times New Roman" w:cs="Times New Roman"/>
        </w:rPr>
      </w:pPr>
      <w:r w:rsidRPr="00C974EE">
        <w:rPr>
          <w:rFonts w:ascii="Times New Roman" w:hAnsi="Times New Roman" w:cs="Times New Roman"/>
        </w:rPr>
        <w:t>This study was conducted as part of the VLIR-</w:t>
      </w:r>
      <w:r w:rsidR="001460B3">
        <w:rPr>
          <w:rFonts w:ascii="Times New Roman" w:hAnsi="Times New Roman" w:cs="Times New Roman"/>
        </w:rPr>
        <w:t>IUC</w:t>
      </w:r>
      <w:r w:rsidRPr="00C974EE">
        <w:rPr>
          <w:rFonts w:ascii="Times New Roman" w:hAnsi="Times New Roman" w:cs="Times New Roman"/>
        </w:rPr>
        <w:t>+JOOUST SP3 Project</w:t>
      </w:r>
      <w:r w:rsidR="00825312" w:rsidRPr="00C974EE">
        <w:rPr>
          <w:rFonts w:ascii="Times New Roman" w:hAnsi="Times New Roman" w:cs="Times New Roman"/>
        </w:rPr>
        <w:t>. The funder had no role in study design, data collection, analysis, interpretation, or manuscript preparation.</w:t>
      </w:r>
    </w:p>
    <w:p w14:paraId="15F2C17E"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Authors' contributions</w:t>
      </w:r>
    </w:p>
    <w:p w14:paraId="15609F29" w14:textId="649AFC44" w:rsidR="00BF365F" w:rsidRPr="00C974EE" w:rsidRDefault="00BF365F" w:rsidP="00C974EE">
      <w:pPr>
        <w:spacing w:line="360" w:lineRule="auto"/>
        <w:rPr>
          <w:rFonts w:ascii="Times New Roman" w:hAnsi="Times New Roman" w:cs="Times New Roman"/>
        </w:rPr>
      </w:pPr>
      <w:r w:rsidRPr="00C974EE">
        <w:rPr>
          <w:rFonts w:ascii="Times New Roman" w:hAnsi="Times New Roman" w:cs="Times New Roman"/>
        </w:rPr>
        <w:t xml:space="preserve">NWA conceptualized the study, designed the methodology and data collection tools, conducted all field data collection and facility visits, performed quantitative and qualitative data analysis, and drafted the initial manuscript. JO contributed to study conceptualization, supervised data collection activities, and provided critical review of analysis and manuscript drafts. EM and JAO contributed to data collection tool development, participated in qualitative data collection, and reviewed manuscript drafts. DOA and DO </w:t>
      </w:r>
      <w:proofErr w:type="gramStart"/>
      <w:r w:rsidRPr="00C974EE">
        <w:rPr>
          <w:rFonts w:ascii="Times New Roman" w:hAnsi="Times New Roman" w:cs="Times New Roman"/>
        </w:rPr>
        <w:t>provided</w:t>
      </w:r>
      <w:proofErr w:type="gramEnd"/>
      <w:r w:rsidRPr="00C974EE">
        <w:rPr>
          <w:rFonts w:ascii="Times New Roman" w:hAnsi="Times New Roman" w:cs="Times New Roman"/>
        </w:rPr>
        <w:t xml:space="preserve"> supervisory oversight, contributed to study design, reviewed analysis outputs, and provided critical revision of manuscript drafts. All authors read and approved the final manuscript.</w:t>
      </w:r>
    </w:p>
    <w:p w14:paraId="18B2D3B3" w14:textId="77777777" w:rsidR="00825312" w:rsidRPr="00C974EE" w:rsidRDefault="00825312" w:rsidP="00C974EE">
      <w:pPr>
        <w:spacing w:line="360" w:lineRule="auto"/>
        <w:rPr>
          <w:rFonts w:ascii="Times New Roman" w:hAnsi="Times New Roman" w:cs="Times New Roman"/>
          <w:b/>
          <w:bCs/>
        </w:rPr>
      </w:pPr>
      <w:r w:rsidRPr="00C974EE">
        <w:rPr>
          <w:rFonts w:ascii="Times New Roman" w:hAnsi="Times New Roman" w:cs="Times New Roman"/>
          <w:b/>
          <w:bCs/>
        </w:rPr>
        <w:t>Acknowledgements</w:t>
      </w:r>
    </w:p>
    <w:p w14:paraId="1F7045C8" w14:textId="7BDB2350" w:rsidR="00825312" w:rsidRPr="00C974EE" w:rsidRDefault="00825312" w:rsidP="00C974EE">
      <w:pPr>
        <w:spacing w:line="360" w:lineRule="auto"/>
        <w:rPr>
          <w:rFonts w:ascii="Times New Roman" w:hAnsi="Times New Roman" w:cs="Times New Roman"/>
        </w:rPr>
      </w:pPr>
      <w:r w:rsidRPr="00C974EE">
        <w:rPr>
          <w:rFonts w:ascii="Times New Roman" w:hAnsi="Times New Roman" w:cs="Times New Roman"/>
        </w:rPr>
        <w:t xml:space="preserve">We thank the Kisumu County Department of Health and Seme Sub-County Health Management Team for facilitating this research. We are grateful to all health facility </w:t>
      </w:r>
      <w:r w:rsidR="0048400E" w:rsidRPr="00C974EE">
        <w:rPr>
          <w:rFonts w:ascii="Times New Roman" w:hAnsi="Times New Roman" w:cs="Times New Roman"/>
        </w:rPr>
        <w:t>in-charge</w:t>
      </w:r>
      <w:r w:rsidRPr="00C974EE">
        <w:rPr>
          <w:rFonts w:ascii="Times New Roman" w:hAnsi="Times New Roman" w:cs="Times New Roman"/>
        </w:rPr>
        <w:t>s who participated in this study. We acknowledge the VLIR-</w:t>
      </w:r>
      <w:r w:rsidR="001460B3">
        <w:rPr>
          <w:rFonts w:ascii="Times New Roman" w:hAnsi="Times New Roman" w:cs="Times New Roman"/>
        </w:rPr>
        <w:t>IUC</w:t>
      </w:r>
      <w:r w:rsidRPr="00C974EE">
        <w:rPr>
          <w:rFonts w:ascii="Times New Roman" w:hAnsi="Times New Roman" w:cs="Times New Roman"/>
        </w:rPr>
        <w:t xml:space="preserve"> SP3 Project for supporting this research.</w:t>
      </w:r>
    </w:p>
    <w:p w14:paraId="6B3BD60C" w14:textId="77777777" w:rsidR="00D46637" w:rsidRDefault="00D46637" w:rsidP="00C974EE">
      <w:pPr>
        <w:spacing w:line="360" w:lineRule="auto"/>
        <w:rPr>
          <w:rFonts w:ascii="Times New Roman" w:hAnsi="Times New Roman" w:cs="Times New Roman"/>
          <w:b/>
          <w:bCs/>
        </w:rPr>
      </w:pPr>
      <w:bookmarkStart w:id="4" w:name="_Hlk220420891"/>
    </w:p>
    <w:p w14:paraId="4DF51437" w14:textId="77777777" w:rsidR="001460B3" w:rsidRPr="00C974EE" w:rsidRDefault="001460B3" w:rsidP="00C974EE">
      <w:pPr>
        <w:spacing w:line="360" w:lineRule="auto"/>
        <w:rPr>
          <w:rFonts w:ascii="Times New Roman" w:hAnsi="Times New Roman" w:cs="Times New Roman"/>
          <w:b/>
          <w:bCs/>
        </w:rPr>
      </w:pPr>
    </w:p>
    <w:p w14:paraId="3131D5A3" w14:textId="6AB2DFAD" w:rsidR="00825312" w:rsidRPr="00C974EE" w:rsidRDefault="00825312" w:rsidP="00C974EE">
      <w:pPr>
        <w:spacing w:line="360" w:lineRule="auto"/>
        <w:rPr>
          <w:rFonts w:ascii="Times New Roman" w:hAnsi="Times New Roman" w:cs="Times New Roman"/>
          <w:b/>
          <w:bCs/>
        </w:rPr>
      </w:pPr>
      <w:bookmarkStart w:id="5" w:name="_Hlk211068559"/>
      <w:r w:rsidRPr="00C974EE">
        <w:rPr>
          <w:rFonts w:ascii="Times New Roman" w:hAnsi="Times New Roman" w:cs="Times New Roman"/>
          <w:b/>
          <w:bCs/>
        </w:rPr>
        <w:t>References</w:t>
      </w:r>
    </w:p>
    <w:bookmarkEnd w:id="4"/>
    <w:bookmarkEnd w:id="5"/>
    <w:p w14:paraId="7AE74A16" w14:textId="77777777" w:rsidR="002D0634" w:rsidRPr="002D0634" w:rsidRDefault="00521BE0" w:rsidP="002D0634">
      <w:pPr>
        <w:pStyle w:val="Bibliography"/>
        <w:rPr>
          <w:rFonts w:ascii="Times New Roman" w:hAnsi="Times New Roman" w:cs="Times New Roman"/>
        </w:rPr>
      </w:pPr>
      <w:r>
        <w:fldChar w:fldCharType="begin"/>
      </w:r>
      <w:r w:rsidR="002D0634">
        <w:instrText xml:space="preserve"> ADDIN ZOTERO_BIBL {"uncited":[],"omitted":[],"custom":[]} CSL_BIBLIOGRAPHY </w:instrText>
      </w:r>
      <w:r>
        <w:fldChar w:fldCharType="separate"/>
      </w:r>
      <w:r w:rsidR="002D0634" w:rsidRPr="002D0634">
        <w:rPr>
          <w:rFonts w:ascii="Times New Roman" w:hAnsi="Times New Roman" w:cs="Times New Roman"/>
        </w:rPr>
        <w:t>1. Ezzati M, Pearson-Stuttard J, Bennett JE, Mathers CD. Acting on non-communicable diseases in low-and middle-income tropical countries. Nature. 2018;559:507–16.</w:t>
      </w:r>
    </w:p>
    <w:p w14:paraId="161226C8"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 Vos T, Lim SS, Abbafati C, Abbas KM, Abbasi M, Abbasifard M, et al. Global burden of 369 diseases and injuries in 204 countries and territories, 1990–2019: a systematic analysis for the Global Burden of Disease Study 2019. The lancet. 2020;396:1204–22.</w:t>
      </w:r>
    </w:p>
    <w:p w14:paraId="516672A3"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 MoH. Ministry of Health. Kenya National Strategy for the Prevention and control of non-communicable diseases. 2015.</w:t>
      </w:r>
    </w:p>
    <w:p w14:paraId="6248C8F4"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 Wamai RG, Kengne AP, Levitt N. Non-communicable diseases surveillance: overview of magnitude and determinants in Kenya from STEPwise approach survey of 2015. BMC Public Health. 2018;18 Suppl 3:1224.</w:t>
      </w:r>
    </w:p>
    <w:p w14:paraId="1D522E81"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5. WHO. Package of essential noncommunicable (PEN) disease interventions for primary health care in low-resource settings. World Health Organization. 2010.</w:t>
      </w:r>
    </w:p>
    <w:p w14:paraId="74CED9FC"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6. Organization WH, others. Global action plan for the prevention and control of noncommunicable diseases 2013-2020. In: Global action plan for the prevention and control of noncommunicable diseases 2013-2020. 2013.</w:t>
      </w:r>
    </w:p>
    <w:p w14:paraId="3E8D918E"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7. Kiragu ZW, Rockers PC, Onyango MA, Mungai J, Mboya J, Laing R, et al. Household access to non-communicable disease medicines during universal health care roll-out in Kenya: A time series analysis. Plos one. 2022;17:e0266715.</w:t>
      </w:r>
    </w:p>
    <w:p w14:paraId="5815DBE9"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8. Atun R, Davies JI, Gale EA, Bärnighausen T, Beran D, Kengne AP, et al. Diabetes in sub-Saharan Africa: from clinical care to health policy. The lancet Diabetes &amp; endocrinology. 2017;5:622–67.</w:t>
      </w:r>
    </w:p>
    <w:p w14:paraId="59A265FD"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9. MoH M of H Kenya. Kenya Health Financing Strategy 2020-2030. 2020.</w:t>
      </w:r>
    </w:p>
    <w:p w14:paraId="462F8DC6"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10. Barasa E, Rogo K, Mwaura N, Chuma J. Kenya National Hospital Insurance Fund Reforms: implications and lessons for universal health coverage. Health Systems &amp; Reform. 2018;4:346–61.</w:t>
      </w:r>
    </w:p>
    <w:p w14:paraId="295ED03B"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11. Indicators AHO. Monitoring the building blocks of health systems. Geneva, Switzerland: WHO Document Production Services. 2010.</w:t>
      </w:r>
    </w:p>
    <w:p w14:paraId="35671F1B"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12. Masaba BB, Moturi JK, Taiswa J, Mmusi-Phetoe R. Devolution of healthcare system in Kenya: progress and challenges. Public Health. 2020;189:135–40.</w:t>
      </w:r>
    </w:p>
    <w:p w14:paraId="50212713"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13. Oyando R, Were V, Koros H, Mugo R, Kamano J, Etyang A, et al. Evaluating the effectiveness of the National Health Insurance Fund in providing financial protection to households with hypertension and diabetes patients in Kenya. International journal for equity in health. 2023;22:107.</w:t>
      </w:r>
    </w:p>
    <w:p w14:paraId="22E4DCB2"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14. Kairu A, Orangi S, Mbuthia B, Ondera J, Ravishankar N, Barasa E. Examining health facility financing in Kenya in the context of devolution. BMC health services research. 2021;21:1086.</w:t>
      </w:r>
    </w:p>
    <w:p w14:paraId="40F35582"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15. The Constitution of Kenya. The Constitution of Kenya. Nairobi: National Council for Law Reporting. Government Printer. 2010.</w:t>
      </w:r>
    </w:p>
    <w:p w14:paraId="52242295"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16. Barasa E, Musiega A, Hanson K, Nyawira L, Mulwa A, Molyneux S, et al. Level and determinants of county health system technical efficiency in Kenya: two stage data envelopment analysis. Cost effectiveness and resource allocation. 2021;19:78.</w:t>
      </w:r>
    </w:p>
    <w:p w14:paraId="4F4F9D79"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17. Barmaasai A, others. Healthcare Budget Allocation and Economic Growth Among County Governments in the North Rift Region in Kenya. PhD Thesis. University of Nairobi; 2021.</w:t>
      </w:r>
    </w:p>
    <w:p w14:paraId="3C5901A6"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18. Musango L, Elovainio R, Nabyonga J, Toure B. The state of health financing in the African Region. Health Monitor. 2013;9:1–16.</w:t>
      </w:r>
    </w:p>
    <w:p w14:paraId="3DA11D37"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19. Waruingi V. effect of healthcare budget allocation on County government economic growth in kenya. PhD Thesis. UoN; 2020.</w:t>
      </w:r>
    </w:p>
    <w:p w14:paraId="68EA8DA3"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20. McIntyre D, Meheus F, Røttingen J-A. What level of domestic government health expenditure should we aspire to for universal health coverage? Health Economics, Policy and Law. 2017;12:125–37.</w:t>
      </w:r>
    </w:p>
    <w:p w14:paraId="09488B12"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21. PUBLIC FINANCE MANAGEMENT ACT. 2012.</w:t>
      </w:r>
    </w:p>
    <w:p w14:paraId="3F0BF7BF"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22. Opwora A, Waweru E, Toda M, Noor A, Edwards T, Fegan G, et al. Implementation of patient charges at primary care facilities in Kenya: implications of low adherence to user fee policy for users and facility revenue. Health Policy Plan. 2015;30:508–17. https://doi.org/10.1093/heapol/czu026.</w:t>
      </w:r>
    </w:p>
    <w:p w14:paraId="492C3BCB"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23. Kutzin J. Health financing for universal coverage and health system performance: concepts and implications for policy. Bulletin of the World Health Organization. 2013;91:602–11.</w:t>
      </w:r>
    </w:p>
    <w:p w14:paraId="40FEB9AE"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24. Organization WH, others. Tracking universal health coverage: first global monitoring report. World Health Organization; 2015.</w:t>
      </w:r>
    </w:p>
    <w:p w14:paraId="07262760"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25. NALEBE RM. Towards a Digital Health Information Framework For Management of Essential Medicine Supply Chain in Public Healthcare Facilities in Kenya. PhD Thesis. KeMU; 2024.</w:t>
      </w:r>
    </w:p>
    <w:p w14:paraId="5DC13536"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26. WHO. Health Financing Progress Matrix assessment, Kenya 2023: summary of findings and recommendations. https://www.who.int/publications/i/item/9789240094307. Accessed 6 Oct 2025.</w:t>
      </w:r>
    </w:p>
    <w:p w14:paraId="58234051"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27. Bossert TJ, Larrañaga O, Giedion U, Arbelaez JJ, Bowser DM. Decentralization and equity of resource allocation: evidence from Colombia and Chile. Bull World Health Organ. 2003;81:95–100.</w:t>
      </w:r>
    </w:p>
    <w:p w14:paraId="5B674C40"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28. Ouma OJ, Omondi D, Museve E, Owenga J, Bogers J, Abrams S, et al. Assessing the capacity of primary healthcare facilities and healthcare workers in managing diabetes and hypertension in Kisumu county, Kenya. BMC Health Serv Res. 2025;25:1221. https://doi.org/10.1186/s12913-025-13390-5.</w:t>
      </w:r>
    </w:p>
    <w:p w14:paraId="24E51183"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29. Mogaka JN, Sharma M, Temu T, Masyuko S, Kinuthia J, Osoti A, et al. Prevalence and factors associated with hypertension among adults with and without HIV in Western Kenya. PLOS ONE. 2022;17:e0262400. https://doi.org/10.1371/journal.pone.0262400.</w:t>
      </w:r>
    </w:p>
    <w:p w14:paraId="02DD9567"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30. Leech NL, Onwuegbuzie AJ. A typology of mixed methods research designs. Quality &amp; quantity. 2009;43:265–75.</w:t>
      </w:r>
    </w:p>
    <w:p w14:paraId="09B9367C"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31. Curry LA, Nembhard IM, Bradley EH. Qualitative and mixed methods provide unique contributions to outcomes research. Circulation. 2009;119:1442–52.</w:t>
      </w:r>
    </w:p>
    <w:p w14:paraId="216BF104"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32. Ministry of Health, Kenya. APPROACHES TO IMPLEMENTING AND FINANCING PRIMARY HEALTH CARE IN KENYA. 2024.</w:t>
      </w:r>
    </w:p>
    <w:p w14:paraId="4509F93D"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33. An exploration of the successful scale-up of the electronic community health information system in Kenya - PMC. https://pmc.ncbi.nlm.nih.gov/articles/PMC12448183/?utm_source=chatgpt.com. Accessed 27 Jan 2026.</w:t>
      </w:r>
    </w:p>
    <w:p w14:paraId="2AAB7F1A"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34. JOOUST VLIR-IUC PROJECT – DRIE. https://drie.jooust.ac.ke/nproject/jooust-vlir-iuc-project/. Accessed 27 Jan 2026.</w:t>
      </w:r>
    </w:p>
    <w:p w14:paraId="1037D3D4"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35. Kutzin J. A descriptive framework for country-level analysis of health care financing arrangements. Health policy. 2001;56:171–204.</w:t>
      </w:r>
    </w:p>
    <w:p w14:paraId="48C61527"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36. Social Health Insurance Act - Kenya Law. https://new.kenyalaw.org/akn/ke/act/2023/16/eng@2023-11-24. Accessed 6 Oct 2025.</w:t>
      </w:r>
    </w:p>
    <w:p w14:paraId="7226484A"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37. Stuckler D, King L, McKee M. Package of Essential Noncommunicable (PEN) Disease Interventions for Primary Health Care in Low-Resource Settings. 2011.</w:t>
      </w:r>
    </w:p>
    <w:p w14:paraId="41B037E4"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38. Tsofa B, Molyneux S, Gilson L, Goodman C. How does decentralisation affect health sector planning and financial management? a case study of early effects of devolution in Kilifi County, Kenya. International Journal for Equity in Health. 2017;16:151. https://doi.org/10.1186/s12939-017-0649-0.</w:t>
      </w:r>
    </w:p>
    <w:p w14:paraId="205D0D28"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39. Tsofa B, Molyneux S, Goodman C. Health sector operational planning and budgeting processes in Kenya-"never the twain shall meet". Int J Health Plann Manage. 2016;31:260–76. https://doi.org/10.1002/hpm.2286.</w:t>
      </w:r>
    </w:p>
    <w:p w14:paraId="2CCE7D84"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 xml:space="preserve">40. Feinerer I, Hornik K, Meyer D. Text Mining Infrastructure in </w:t>
      </w:r>
      <w:r w:rsidRPr="002D0634">
        <w:rPr>
          <w:rFonts w:ascii="Times New Roman" w:hAnsi="Times New Roman" w:cs="Times New Roman"/>
          <w:i/>
          <w:iCs/>
        </w:rPr>
        <w:t>R</w:t>
      </w:r>
      <w:r w:rsidRPr="002D0634">
        <w:rPr>
          <w:rFonts w:ascii="Times New Roman" w:hAnsi="Times New Roman" w:cs="Times New Roman"/>
        </w:rPr>
        <w:t>. J Stat Soft. 2008;25. https://doi.org/10.18637/jss.v025.i05.</w:t>
      </w:r>
    </w:p>
    <w:p w14:paraId="08B1FD75"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41. Braun V, Clarke V. Using thematic analysis in psychology. Qualitative research in psychology. 2006;3:77–101.</w:t>
      </w:r>
    </w:p>
    <w:p w14:paraId="2F553670"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42. Creswell JW, Clark VLP. Designing and conducting mixed methods research. Sage publications; 2017.</w:t>
      </w:r>
    </w:p>
    <w:p w14:paraId="731644B8"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43. Silge J, Robinson D. tidytext: Text Mining and Analysis Using Tidy Data Principles in R. JOSS. 2016;1. https://doi.org/10.21105/joss.00037.</w:t>
      </w:r>
    </w:p>
    <w:p w14:paraId="38574579"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44. Jan S, Laba T-L, Essue BM, Gheorghe A, Muhunthan J, Engelgau M, et al. Action to address the household economic burden of non-communicable diseases. Lancet. 2018;391:2047–58. https://doi.org/10.1016/S0140-6736(18)30323-4.</w:t>
      </w:r>
    </w:p>
    <w:p w14:paraId="07110BE7"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45. Paek SC, Meemon N, Wan TTH. Thailand’s universal coverage scheme and its impact on health-seeking behavior. Springerplus. 2016;5:1952. https://doi.org/10.1186/s40064-016-3665-4.</w:t>
      </w:r>
    </w:p>
    <w:p w14:paraId="34024156"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46. Sundararaman DT. Health Care Financing in Thailand: Learnings in the Theory and Practice of Universal Health Coverage. 2024.</w:t>
      </w:r>
    </w:p>
    <w:p w14:paraId="55913E5B"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47. Musiega A, Amboko B, Maritim B, Nzinga J, Tsofa B, Mugo PM, et al. Evaluating the effects, implementation experience and political economy of primary healthcare facility autonomy reforms within counties in Kenya: a mixed methods study protocol. BMJ Public Health. 2024;2:e001156. https://doi.org/10.1136/bmjph-2024-001156.</w:t>
      </w:r>
    </w:p>
    <w:p w14:paraId="40121927" w14:textId="77777777" w:rsidR="002D0634" w:rsidRPr="002D0634" w:rsidRDefault="002D0634" w:rsidP="002D0634">
      <w:pPr>
        <w:pStyle w:val="Bibliography"/>
        <w:rPr>
          <w:rFonts w:ascii="Times New Roman" w:hAnsi="Times New Roman" w:cs="Times New Roman"/>
        </w:rPr>
      </w:pPr>
      <w:r w:rsidRPr="002D0634">
        <w:rPr>
          <w:rFonts w:ascii="Times New Roman" w:hAnsi="Times New Roman" w:cs="Times New Roman"/>
        </w:rPr>
        <w:t>48. Facilities Improvement Financing Act. 2023.</w:t>
      </w:r>
    </w:p>
    <w:p w14:paraId="4B5F5472" w14:textId="07677AFE" w:rsidR="00997189" w:rsidRPr="00C974EE" w:rsidRDefault="00521BE0" w:rsidP="00C974EE">
      <w:pPr>
        <w:spacing w:line="360" w:lineRule="auto"/>
        <w:rPr>
          <w:rFonts w:ascii="Times New Roman" w:hAnsi="Times New Roman" w:cs="Times New Roman"/>
        </w:rPr>
      </w:pPr>
      <w:r>
        <w:rPr>
          <w:rFonts w:ascii="Times New Roman" w:hAnsi="Times New Roman" w:cs="Times New Roman"/>
        </w:rPr>
        <w:fldChar w:fldCharType="end"/>
      </w:r>
    </w:p>
    <w:sectPr w:rsidR="00997189" w:rsidRPr="00C97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6111"/>
    <w:multiLevelType w:val="multilevel"/>
    <w:tmpl w:val="2000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05329"/>
    <w:multiLevelType w:val="hybridMultilevel"/>
    <w:tmpl w:val="060EA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A5484"/>
    <w:multiLevelType w:val="hybridMultilevel"/>
    <w:tmpl w:val="416A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D3F15"/>
    <w:multiLevelType w:val="hybridMultilevel"/>
    <w:tmpl w:val="821C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63586"/>
    <w:multiLevelType w:val="multilevel"/>
    <w:tmpl w:val="3184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141824"/>
    <w:multiLevelType w:val="multilevel"/>
    <w:tmpl w:val="B6D8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785E1A"/>
    <w:multiLevelType w:val="multilevel"/>
    <w:tmpl w:val="BA5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217C3"/>
    <w:multiLevelType w:val="multilevel"/>
    <w:tmpl w:val="779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A6EFD"/>
    <w:multiLevelType w:val="multilevel"/>
    <w:tmpl w:val="84B0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5B36BE"/>
    <w:multiLevelType w:val="multilevel"/>
    <w:tmpl w:val="93D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649380">
    <w:abstractNumId w:val="0"/>
  </w:num>
  <w:num w:numId="2" w16cid:durableId="2034921777">
    <w:abstractNumId w:val="5"/>
  </w:num>
  <w:num w:numId="3" w16cid:durableId="123549885">
    <w:abstractNumId w:val="4"/>
  </w:num>
  <w:num w:numId="4" w16cid:durableId="608926524">
    <w:abstractNumId w:val="8"/>
  </w:num>
  <w:num w:numId="5" w16cid:durableId="1071780376">
    <w:abstractNumId w:val="7"/>
  </w:num>
  <w:num w:numId="6" w16cid:durableId="552230037">
    <w:abstractNumId w:val="6"/>
  </w:num>
  <w:num w:numId="7" w16cid:durableId="673727926">
    <w:abstractNumId w:val="9"/>
  </w:num>
  <w:num w:numId="8" w16cid:durableId="630093214">
    <w:abstractNumId w:val="1"/>
  </w:num>
  <w:num w:numId="9" w16cid:durableId="1177109689">
    <w:abstractNumId w:val="2"/>
  </w:num>
  <w:num w:numId="10" w16cid:durableId="1201623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12"/>
    <w:rsid w:val="00015DD3"/>
    <w:rsid w:val="0003261F"/>
    <w:rsid w:val="00032CFC"/>
    <w:rsid w:val="000361BD"/>
    <w:rsid w:val="00037657"/>
    <w:rsid w:val="00037CD1"/>
    <w:rsid w:val="00052887"/>
    <w:rsid w:val="000540CF"/>
    <w:rsid w:val="00054646"/>
    <w:rsid w:val="00064C68"/>
    <w:rsid w:val="00070B89"/>
    <w:rsid w:val="00074DEA"/>
    <w:rsid w:val="00094241"/>
    <w:rsid w:val="000B78ED"/>
    <w:rsid w:val="000C78CF"/>
    <w:rsid w:val="000D1335"/>
    <w:rsid w:val="00105619"/>
    <w:rsid w:val="00117515"/>
    <w:rsid w:val="00122D0A"/>
    <w:rsid w:val="00136F16"/>
    <w:rsid w:val="001460B3"/>
    <w:rsid w:val="001528A0"/>
    <w:rsid w:val="00153319"/>
    <w:rsid w:val="0016648F"/>
    <w:rsid w:val="00193145"/>
    <w:rsid w:val="00196290"/>
    <w:rsid w:val="001C1FBC"/>
    <w:rsid w:val="001D2231"/>
    <w:rsid w:val="001E7CB8"/>
    <w:rsid w:val="001F158E"/>
    <w:rsid w:val="001F63DC"/>
    <w:rsid w:val="0021293A"/>
    <w:rsid w:val="00220DD8"/>
    <w:rsid w:val="0022624C"/>
    <w:rsid w:val="00252AAD"/>
    <w:rsid w:val="0025655E"/>
    <w:rsid w:val="002720BA"/>
    <w:rsid w:val="002720C2"/>
    <w:rsid w:val="0028588D"/>
    <w:rsid w:val="002A3206"/>
    <w:rsid w:val="002A586A"/>
    <w:rsid w:val="002B5EE9"/>
    <w:rsid w:val="002C0C96"/>
    <w:rsid w:val="002C4FE0"/>
    <w:rsid w:val="002C7519"/>
    <w:rsid w:val="002D0634"/>
    <w:rsid w:val="002D5F0C"/>
    <w:rsid w:val="002E1D2E"/>
    <w:rsid w:val="00305AEB"/>
    <w:rsid w:val="0032158B"/>
    <w:rsid w:val="0032329D"/>
    <w:rsid w:val="00330256"/>
    <w:rsid w:val="00331770"/>
    <w:rsid w:val="00347EA4"/>
    <w:rsid w:val="0036524A"/>
    <w:rsid w:val="00373FD5"/>
    <w:rsid w:val="003908B4"/>
    <w:rsid w:val="00397CBC"/>
    <w:rsid w:val="003C156C"/>
    <w:rsid w:val="003E3A34"/>
    <w:rsid w:val="003E7CE0"/>
    <w:rsid w:val="00403733"/>
    <w:rsid w:val="004115C2"/>
    <w:rsid w:val="00423667"/>
    <w:rsid w:val="00431FA7"/>
    <w:rsid w:val="00463D6E"/>
    <w:rsid w:val="00464F6D"/>
    <w:rsid w:val="0048400E"/>
    <w:rsid w:val="00496472"/>
    <w:rsid w:val="004A2467"/>
    <w:rsid w:val="004A2F03"/>
    <w:rsid w:val="004B240D"/>
    <w:rsid w:val="004C77FB"/>
    <w:rsid w:val="004E62D6"/>
    <w:rsid w:val="00512D34"/>
    <w:rsid w:val="00516B69"/>
    <w:rsid w:val="00521BE0"/>
    <w:rsid w:val="00541804"/>
    <w:rsid w:val="0055149F"/>
    <w:rsid w:val="005879FF"/>
    <w:rsid w:val="00592D15"/>
    <w:rsid w:val="005944D5"/>
    <w:rsid w:val="005A7D61"/>
    <w:rsid w:val="005D2B10"/>
    <w:rsid w:val="005D643E"/>
    <w:rsid w:val="005E33FC"/>
    <w:rsid w:val="00607B1B"/>
    <w:rsid w:val="00611FFC"/>
    <w:rsid w:val="00633833"/>
    <w:rsid w:val="00643097"/>
    <w:rsid w:val="00667021"/>
    <w:rsid w:val="0069626F"/>
    <w:rsid w:val="006C2EFD"/>
    <w:rsid w:val="006F675A"/>
    <w:rsid w:val="00711379"/>
    <w:rsid w:val="00733D79"/>
    <w:rsid w:val="00740295"/>
    <w:rsid w:val="00756DB9"/>
    <w:rsid w:val="00764D64"/>
    <w:rsid w:val="007740D2"/>
    <w:rsid w:val="00777FD3"/>
    <w:rsid w:val="0079256F"/>
    <w:rsid w:val="007D3106"/>
    <w:rsid w:val="007D74D1"/>
    <w:rsid w:val="007D7F9D"/>
    <w:rsid w:val="00814516"/>
    <w:rsid w:val="0082199B"/>
    <w:rsid w:val="00825312"/>
    <w:rsid w:val="008271D4"/>
    <w:rsid w:val="00830499"/>
    <w:rsid w:val="00841E0F"/>
    <w:rsid w:val="00844991"/>
    <w:rsid w:val="00857F7A"/>
    <w:rsid w:val="0086349B"/>
    <w:rsid w:val="008927C5"/>
    <w:rsid w:val="008C1896"/>
    <w:rsid w:val="008C4621"/>
    <w:rsid w:val="008E3281"/>
    <w:rsid w:val="008E7E0D"/>
    <w:rsid w:val="00913121"/>
    <w:rsid w:val="009240DE"/>
    <w:rsid w:val="009303D0"/>
    <w:rsid w:val="00936B01"/>
    <w:rsid w:val="009402AB"/>
    <w:rsid w:val="00950DD9"/>
    <w:rsid w:val="00951726"/>
    <w:rsid w:val="00991485"/>
    <w:rsid w:val="00997189"/>
    <w:rsid w:val="009A686F"/>
    <w:rsid w:val="009B6E87"/>
    <w:rsid w:val="009C5881"/>
    <w:rsid w:val="009D47B2"/>
    <w:rsid w:val="009E0A13"/>
    <w:rsid w:val="009F40D7"/>
    <w:rsid w:val="00A144F3"/>
    <w:rsid w:val="00A311C0"/>
    <w:rsid w:val="00A62F40"/>
    <w:rsid w:val="00AA06FE"/>
    <w:rsid w:val="00AF2C4C"/>
    <w:rsid w:val="00AF3775"/>
    <w:rsid w:val="00B33A53"/>
    <w:rsid w:val="00B41768"/>
    <w:rsid w:val="00B44046"/>
    <w:rsid w:val="00B97F52"/>
    <w:rsid w:val="00BA18BE"/>
    <w:rsid w:val="00BA4F06"/>
    <w:rsid w:val="00BC11C7"/>
    <w:rsid w:val="00BC5423"/>
    <w:rsid w:val="00BD56DC"/>
    <w:rsid w:val="00BF365F"/>
    <w:rsid w:val="00C03F64"/>
    <w:rsid w:val="00C109A4"/>
    <w:rsid w:val="00C4205D"/>
    <w:rsid w:val="00C65898"/>
    <w:rsid w:val="00C65E13"/>
    <w:rsid w:val="00C800CC"/>
    <w:rsid w:val="00C814EF"/>
    <w:rsid w:val="00C8223A"/>
    <w:rsid w:val="00C974EE"/>
    <w:rsid w:val="00CB15F5"/>
    <w:rsid w:val="00CC4F7F"/>
    <w:rsid w:val="00CC6C64"/>
    <w:rsid w:val="00CE065A"/>
    <w:rsid w:val="00CE3C65"/>
    <w:rsid w:val="00CE61F8"/>
    <w:rsid w:val="00CF53BD"/>
    <w:rsid w:val="00D06E78"/>
    <w:rsid w:val="00D11C39"/>
    <w:rsid w:val="00D11F6D"/>
    <w:rsid w:val="00D17CF9"/>
    <w:rsid w:val="00D22CC1"/>
    <w:rsid w:val="00D26A1B"/>
    <w:rsid w:val="00D3528E"/>
    <w:rsid w:val="00D46637"/>
    <w:rsid w:val="00D500F2"/>
    <w:rsid w:val="00D63C50"/>
    <w:rsid w:val="00D75580"/>
    <w:rsid w:val="00D91030"/>
    <w:rsid w:val="00D93BF0"/>
    <w:rsid w:val="00D97A8B"/>
    <w:rsid w:val="00DA4934"/>
    <w:rsid w:val="00DE1CF7"/>
    <w:rsid w:val="00DE5EF4"/>
    <w:rsid w:val="00DF5AA9"/>
    <w:rsid w:val="00E1718C"/>
    <w:rsid w:val="00E27F39"/>
    <w:rsid w:val="00E429B1"/>
    <w:rsid w:val="00E56788"/>
    <w:rsid w:val="00E6207C"/>
    <w:rsid w:val="00E620A2"/>
    <w:rsid w:val="00EA04F2"/>
    <w:rsid w:val="00EB0B55"/>
    <w:rsid w:val="00ED5656"/>
    <w:rsid w:val="00EF258D"/>
    <w:rsid w:val="00F11F8C"/>
    <w:rsid w:val="00F30C85"/>
    <w:rsid w:val="00F32502"/>
    <w:rsid w:val="00F422F5"/>
    <w:rsid w:val="00F43820"/>
    <w:rsid w:val="00F6157E"/>
    <w:rsid w:val="00F66C02"/>
    <w:rsid w:val="00F77807"/>
    <w:rsid w:val="00FA6263"/>
    <w:rsid w:val="00FC2A57"/>
    <w:rsid w:val="00FE675A"/>
    <w:rsid w:val="00FF5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CD33"/>
  <w15:chartTrackingRefBased/>
  <w15:docId w15:val="{0A3340DE-B395-4DC2-BC81-188A0110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312"/>
    <w:rPr>
      <w:rFonts w:eastAsiaTheme="majorEastAsia" w:cstheme="majorBidi"/>
      <w:color w:val="272727" w:themeColor="text1" w:themeTint="D8"/>
    </w:rPr>
  </w:style>
  <w:style w:type="paragraph" w:styleId="Title">
    <w:name w:val="Title"/>
    <w:basedOn w:val="Normal"/>
    <w:next w:val="Normal"/>
    <w:link w:val="TitleChar"/>
    <w:uiPriority w:val="10"/>
    <w:qFormat/>
    <w:rsid w:val="0082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312"/>
    <w:pPr>
      <w:spacing w:before="160"/>
      <w:jc w:val="center"/>
    </w:pPr>
    <w:rPr>
      <w:i/>
      <w:iCs/>
      <w:color w:val="404040" w:themeColor="text1" w:themeTint="BF"/>
    </w:rPr>
  </w:style>
  <w:style w:type="character" w:customStyle="1" w:styleId="QuoteChar">
    <w:name w:val="Quote Char"/>
    <w:basedOn w:val="DefaultParagraphFont"/>
    <w:link w:val="Quote"/>
    <w:uiPriority w:val="29"/>
    <w:rsid w:val="00825312"/>
    <w:rPr>
      <w:i/>
      <w:iCs/>
      <w:color w:val="404040" w:themeColor="text1" w:themeTint="BF"/>
    </w:rPr>
  </w:style>
  <w:style w:type="paragraph" w:styleId="ListParagraph">
    <w:name w:val="List Paragraph"/>
    <w:basedOn w:val="Normal"/>
    <w:uiPriority w:val="34"/>
    <w:qFormat/>
    <w:rsid w:val="00825312"/>
    <w:pPr>
      <w:ind w:left="720"/>
      <w:contextualSpacing/>
    </w:pPr>
  </w:style>
  <w:style w:type="character" w:styleId="IntenseEmphasis">
    <w:name w:val="Intense Emphasis"/>
    <w:basedOn w:val="DefaultParagraphFont"/>
    <w:uiPriority w:val="21"/>
    <w:qFormat/>
    <w:rsid w:val="00825312"/>
    <w:rPr>
      <w:i/>
      <w:iCs/>
      <w:color w:val="0F4761" w:themeColor="accent1" w:themeShade="BF"/>
    </w:rPr>
  </w:style>
  <w:style w:type="paragraph" w:styleId="IntenseQuote">
    <w:name w:val="Intense Quote"/>
    <w:basedOn w:val="Normal"/>
    <w:next w:val="Normal"/>
    <w:link w:val="IntenseQuoteChar"/>
    <w:uiPriority w:val="30"/>
    <w:qFormat/>
    <w:rsid w:val="00825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312"/>
    <w:rPr>
      <w:i/>
      <w:iCs/>
      <w:color w:val="0F4761" w:themeColor="accent1" w:themeShade="BF"/>
    </w:rPr>
  </w:style>
  <w:style w:type="character" w:styleId="IntenseReference">
    <w:name w:val="Intense Reference"/>
    <w:basedOn w:val="DefaultParagraphFont"/>
    <w:uiPriority w:val="32"/>
    <w:qFormat/>
    <w:rsid w:val="00825312"/>
    <w:rPr>
      <w:b/>
      <w:bCs/>
      <w:smallCaps/>
      <w:color w:val="0F4761" w:themeColor="accent1" w:themeShade="BF"/>
      <w:spacing w:val="5"/>
    </w:rPr>
  </w:style>
  <w:style w:type="character" w:styleId="Hyperlink">
    <w:name w:val="Hyperlink"/>
    <w:basedOn w:val="DefaultParagraphFont"/>
    <w:uiPriority w:val="99"/>
    <w:unhideWhenUsed/>
    <w:rsid w:val="00037CD1"/>
    <w:rPr>
      <w:color w:val="467886" w:themeColor="hyperlink"/>
      <w:u w:val="single"/>
    </w:rPr>
  </w:style>
  <w:style w:type="character" w:styleId="UnresolvedMention">
    <w:name w:val="Unresolved Mention"/>
    <w:basedOn w:val="DefaultParagraphFont"/>
    <w:uiPriority w:val="99"/>
    <w:semiHidden/>
    <w:unhideWhenUsed/>
    <w:rsid w:val="00037CD1"/>
    <w:rPr>
      <w:color w:val="605E5C"/>
      <w:shd w:val="clear" w:color="auto" w:fill="E1DFDD"/>
    </w:rPr>
  </w:style>
  <w:style w:type="character" w:styleId="FollowedHyperlink">
    <w:name w:val="FollowedHyperlink"/>
    <w:basedOn w:val="DefaultParagraphFont"/>
    <w:uiPriority w:val="99"/>
    <w:semiHidden/>
    <w:unhideWhenUsed/>
    <w:rsid w:val="00997189"/>
    <w:rPr>
      <w:color w:val="96607D" w:themeColor="followedHyperlink"/>
      <w:u w:val="single"/>
    </w:rPr>
  </w:style>
  <w:style w:type="paragraph" w:styleId="Bibliography">
    <w:name w:val="Bibliography"/>
    <w:basedOn w:val="Normal"/>
    <w:next w:val="Normal"/>
    <w:uiPriority w:val="37"/>
    <w:unhideWhenUsed/>
    <w:rsid w:val="00711379"/>
    <w:pPr>
      <w:spacing w:after="240" w:line="240" w:lineRule="auto"/>
    </w:pPr>
  </w:style>
  <w:style w:type="paragraph" w:styleId="Caption">
    <w:name w:val="caption"/>
    <w:basedOn w:val="Normal"/>
    <w:next w:val="Normal"/>
    <w:uiPriority w:val="35"/>
    <w:unhideWhenUsed/>
    <w:qFormat/>
    <w:rsid w:val="00FE675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426">
      <w:bodyDiv w:val="1"/>
      <w:marLeft w:val="0"/>
      <w:marRight w:val="0"/>
      <w:marTop w:val="0"/>
      <w:marBottom w:val="0"/>
      <w:divBdr>
        <w:top w:val="none" w:sz="0" w:space="0" w:color="auto"/>
        <w:left w:val="none" w:sz="0" w:space="0" w:color="auto"/>
        <w:bottom w:val="none" w:sz="0" w:space="0" w:color="auto"/>
        <w:right w:val="none" w:sz="0" w:space="0" w:color="auto"/>
      </w:divBdr>
    </w:div>
    <w:div w:id="14507802">
      <w:bodyDiv w:val="1"/>
      <w:marLeft w:val="0"/>
      <w:marRight w:val="0"/>
      <w:marTop w:val="0"/>
      <w:marBottom w:val="0"/>
      <w:divBdr>
        <w:top w:val="none" w:sz="0" w:space="0" w:color="auto"/>
        <w:left w:val="none" w:sz="0" w:space="0" w:color="auto"/>
        <w:bottom w:val="none" w:sz="0" w:space="0" w:color="auto"/>
        <w:right w:val="none" w:sz="0" w:space="0" w:color="auto"/>
      </w:divBdr>
    </w:div>
    <w:div w:id="72707502">
      <w:bodyDiv w:val="1"/>
      <w:marLeft w:val="0"/>
      <w:marRight w:val="0"/>
      <w:marTop w:val="0"/>
      <w:marBottom w:val="0"/>
      <w:divBdr>
        <w:top w:val="none" w:sz="0" w:space="0" w:color="auto"/>
        <w:left w:val="none" w:sz="0" w:space="0" w:color="auto"/>
        <w:bottom w:val="none" w:sz="0" w:space="0" w:color="auto"/>
        <w:right w:val="none" w:sz="0" w:space="0" w:color="auto"/>
      </w:divBdr>
    </w:div>
    <w:div w:id="74671006">
      <w:bodyDiv w:val="1"/>
      <w:marLeft w:val="0"/>
      <w:marRight w:val="0"/>
      <w:marTop w:val="0"/>
      <w:marBottom w:val="0"/>
      <w:divBdr>
        <w:top w:val="none" w:sz="0" w:space="0" w:color="auto"/>
        <w:left w:val="none" w:sz="0" w:space="0" w:color="auto"/>
        <w:bottom w:val="none" w:sz="0" w:space="0" w:color="auto"/>
        <w:right w:val="none" w:sz="0" w:space="0" w:color="auto"/>
      </w:divBdr>
    </w:div>
    <w:div w:id="232856211">
      <w:bodyDiv w:val="1"/>
      <w:marLeft w:val="0"/>
      <w:marRight w:val="0"/>
      <w:marTop w:val="0"/>
      <w:marBottom w:val="0"/>
      <w:divBdr>
        <w:top w:val="none" w:sz="0" w:space="0" w:color="auto"/>
        <w:left w:val="none" w:sz="0" w:space="0" w:color="auto"/>
        <w:bottom w:val="none" w:sz="0" w:space="0" w:color="auto"/>
        <w:right w:val="none" w:sz="0" w:space="0" w:color="auto"/>
      </w:divBdr>
    </w:div>
    <w:div w:id="265887179">
      <w:bodyDiv w:val="1"/>
      <w:marLeft w:val="0"/>
      <w:marRight w:val="0"/>
      <w:marTop w:val="0"/>
      <w:marBottom w:val="0"/>
      <w:divBdr>
        <w:top w:val="none" w:sz="0" w:space="0" w:color="auto"/>
        <w:left w:val="none" w:sz="0" w:space="0" w:color="auto"/>
        <w:bottom w:val="none" w:sz="0" w:space="0" w:color="auto"/>
        <w:right w:val="none" w:sz="0" w:space="0" w:color="auto"/>
      </w:divBdr>
    </w:div>
    <w:div w:id="310138013">
      <w:bodyDiv w:val="1"/>
      <w:marLeft w:val="0"/>
      <w:marRight w:val="0"/>
      <w:marTop w:val="0"/>
      <w:marBottom w:val="0"/>
      <w:divBdr>
        <w:top w:val="none" w:sz="0" w:space="0" w:color="auto"/>
        <w:left w:val="none" w:sz="0" w:space="0" w:color="auto"/>
        <w:bottom w:val="none" w:sz="0" w:space="0" w:color="auto"/>
        <w:right w:val="none" w:sz="0" w:space="0" w:color="auto"/>
      </w:divBdr>
      <w:divsChild>
        <w:div w:id="113541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0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70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539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9610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286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9688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15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46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104757">
      <w:bodyDiv w:val="1"/>
      <w:marLeft w:val="0"/>
      <w:marRight w:val="0"/>
      <w:marTop w:val="0"/>
      <w:marBottom w:val="0"/>
      <w:divBdr>
        <w:top w:val="none" w:sz="0" w:space="0" w:color="auto"/>
        <w:left w:val="none" w:sz="0" w:space="0" w:color="auto"/>
        <w:bottom w:val="none" w:sz="0" w:space="0" w:color="auto"/>
        <w:right w:val="none" w:sz="0" w:space="0" w:color="auto"/>
      </w:divBdr>
    </w:div>
    <w:div w:id="333915754">
      <w:bodyDiv w:val="1"/>
      <w:marLeft w:val="0"/>
      <w:marRight w:val="0"/>
      <w:marTop w:val="0"/>
      <w:marBottom w:val="0"/>
      <w:divBdr>
        <w:top w:val="none" w:sz="0" w:space="0" w:color="auto"/>
        <w:left w:val="none" w:sz="0" w:space="0" w:color="auto"/>
        <w:bottom w:val="none" w:sz="0" w:space="0" w:color="auto"/>
        <w:right w:val="none" w:sz="0" w:space="0" w:color="auto"/>
      </w:divBdr>
    </w:div>
    <w:div w:id="451173691">
      <w:bodyDiv w:val="1"/>
      <w:marLeft w:val="0"/>
      <w:marRight w:val="0"/>
      <w:marTop w:val="0"/>
      <w:marBottom w:val="0"/>
      <w:divBdr>
        <w:top w:val="none" w:sz="0" w:space="0" w:color="auto"/>
        <w:left w:val="none" w:sz="0" w:space="0" w:color="auto"/>
        <w:bottom w:val="none" w:sz="0" w:space="0" w:color="auto"/>
        <w:right w:val="none" w:sz="0" w:space="0" w:color="auto"/>
      </w:divBdr>
    </w:div>
    <w:div w:id="469133079">
      <w:bodyDiv w:val="1"/>
      <w:marLeft w:val="0"/>
      <w:marRight w:val="0"/>
      <w:marTop w:val="0"/>
      <w:marBottom w:val="0"/>
      <w:divBdr>
        <w:top w:val="none" w:sz="0" w:space="0" w:color="auto"/>
        <w:left w:val="none" w:sz="0" w:space="0" w:color="auto"/>
        <w:bottom w:val="none" w:sz="0" w:space="0" w:color="auto"/>
        <w:right w:val="none" w:sz="0" w:space="0" w:color="auto"/>
      </w:divBdr>
    </w:div>
    <w:div w:id="500898755">
      <w:bodyDiv w:val="1"/>
      <w:marLeft w:val="0"/>
      <w:marRight w:val="0"/>
      <w:marTop w:val="0"/>
      <w:marBottom w:val="0"/>
      <w:divBdr>
        <w:top w:val="none" w:sz="0" w:space="0" w:color="auto"/>
        <w:left w:val="none" w:sz="0" w:space="0" w:color="auto"/>
        <w:bottom w:val="none" w:sz="0" w:space="0" w:color="auto"/>
        <w:right w:val="none" w:sz="0" w:space="0" w:color="auto"/>
      </w:divBdr>
    </w:div>
    <w:div w:id="594479655">
      <w:bodyDiv w:val="1"/>
      <w:marLeft w:val="0"/>
      <w:marRight w:val="0"/>
      <w:marTop w:val="0"/>
      <w:marBottom w:val="0"/>
      <w:divBdr>
        <w:top w:val="none" w:sz="0" w:space="0" w:color="auto"/>
        <w:left w:val="none" w:sz="0" w:space="0" w:color="auto"/>
        <w:bottom w:val="none" w:sz="0" w:space="0" w:color="auto"/>
        <w:right w:val="none" w:sz="0" w:space="0" w:color="auto"/>
      </w:divBdr>
    </w:div>
    <w:div w:id="599415501">
      <w:bodyDiv w:val="1"/>
      <w:marLeft w:val="0"/>
      <w:marRight w:val="0"/>
      <w:marTop w:val="0"/>
      <w:marBottom w:val="0"/>
      <w:divBdr>
        <w:top w:val="none" w:sz="0" w:space="0" w:color="auto"/>
        <w:left w:val="none" w:sz="0" w:space="0" w:color="auto"/>
        <w:bottom w:val="none" w:sz="0" w:space="0" w:color="auto"/>
        <w:right w:val="none" w:sz="0" w:space="0" w:color="auto"/>
      </w:divBdr>
    </w:div>
    <w:div w:id="605424597">
      <w:bodyDiv w:val="1"/>
      <w:marLeft w:val="0"/>
      <w:marRight w:val="0"/>
      <w:marTop w:val="0"/>
      <w:marBottom w:val="0"/>
      <w:divBdr>
        <w:top w:val="none" w:sz="0" w:space="0" w:color="auto"/>
        <w:left w:val="none" w:sz="0" w:space="0" w:color="auto"/>
        <w:bottom w:val="none" w:sz="0" w:space="0" w:color="auto"/>
        <w:right w:val="none" w:sz="0" w:space="0" w:color="auto"/>
      </w:divBdr>
    </w:div>
    <w:div w:id="607663130">
      <w:bodyDiv w:val="1"/>
      <w:marLeft w:val="0"/>
      <w:marRight w:val="0"/>
      <w:marTop w:val="0"/>
      <w:marBottom w:val="0"/>
      <w:divBdr>
        <w:top w:val="none" w:sz="0" w:space="0" w:color="auto"/>
        <w:left w:val="none" w:sz="0" w:space="0" w:color="auto"/>
        <w:bottom w:val="none" w:sz="0" w:space="0" w:color="auto"/>
        <w:right w:val="none" w:sz="0" w:space="0" w:color="auto"/>
      </w:divBdr>
    </w:div>
    <w:div w:id="612173836">
      <w:bodyDiv w:val="1"/>
      <w:marLeft w:val="0"/>
      <w:marRight w:val="0"/>
      <w:marTop w:val="0"/>
      <w:marBottom w:val="0"/>
      <w:divBdr>
        <w:top w:val="none" w:sz="0" w:space="0" w:color="auto"/>
        <w:left w:val="none" w:sz="0" w:space="0" w:color="auto"/>
        <w:bottom w:val="none" w:sz="0" w:space="0" w:color="auto"/>
        <w:right w:val="none" w:sz="0" w:space="0" w:color="auto"/>
      </w:divBdr>
    </w:div>
    <w:div w:id="662509358">
      <w:bodyDiv w:val="1"/>
      <w:marLeft w:val="0"/>
      <w:marRight w:val="0"/>
      <w:marTop w:val="0"/>
      <w:marBottom w:val="0"/>
      <w:divBdr>
        <w:top w:val="none" w:sz="0" w:space="0" w:color="auto"/>
        <w:left w:val="none" w:sz="0" w:space="0" w:color="auto"/>
        <w:bottom w:val="none" w:sz="0" w:space="0" w:color="auto"/>
        <w:right w:val="none" w:sz="0" w:space="0" w:color="auto"/>
      </w:divBdr>
    </w:div>
    <w:div w:id="673652632">
      <w:bodyDiv w:val="1"/>
      <w:marLeft w:val="0"/>
      <w:marRight w:val="0"/>
      <w:marTop w:val="0"/>
      <w:marBottom w:val="0"/>
      <w:divBdr>
        <w:top w:val="none" w:sz="0" w:space="0" w:color="auto"/>
        <w:left w:val="none" w:sz="0" w:space="0" w:color="auto"/>
        <w:bottom w:val="none" w:sz="0" w:space="0" w:color="auto"/>
        <w:right w:val="none" w:sz="0" w:space="0" w:color="auto"/>
      </w:divBdr>
    </w:div>
    <w:div w:id="706107570">
      <w:bodyDiv w:val="1"/>
      <w:marLeft w:val="0"/>
      <w:marRight w:val="0"/>
      <w:marTop w:val="0"/>
      <w:marBottom w:val="0"/>
      <w:divBdr>
        <w:top w:val="none" w:sz="0" w:space="0" w:color="auto"/>
        <w:left w:val="none" w:sz="0" w:space="0" w:color="auto"/>
        <w:bottom w:val="none" w:sz="0" w:space="0" w:color="auto"/>
        <w:right w:val="none" w:sz="0" w:space="0" w:color="auto"/>
      </w:divBdr>
      <w:divsChild>
        <w:div w:id="202882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49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34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16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395007707">
          <w:blockQuote w:val="1"/>
          <w:marLeft w:val="720"/>
          <w:marRight w:val="720"/>
          <w:marTop w:val="100"/>
          <w:marBottom w:val="100"/>
          <w:divBdr>
            <w:top w:val="none" w:sz="0" w:space="0" w:color="auto"/>
            <w:left w:val="none" w:sz="0" w:space="0" w:color="auto"/>
            <w:bottom w:val="none" w:sz="0" w:space="0" w:color="auto"/>
            <w:right w:val="none" w:sz="0" w:space="0" w:color="auto"/>
          </w:divBdr>
        </w:div>
        <w:div w:id="67977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730828">
          <w:blockQuote w:val="1"/>
          <w:marLeft w:val="720"/>
          <w:marRight w:val="720"/>
          <w:marTop w:val="100"/>
          <w:marBottom w:val="100"/>
          <w:divBdr>
            <w:top w:val="none" w:sz="0" w:space="0" w:color="auto"/>
            <w:left w:val="none" w:sz="0" w:space="0" w:color="auto"/>
            <w:bottom w:val="none" w:sz="0" w:space="0" w:color="auto"/>
            <w:right w:val="none" w:sz="0" w:space="0" w:color="auto"/>
          </w:divBdr>
        </w:div>
        <w:div w:id="338655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22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32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07740">
      <w:bodyDiv w:val="1"/>
      <w:marLeft w:val="0"/>
      <w:marRight w:val="0"/>
      <w:marTop w:val="0"/>
      <w:marBottom w:val="0"/>
      <w:divBdr>
        <w:top w:val="none" w:sz="0" w:space="0" w:color="auto"/>
        <w:left w:val="none" w:sz="0" w:space="0" w:color="auto"/>
        <w:bottom w:val="none" w:sz="0" w:space="0" w:color="auto"/>
        <w:right w:val="none" w:sz="0" w:space="0" w:color="auto"/>
      </w:divBdr>
    </w:div>
    <w:div w:id="729770743">
      <w:bodyDiv w:val="1"/>
      <w:marLeft w:val="0"/>
      <w:marRight w:val="0"/>
      <w:marTop w:val="0"/>
      <w:marBottom w:val="0"/>
      <w:divBdr>
        <w:top w:val="none" w:sz="0" w:space="0" w:color="auto"/>
        <w:left w:val="none" w:sz="0" w:space="0" w:color="auto"/>
        <w:bottom w:val="none" w:sz="0" w:space="0" w:color="auto"/>
        <w:right w:val="none" w:sz="0" w:space="0" w:color="auto"/>
      </w:divBdr>
    </w:div>
    <w:div w:id="735972395">
      <w:bodyDiv w:val="1"/>
      <w:marLeft w:val="0"/>
      <w:marRight w:val="0"/>
      <w:marTop w:val="0"/>
      <w:marBottom w:val="0"/>
      <w:divBdr>
        <w:top w:val="none" w:sz="0" w:space="0" w:color="auto"/>
        <w:left w:val="none" w:sz="0" w:space="0" w:color="auto"/>
        <w:bottom w:val="none" w:sz="0" w:space="0" w:color="auto"/>
        <w:right w:val="none" w:sz="0" w:space="0" w:color="auto"/>
      </w:divBdr>
    </w:div>
    <w:div w:id="786462191">
      <w:bodyDiv w:val="1"/>
      <w:marLeft w:val="0"/>
      <w:marRight w:val="0"/>
      <w:marTop w:val="0"/>
      <w:marBottom w:val="0"/>
      <w:divBdr>
        <w:top w:val="none" w:sz="0" w:space="0" w:color="auto"/>
        <w:left w:val="none" w:sz="0" w:space="0" w:color="auto"/>
        <w:bottom w:val="none" w:sz="0" w:space="0" w:color="auto"/>
        <w:right w:val="none" w:sz="0" w:space="0" w:color="auto"/>
      </w:divBdr>
    </w:div>
    <w:div w:id="808018192">
      <w:bodyDiv w:val="1"/>
      <w:marLeft w:val="0"/>
      <w:marRight w:val="0"/>
      <w:marTop w:val="0"/>
      <w:marBottom w:val="0"/>
      <w:divBdr>
        <w:top w:val="none" w:sz="0" w:space="0" w:color="auto"/>
        <w:left w:val="none" w:sz="0" w:space="0" w:color="auto"/>
        <w:bottom w:val="none" w:sz="0" w:space="0" w:color="auto"/>
        <w:right w:val="none" w:sz="0" w:space="0" w:color="auto"/>
      </w:divBdr>
    </w:div>
    <w:div w:id="871263986">
      <w:bodyDiv w:val="1"/>
      <w:marLeft w:val="0"/>
      <w:marRight w:val="0"/>
      <w:marTop w:val="0"/>
      <w:marBottom w:val="0"/>
      <w:divBdr>
        <w:top w:val="none" w:sz="0" w:space="0" w:color="auto"/>
        <w:left w:val="none" w:sz="0" w:space="0" w:color="auto"/>
        <w:bottom w:val="none" w:sz="0" w:space="0" w:color="auto"/>
        <w:right w:val="none" w:sz="0" w:space="0" w:color="auto"/>
      </w:divBdr>
    </w:div>
    <w:div w:id="890925126">
      <w:bodyDiv w:val="1"/>
      <w:marLeft w:val="0"/>
      <w:marRight w:val="0"/>
      <w:marTop w:val="0"/>
      <w:marBottom w:val="0"/>
      <w:divBdr>
        <w:top w:val="none" w:sz="0" w:space="0" w:color="auto"/>
        <w:left w:val="none" w:sz="0" w:space="0" w:color="auto"/>
        <w:bottom w:val="none" w:sz="0" w:space="0" w:color="auto"/>
        <w:right w:val="none" w:sz="0" w:space="0" w:color="auto"/>
      </w:divBdr>
    </w:div>
    <w:div w:id="953364840">
      <w:bodyDiv w:val="1"/>
      <w:marLeft w:val="0"/>
      <w:marRight w:val="0"/>
      <w:marTop w:val="0"/>
      <w:marBottom w:val="0"/>
      <w:divBdr>
        <w:top w:val="none" w:sz="0" w:space="0" w:color="auto"/>
        <w:left w:val="none" w:sz="0" w:space="0" w:color="auto"/>
        <w:bottom w:val="none" w:sz="0" w:space="0" w:color="auto"/>
        <w:right w:val="none" w:sz="0" w:space="0" w:color="auto"/>
      </w:divBdr>
    </w:div>
    <w:div w:id="982151728">
      <w:bodyDiv w:val="1"/>
      <w:marLeft w:val="0"/>
      <w:marRight w:val="0"/>
      <w:marTop w:val="0"/>
      <w:marBottom w:val="0"/>
      <w:divBdr>
        <w:top w:val="none" w:sz="0" w:space="0" w:color="auto"/>
        <w:left w:val="none" w:sz="0" w:space="0" w:color="auto"/>
        <w:bottom w:val="none" w:sz="0" w:space="0" w:color="auto"/>
        <w:right w:val="none" w:sz="0" w:space="0" w:color="auto"/>
      </w:divBdr>
    </w:div>
    <w:div w:id="1031347884">
      <w:bodyDiv w:val="1"/>
      <w:marLeft w:val="0"/>
      <w:marRight w:val="0"/>
      <w:marTop w:val="0"/>
      <w:marBottom w:val="0"/>
      <w:divBdr>
        <w:top w:val="none" w:sz="0" w:space="0" w:color="auto"/>
        <w:left w:val="none" w:sz="0" w:space="0" w:color="auto"/>
        <w:bottom w:val="none" w:sz="0" w:space="0" w:color="auto"/>
        <w:right w:val="none" w:sz="0" w:space="0" w:color="auto"/>
      </w:divBdr>
    </w:div>
    <w:div w:id="1088119588">
      <w:bodyDiv w:val="1"/>
      <w:marLeft w:val="0"/>
      <w:marRight w:val="0"/>
      <w:marTop w:val="0"/>
      <w:marBottom w:val="0"/>
      <w:divBdr>
        <w:top w:val="none" w:sz="0" w:space="0" w:color="auto"/>
        <w:left w:val="none" w:sz="0" w:space="0" w:color="auto"/>
        <w:bottom w:val="none" w:sz="0" w:space="0" w:color="auto"/>
        <w:right w:val="none" w:sz="0" w:space="0" w:color="auto"/>
      </w:divBdr>
    </w:div>
    <w:div w:id="1088499608">
      <w:bodyDiv w:val="1"/>
      <w:marLeft w:val="0"/>
      <w:marRight w:val="0"/>
      <w:marTop w:val="0"/>
      <w:marBottom w:val="0"/>
      <w:divBdr>
        <w:top w:val="none" w:sz="0" w:space="0" w:color="auto"/>
        <w:left w:val="none" w:sz="0" w:space="0" w:color="auto"/>
        <w:bottom w:val="none" w:sz="0" w:space="0" w:color="auto"/>
        <w:right w:val="none" w:sz="0" w:space="0" w:color="auto"/>
      </w:divBdr>
    </w:div>
    <w:div w:id="1110931888">
      <w:bodyDiv w:val="1"/>
      <w:marLeft w:val="0"/>
      <w:marRight w:val="0"/>
      <w:marTop w:val="0"/>
      <w:marBottom w:val="0"/>
      <w:divBdr>
        <w:top w:val="none" w:sz="0" w:space="0" w:color="auto"/>
        <w:left w:val="none" w:sz="0" w:space="0" w:color="auto"/>
        <w:bottom w:val="none" w:sz="0" w:space="0" w:color="auto"/>
        <w:right w:val="none" w:sz="0" w:space="0" w:color="auto"/>
      </w:divBdr>
    </w:div>
    <w:div w:id="1254632842">
      <w:bodyDiv w:val="1"/>
      <w:marLeft w:val="0"/>
      <w:marRight w:val="0"/>
      <w:marTop w:val="0"/>
      <w:marBottom w:val="0"/>
      <w:divBdr>
        <w:top w:val="none" w:sz="0" w:space="0" w:color="auto"/>
        <w:left w:val="none" w:sz="0" w:space="0" w:color="auto"/>
        <w:bottom w:val="none" w:sz="0" w:space="0" w:color="auto"/>
        <w:right w:val="none" w:sz="0" w:space="0" w:color="auto"/>
      </w:divBdr>
    </w:div>
    <w:div w:id="1270814252">
      <w:bodyDiv w:val="1"/>
      <w:marLeft w:val="0"/>
      <w:marRight w:val="0"/>
      <w:marTop w:val="0"/>
      <w:marBottom w:val="0"/>
      <w:divBdr>
        <w:top w:val="none" w:sz="0" w:space="0" w:color="auto"/>
        <w:left w:val="none" w:sz="0" w:space="0" w:color="auto"/>
        <w:bottom w:val="none" w:sz="0" w:space="0" w:color="auto"/>
        <w:right w:val="none" w:sz="0" w:space="0" w:color="auto"/>
      </w:divBdr>
    </w:div>
    <w:div w:id="1288466934">
      <w:bodyDiv w:val="1"/>
      <w:marLeft w:val="0"/>
      <w:marRight w:val="0"/>
      <w:marTop w:val="0"/>
      <w:marBottom w:val="0"/>
      <w:divBdr>
        <w:top w:val="none" w:sz="0" w:space="0" w:color="auto"/>
        <w:left w:val="none" w:sz="0" w:space="0" w:color="auto"/>
        <w:bottom w:val="none" w:sz="0" w:space="0" w:color="auto"/>
        <w:right w:val="none" w:sz="0" w:space="0" w:color="auto"/>
      </w:divBdr>
    </w:div>
    <w:div w:id="1292396753">
      <w:bodyDiv w:val="1"/>
      <w:marLeft w:val="0"/>
      <w:marRight w:val="0"/>
      <w:marTop w:val="0"/>
      <w:marBottom w:val="0"/>
      <w:divBdr>
        <w:top w:val="none" w:sz="0" w:space="0" w:color="auto"/>
        <w:left w:val="none" w:sz="0" w:space="0" w:color="auto"/>
        <w:bottom w:val="none" w:sz="0" w:space="0" w:color="auto"/>
        <w:right w:val="none" w:sz="0" w:space="0" w:color="auto"/>
      </w:divBdr>
    </w:div>
    <w:div w:id="1338659248">
      <w:bodyDiv w:val="1"/>
      <w:marLeft w:val="0"/>
      <w:marRight w:val="0"/>
      <w:marTop w:val="0"/>
      <w:marBottom w:val="0"/>
      <w:divBdr>
        <w:top w:val="none" w:sz="0" w:space="0" w:color="auto"/>
        <w:left w:val="none" w:sz="0" w:space="0" w:color="auto"/>
        <w:bottom w:val="none" w:sz="0" w:space="0" w:color="auto"/>
        <w:right w:val="none" w:sz="0" w:space="0" w:color="auto"/>
      </w:divBdr>
    </w:div>
    <w:div w:id="1348941550">
      <w:bodyDiv w:val="1"/>
      <w:marLeft w:val="0"/>
      <w:marRight w:val="0"/>
      <w:marTop w:val="0"/>
      <w:marBottom w:val="0"/>
      <w:divBdr>
        <w:top w:val="none" w:sz="0" w:space="0" w:color="auto"/>
        <w:left w:val="none" w:sz="0" w:space="0" w:color="auto"/>
        <w:bottom w:val="none" w:sz="0" w:space="0" w:color="auto"/>
        <w:right w:val="none" w:sz="0" w:space="0" w:color="auto"/>
      </w:divBdr>
    </w:div>
    <w:div w:id="1385104059">
      <w:bodyDiv w:val="1"/>
      <w:marLeft w:val="0"/>
      <w:marRight w:val="0"/>
      <w:marTop w:val="0"/>
      <w:marBottom w:val="0"/>
      <w:divBdr>
        <w:top w:val="none" w:sz="0" w:space="0" w:color="auto"/>
        <w:left w:val="none" w:sz="0" w:space="0" w:color="auto"/>
        <w:bottom w:val="none" w:sz="0" w:space="0" w:color="auto"/>
        <w:right w:val="none" w:sz="0" w:space="0" w:color="auto"/>
      </w:divBdr>
    </w:div>
    <w:div w:id="1415280901">
      <w:bodyDiv w:val="1"/>
      <w:marLeft w:val="0"/>
      <w:marRight w:val="0"/>
      <w:marTop w:val="0"/>
      <w:marBottom w:val="0"/>
      <w:divBdr>
        <w:top w:val="none" w:sz="0" w:space="0" w:color="auto"/>
        <w:left w:val="none" w:sz="0" w:space="0" w:color="auto"/>
        <w:bottom w:val="none" w:sz="0" w:space="0" w:color="auto"/>
        <w:right w:val="none" w:sz="0" w:space="0" w:color="auto"/>
      </w:divBdr>
    </w:div>
    <w:div w:id="1429227785">
      <w:bodyDiv w:val="1"/>
      <w:marLeft w:val="0"/>
      <w:marRight w:val="0"/>
      <w:marTop w:val="0"/>
      <w:marBottom w:val="0"/>
      <w:divBdr>
        <w:top w:val="none" w:sz="0" w:space="0" w:color="auto"/>
        <w:left w:val="none" w:sz="0" w:space="0" w:color="auto"/>
        <w:bottom w:val="none" w:sz="0" w:space="0" w:color="auto"/>
        <w:right w:val="none" w:sz="0" w:space="0" w:color="auto"/>
      </w:divBdr>
    </w:div>
    <w:div w:id="1502962816">
      <w:bodyDiv w:val="1"/>
      <w:marLeft w:val="0"/>
      <w:marRight w:val="0"/>
      <w:marTop w:val="0"/>
      <w:marBottom w:val="0"/>
      <w:divBdr>
        <w:top w:val="none" w:sz="0" w:space="0" w:color="auto"/>
        <w:left w:val="none" w:sz="0" w:space="0" w:color="auto"/>
        <w:bottom w:val="none" w:sz="0" w:space="0" w:color="auto"/>
        <w:right w:val="none" w:sz="0" w:space="0" w:color="auto"/>
      </w:divBdr>
      <w:divsChild>
        <w:div w:id="1077438123">
          <w:marLeft w:val="0"/>
          <w:marRight w:val="0"/>
          <w:marTop w:val="0"/>
          <w:marBottom w:val="0"/>
          <w:divBdr>
            <w:top w:val="none" w:sz="0" w:space="0" w:color="auto"/>
            <w:left w:val="none" w:sz="0" w:space="0" w:color="auto"/>
            <w:bottom w:val="none" w:sz="0" w:space="0" w:color="auto"/>
            <w:right w:val="none" w:sz="0" w:space="0" w:color="auto"/>
          </w:divBdr>
          <w:divsChild>
            <w:div w:id="6102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8169">
      <w:bodyDiv w:val="1"/>
      <w:marLeft w:val="0"/>
      <w:marRight w:val="0"/>
      <w:marTop w:val="0"/>
      <w:marBottom w:val="0"/>
      <w:divBdr>
        <w:top w:val="none" w:sz="0" w:space="0" w:color="auto"/>
        <w:left w:val="none" w:sz="0" w:space="0" w:color="auto"/>
        <w:bottom w:val="none" w:sz="0" w:space="0" w:color="auto"/>
        <w:right w:val="none" w:sz="0" w:space="0" w:color="auto"/>
      </w:divBdr>
    </w:div>
    <w:div w:id="1580871432">
      <w:bodyDiv w:val="1"/>
      <w:marLeft w:val="0"/>
      <w:marRight w:val="0"/>
      <w:marTop w:val="0"/>
      <w:marBottom w:val="0"/>
      <w:divBdr>
        <w:top w:val="none" w:sz="0" w:space="0" w:color="auto"/>
        <w:left w:val="none" w:sz="0" w:space="0" w:color="auto"/>
        <w:bottom w:val="none" w:sz="0" w:space="0" w:color="auto"/>
        <w:right w:val="none" w:sz="0" w:space="0" w:color="auto"/>
      </w:divBdr>
    </w:div>
    <w:div w:id="1592928112">
      <w:bodyDiv w:val="1"/>
      <w:marLeft w:val="0"/>
      <w:marRight w:val="0"/>
      <w:marTop w:val="0"/>
      <w:marBottom w:val="0"/>
      <w:divBdr>
        <w:top w:val="none" w:sz="0" w:space="0" w:color="auto"/>
        <w:left w:val="none" w:sz="0" w:space="0" w:color="auto"/>
        <w:bottom w:val="none" w:sz="0" w:space="0" w:color="auto"/>
        <w:right w:val="none" w:sz="0" w:space="0" w:color="auto"/>
      </w:divBdr>
      <w:divsChild>
        <w:div w:id="949510980">
          <w:marLeft w:val="0"/>
          <w:marRight w:val="0"/>
          <w:marTop w:val="0"/>
          <w:marBottom w:val="0"/>
          <w:divBdr>
            <w:top w:val="none" w:sz="0" w:space="0" w:color="auto"/>
            <w:left w:val="none" w:sz="0" w:space="0" w:color="auto"/>
            <w:bottom w:val="none" w:sz="0" w:space="0" w:color="auto"/>
            <w:right w:val="none" w:sz="0" w:space="0" w:color="auto"/>
          </w:divBdr>
          <w:divsChild>
            <w:div w:id="15309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5698">
      <w:bodyDiv w:val="1"/>
      <w:marLeft w:val="0"/>
      <w:marRight w:val="0"/>
      <w:marTop w:val="0"/>
      <w:marBottom w:val="0"/>
      <w:divBdr>
        <w:top w:val="none" w:sz="0" w:space="0" w:color="auto"/>
        <w:left w:val="none" w:sz="0" w:space="0" w:color="auto"/>
        <w:bottom w:val="none" w:sz="0" w:space="0" w:color="auto"/>
        <w:right w:val="none" w:sz="0" w:space="0" w:color="auto"/>
      </w:divBdr>
    </w:div>
    <w:div w:id="1609312843">
      <w:bodyDiv w:val="1"/>
      <w:marLeft w:val="0"/>
      <w:marRight w:val="0"/>
      <w:marTop w:val="0"/>
      <w:marBottom w:val="0"/>
      <w:divBdr>
        <w:top w:val="none" w:sz="0" w:space="0" w:color="auto"/>
        <w:left w:val="none" w:sz="0" w:space="0" w:color="auto"/>
        <w:bottom w:val="none" w:sz="0" w:space="0" w:color="auto"/>
        <w:right w:val="none" w:sz="0" w:space="0" w:color="auto"/>
      </w:divBdr>
    </w:div>
    <w:div w:id="1625113331">
      <w:bodyDiv w:val="1"/>
      <w:marLeft w:val="0"/>
      <w:marRight w:val="0"/>
      <w:marTop w:val="0"/>
      <w:marBottom w:val="0"/>
      <w:divBdr>
        <w:top w:val="none" w:sz="0" w:space="0" w:color="auto"/>
        <w:left w:val="none" w:sz="0" w:space="0" w:color="auto"/>
        <w:bottom w:val="none" w:sz="0" w:space="0" w:color="auto"/>
        <w:right w:val="none" w:sz="0" w:space="0" w:color="auto"/>
      </w:divBdr>
    </w:div>
    <w:div w:id="1647127374">
      <w:bodyDiv w:val="1"/>
      <w:marLeft w:val="0"/>
      <w:marRight w:val="0"/>
      <w:marTop w:val="0"/>
      <w:marBottom w:val="0"/>
      <w:divBdr>
        <w:top w:val="none" w:sz="0" w:space="0" w:color="auto"/>
        <w:left w:val="none" w:sz="0" w:space="0" w:color="auto"/>
        <w:bottom w:val="none" w:sz="0" w:space="0" w:color="auto"/>
        <w:right w:val="none" w:sz="0" w:space="0" w:color="auto"/>
      </w:divBdr>
      <w:divsChild>
        <w:div w:id="160730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189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03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3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451367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461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0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20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2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69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162747">
      <w:bodyDiv w:val="1"/>
      <w:marLeft w:val="0"/>
      <w:marRight w:val="0"/>
      <w:marTop w:val="0"/>
      <w:marBottom w:val="0"/>
      <w:divBdr>
        <w:top w:val="none" w:sz="0" w:space="0" w:color="auto"/>
        <w:left w:val="none" w:sz="0" w:space="0" w:color="auto"/>
        <w:bottom w:val="none" w:sz="0" w:space="0" w:color="auto"/>
        <w:right w:val="none" w:sz="0" w:space="0" w:color="auto"/>
      </w:divBdr>
    </w:div>
    <w:div w:id="1732848063">
      <w:bodyDiv w:val="1"/>
      <w:marLeft w:val="0"/>
      <w:marRight w:val="0"/>
      <w:marTop w:val="0"/>
      <w:marBottom w:val="0"/>
      <w:divBdr>
        <w:top w:val="none" w:sz="0" w:space="0" w:color="auto"/>
        <w:left w:val="none" w:sz="0" w:space="0" w:color="auto"/>
        <w:bottom w:val="none" w:sz="0" w:space="0" w:color="auto"/>
        <w:right w:val="none" w:sz="0" w:space="0" w:color="auto"/>
      </w:divBdr>
      <w:divsChild>
        <w:div w:id="13371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02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53323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906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07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722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4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58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268772">
      <w:bodyDiv w:val="1"/>
      <w:marLeft w:val="0"/>
      <w:marRight w:val="0"/>
      <w:marTop w:val="0"/>
      <w:marBottom w:val="0"/>
      <w:divBdr>
        <w:top w:val="none" w:sz="0" w:space="0" w:color="auto"/>
        <w:left w:val="none" w:sz="0" w:space="0" w:color="auto"/>
        <w:bottom w:val="none" w:sz="0" w:space="0" w:color="auto"/>
        <w:right w:val="none" w:sz="0" w:space="0" w:color="auto"/>
      </w:divBdr>
    </w:div>
    <w:div w:id="1771850171">
      <w:bodyDiv w:val="1"/>
      <w:marLeft w:val="0"/>
      <w:marRight w:val="0"/>
      <w:marTop w:val="0"/>
      <w:marBottom w:val="0"/>
      <w:divBdr>
        <w:top w:val="none" w:sz="0" w:space="0" w:color="auto"/>
        <w:left w:val="none" w:sz="0" w:space="0" w:color="auto"/>
        <w:bottom w:val="none" w:sz="0" w:space="0" w:color="auto"/>
        <w:right w:val="none" w:sz="0" w:space="0" w:color="auto"/>
      </w:divBdr>
    </w:div>
    <w:div w:id="1843355083">
      <w:bodyDiv w:val="1"/>
      <w:marLeft w:val="0"/>
      <w:marRight w:val="0"/>
      <w:marTop w:val="0"/>
      <w:marBottom w:val="0"/>
      <w:divBdr>
        <w:top w:val="none" w:sz="0" w:space="0" w:color="auto"/>
        <w:left w:val="none" w:sz="0" w:space="0" w:color="auto"/>
        <w:bottom w:val="none" w:sz="0" w:space="0" w:color="auto"/>
        <w:right w:val="none" w:sz="0" w:space="0" w:color="auto"/>
      </w:divBdr>
    </w:div>
    <w:div w:id="1843739819">
      <w:bodyDiv w:val="1"/>
      <w:marLeft w:val="0"/>
      <w:marRight w:val="0"/>
      <w:marTop w:val="0"/>
      <w:marBottom w:val="0"/>
      <w:divBdr>
        <w:top w:val="none" w:sz="0" w:space="0" w:color="auto"/>
        <w:left w:val="none" w:sz="0" w:space="0" w:color="auto"/>
        <w:bottom w:val="none" w:sz="0" w:space="0" w:color="auto"/>
        <w:right w:val="none" w:sz="0" w:space="0" w:color="auto"/>
      </w:divBdr>
    </w:div>
    <w:div w:id="1869484454">
      <w:bodyDiv w:val="1"/>
      <w:marLeft w:val="0"/>
      <w:marRight w:val="0"/>
      <w:marTop w:val="0"/>
      <w:marBottom w:val="0"/>
      <w:divBdr>
        <w:top w:val="none" w:sz="0" w:space="0" w:color="auto"/>
        <w:left w:val="none" w:sz="0" w:space="0" w:color="auto"/>
        <w:bottom w:val="none" w:sz="0" w:space="0" w:color="auto"/>
        <w:right w:val="none" w:sz="0" w:space="0" w:color="auto"/>
      </w:divBdr>
    </w:div>
    <w:div w:id="1937519845">
      <w:bodyDiv w:val="1"/>
      <w:marLeft w:val="0"/>
      <w:marRight w:val="0"/>
      <w:marTop w:val="0"/>
      <w:marBottom w:val="0"/>
      <w:divBdr>
        <w:top w:val="none" w:sz="0" w:space="0" w:color="auto"/>
        <w:left w:val="none" w:sz="0" w:space="0" w:color="auto"/>
        <w:bottom w:val="none" w:sz="0" w:space="0" w:color="auto"/>
        <w:right w:val="none" w:sz="0" w:space="0" w:color="auto"/>
      </w:divBdr>
    </w:div>
    <w:div w:id="1953053317">
      <w:bodyDiv w:val="1"/>
      <w:marLeft w:val="0"/>
      <w:marRight w:val="0"/>
      <w:marTop w:val="0"/>
      <w:marBottom w:val="0"/>
      <w:divBdr>
        <w:top w:val="none" w:sz="0" w:space="0" w:color="auto"/>
        <w:left w:val="none" w:sz="0" w:space="0" w:color="auto"/>
        <w:bottom w:val="none" w:sz="0" w:space="0" w:color="auto"/>
        <w:right w:val="none" w:sz="0" w:space="0" w:color="auto"/>
      </w:divBdr>
    </w:div>
    <w:div w:id="2073775529">
      <w:bodyDiv w:val="1"/>
      <w:marLeft w:val="0"/>
      <w:marRight w:val="0"/>
      <w:marTop w:val="0"/>
      <w:marBottom w:val="0"/>
      <w:divBdr>
        <w:top w:val="none" w:sz="0" w:space="0" w:color="auto"/>
        <w:left w:val="none" w:sz="0" w:space="0" w:color="auto"/>
        <w:bottom w:val="none" w:sz="0" w:space="0" w:color="auto"/>
        <w:right w:val="none" w:sz="0" w:space="0" w:color="auto"/>
      </w:divBdr>
    </w:div>
    <w:div w:id="2088455574">
      <w:bodyDiv w:val="1"/>
      <w:marLeft w:val="0"/>
      <w:marRight w:val="0"/>
      <w:marTop w:val="0"/>
      <w:marBottom w:val="0"/>
      <w:divBdr>
        <w:top w:val="none" w:sz="0" w:space="0" w:color="auto"/>
        <w:left w:val="none" w:sz="0" w:space="0" w:color="auto"/>
        <w:bottom w:val="none" w:sz="0" w:space="0" w:color="auto"/>
        <w:right w:val="none" w:sz="0" w:space="0" w:color="auto"/>
      </w:divBdr>
    </w:div>
    <w:div w:id="2124566604">
      <w:bodyDiv w:val="1"/>
      <w:marLeft w:val="0"/>
      <w:marRight w:val="0"/>
      <w:marTop w:val="0"/>
      <w:marBottom w:val="0"/>
      <w:divBdr>
        <w:top w:val="none" w:sz="0" w:space="0" w:color="auto"/>
        <w:left w:val="none" w:sz="0" w:space="0" w:color="auto"/>
        <w:bottom w:val="none" w:sz="0" w:space="0" w:color="auto"/>
        <w:right w:val="none" w:sz="0" w:space="0" w:color="auto"/>
      </w:divBdr>
    </w:div>
    <w:div w:id="212553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were@ejooust.ac.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859</TotalTime>
  <Pages>34</Pages>
  <Words>23820</Words>
  <Characters>135780</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HFD 2</dc:creator>
  <cp:lastModifiedBy>Nichodemus Amollo</cp:lastModifiedBy>
  <cp:revision>29</cp:revision>
  <cp:lastPrinted>2026-02-22T17:11:00Z</cp:lastPrinted>
  <dcterms:created xsi:type="dcterms:W3CDTF">2025-11-16T05:53:00Z</dcterms:created>
  <dcterms:modified xsi:type="dcterms:W3CDTF">2026-02-22T17:11:00Z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id="sx2GCMZu"/&gt;&lt;style id="http://www.zotero.org/styles/bmc-public-health" hasBibliography="1" bibliographyStyleHasBeenSet="1"/&gt;&lt;prefs&gt;&lt;pref name="fieldType" value="Field"/&gt;&lt;/prefs&gt;&lt;/data&gt;</vt:lpwstr>
  </property>
</Properties>
</file>