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numPr>
          <w:ilvl w:val="0"/>
          <w:numId w:val="1"/>
        </w:numPr>
        <w:ind w:left="0" w:firstLine="0"/>
      </w:pPr>
      <w:r>
        <w:t>Playlist Player</w:t>
      </w:r>
    </w:p>
    <w:p>
      <w:pPr>
        <w:pStyle w:val="para2"/>
        <w:numPr>
          <w:ilvl w:val="1"/>
          <w:numId w:val="1"/>
        </w:numPr>
        <w:ind w:left="0" w:firstLine="0"/>
      </w:pPr>
      <w:r>
        <w:t>UI</w:t>
      </w:r>
    </w:p>
    <w:p>
      <w:pPr>
        <w:pStyle w:val="para5"/>
      </w:pPr>
      <w:r>
        <w:t>DONE: Pause-and-minimise (anything else; eg, q, tab)</w:t>
      </w:r>
    </w:p>
    <w:p>
      <w:pPr>
        <w:pStyle w:val="para5"/>
      </w:pPr>
      <w:r>
        <w:t>DONE: Loop (l/r)</w:t>
      </w:r>
    </w:p>
    <w:p>
      <w:pPr>
        <w:pStyle w:val="para5"/>
        <w:numPr>
          <w:ilvl w:val="-1"/>
          <w:numId w:val="1"/>
        </w:numPr>
        <w:ind w:left="0"/>
      </w:pPr>
      <w:r>
        <w:t>DONE: Mute (:no-audio, if can’t set LibVLC volume to 0) (m/v/s/a)</w:t>
      </w:r>
    </w:p>
    <w:p>
      <w:pPr>
        <w:pStyle w:val="para5"/>
        <w:numPr>
          <w:ilvl w:val="-1"/>
          <w:numId w:val="1"/>
        </w:numPr>
        <w:ind w:left="0"/>
      </w:pPr>
      <w:r>
        <w:t>DONE: Fullscreen/windowed. (Ctrl-Enter)</w:t>
      </w:r>
    </w:p>
    <w:p>
      <w:pPr>
        <w:pStyle w:val="para5"/>
        <w:numPr>
          <w:ilvl w:val="-1"/>
          <w:numId w:val="1"/>
        </w:numPr>
        <w:ind w:left="0"/>
      </w:pPr>
      <w:r>
        <w:t>DONE: Pause/resume. (space, enter)</w:t>
      </w:r>
    </w:p>
    <w:p>
      <w:pPr>
        <w:pStyle w:val="para5"/>
        <w:numPr>
          <w:ilvl w:val="-1"/>
          <w:numId w:val="1"/>
        </w:numPr>
        <w:ind w:left="0"/>
      </w:pPr>
      <w:r>
        <w:t>DONE: Close (esc, Alt-F4)</w:t>
      </w:r>
    </w:p>
    <w:p>
      <w:pPr>
        <w:pStyle w:val="para5"/>
        <w:numPr>
          <w:ilvl w:val="-1"/>
          <w:numId w:val="1"/>
        </w:numPr>
        <w:ind w:left="0"/>
      </w:pPr>
      <w:r>
        <w:t>Drag to move.</w:t>
      </w:r>
    </w:p>
    <w:p>
      <w:pPr>
        <w:pStyle w:val="para2"/>
        <w:numPr>
          <w:ilvl w:val="1"/>
          <w:numId w:val="1"/>
        </w:numPr>
        <w:ind w:left="0" w:firstLine="0"/>
      </w:pPr>
      <w:r>
        <w:t>.m3u File Format</w:t>
      </w:r>
    </w:p>
    <w:p>
      <w:pPr>
        <w:pStyle w:val="para5"/>
      </w:pPr>
      <w:r>
        <w:t>As per standard .m3u, with these extensions:</w:t>
      </w:r>
    </w:p>
    <w:p>
      <w:pPr>
        <w:pStyle w:val="para6"/>
        <w:numPr>
          <w:ilvl w:val="0"/>
          <w:numId w:val="2"/>
        </w:numPr>
        <w:ind w:left="567" w:hanging="283"/>
      </w:pPr>
      <w:r>
        <w:t>Filename line (ie, line without #) can be an embedded .m3u file.</w:t>
      </w:r>
    </w:p>
    <w:p>
      <w:pPr>
        <w:pStyle w:val="para6"/>
        <w:numPr>
          <w:ilvl w:val="0"/>
          <w:numId w:val="2"/>
        </w:numPr>
        <w:ind w:left="567" w:hanging="283"/>
      </w:pPr>
      <w:r>
        <w:t>#EXTVLCOPT:rate=0.5</w:t>
        <w:tab/>
        <w:tab/>
        <w:tab/>
        <w:t>// doesn’t work with VLC in .m3u</w:t>
      </w:r>
    </w:p>
    <w:p>
      <w:pPr>
        <w:pStyle w:val="para6"/>
        <w:numPr>
          <w:ilvl w:val="0"/>
          <w:numId w:val="2"/>
        </w:numPr>
        <w:ind w:left="567" w:hanging="283"/>
      </w:pPr>
      <w:r>
        <w:t>#EXTVLCOPT:input-repeat=5</w:t>
        <w:tab/>
        <w:tab/>
        <w:t>// works with VLC in .m3u</w:t>
      </w:r>
    </w:p>
    <w:p>
      <w:pPr>
        <w:pStyle w:val="para6"/>
        <w:numPr>
          <w:ilvl w:val="0"/>
          <w:numId w:val="2"/>
        </w:numPr>
        <w:ind w:left="567" w:hanging="283"/>
      </w:pPr>
      <w:r>
        <w:t>#EXTVLCOPT:start-time=11</w:t>
        <w:tab/>
        <w:t>// works in normal .m3u</w:t>
      </w:r>
    </w:p>
    <w:p>
      <w:pPr>
        <w:pStyle w:val="para6"/>
        <w:numPr>
          <w:ilvl w:val="0"/>
          <w:numId w:val="2"/>
        </w:numPr>
        <w:ind w:left="567" w:hanging="283"/>
      </w:pPr>
      <w:r>
        <w:t>#EXTVLCOPT:stop-time=11</w:t>
        <w:tab/>
        <w:t>// works in normal .m3u</w:t>
      </w:r>
    </w:p>
    <w:p>
      <w:pPr>
        <w:pStyle w:val="para6"/>
        <w:numPr>
          <w:ilvl w:val="0"/>
          <w:numId w:val="2"/>
        </w:numPr>
        <w:ind w:left="567" w:hanging="283"/>
      </w:pPr>
      <w:r>
        <w:t>#EXTVLCOPT:input-fast-seek</w:t>
        <w:tab/>
        <w:t>// at whole-of-playlist level, or individual segment</w:t>
      </w:r>
    </w:p>
    <w:p>
      <w:pPr>
        <w:pStyle w:val="para6"/>
        <w:numPr>
          <w:ilvl w:val="0"/>
          <w:numId w:val="2"/>
        </w:numPr>
        <w:ind w:left="567" w:hanging="283"/>
      </w:pPr>
      <w:r>
        <w:t>#EXTVLCOPT:loop</w:t>
        <w:tab/>
        <w:tab/>
        <w:t>// repeat whole playlist indefinitely (top-level only); doesn’t work with VLC in .m3u</w:t>
      </w:r>
    </w:p>
    <w:p>
      <w:pPr>
        <w:pStyle w:val="para6"/>
        <w:numPr>
          <w:ilvl w:val="0"/>
          <w:numId w:val="2"/>
        </w:numPr>
        <w:ind w:left="567" w:hanging="283"/>
      </w:pPr>
      <w:r>
        <w:t>#EXTVLCOPT:fullscreen</w:t>
        <w:tab/>
        <w:tab/>
        <w:t>// leave this to the UI or VLC default</w:t>
      </w:r>
    </w:p>
    <w:tbl>
      <w:tblPr>
        <w:tblStyle w:val="TableGrid"/>
        <w:name w:val="Table1"/>
        <w:tabOrder w:val="0"/>
        <w:jc w:val="left"/>
        <w:tblInd w:w="0" w:type="dxa"/>
        <w:tblW w:w="6330" w:type="dxa"/>
        <w:tblLook w:val="04A0" w:firstRow="1" w:lastRow="0" w:firstColumn="1" w:lastColumn="0" w:noHBand="0" w:noVBand="1"/>
      </w:tblPr>
      <w:tblGrid>
        <w:gridCol w:w="1725"/>
        <w:gridCol w:w="1605"/>
        <w:gridCol w:w="1500"/>
        <w:gridCol w:w="1500"/>
      </w:tblGrid>
      <w:tr>
        <w:trPr>
          <w:tblHeader w:val="0"/>
          <w:cantSplit w:val="0"/>
          <w:trHeight w:val="0" w:hRule="auto"/>
        </w:trPr>
        <w:tc>
          <w:tcPr>
            <w:tcW w:w="1725" w:type="dxa"/>
            <w:tmTcPr id="1587453498" protected="0"/>
          </w:tcPr>
          <w:p>
            <w:pPr/>
            <w:r>
              <w:t>#EXTVLCOPT</w:t>
            </w:r>
          </w:p>
        </w:tc>
        <w:tc>
          <w:tcPr>
            <w:tcW w:w="1605" w:type="dxa"/>
            <w:tmTcPr id="1587453498" protected="0"/>
          </w:tcPr>
          <w:p>
            <w:pPr/>
            <w:r>
              <w:t>command line</w:t>
            </w:r>
          </w:p>
        </w:tc>
        <w:tc>
          <w:tcPr>
            <w:tcW w:w="1500" w:type="dxa"/>
            <w:tmTcPr id="1587453498" protected="0"/>
          </w:tcPr>
          <w:p>
            <w:pPr/>
            <w:r>
              <w:t>.m3u</w:t>
            </w:r>
          </w:p>
        </w:tc>
        <w:tc>
          <w:tcPr>
            <w:tcW w:w="1500" w:type="dxa"/>
            <w:tmTcPr id="1587453498" protected="0"/>
          </w:tcPr>
          <w:p>
            <w:pPr/>
            <w:r>
              <w:t>addOption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25" w:type="dxa"/>
            <w:tmTcPr id="1587453498" protected="0"/>
          </w:tcPr>
          <w:p>
            <w:pPr/>
            <w:r>
              <w:t>rate</w:t>
            </w:r>
          </w:p>
        </w:tc>
        <w:tc>
          <w:tcPr>
            <w:tcW w:w="1605" w:type="dxa"/>
            <w:tmTcPr id="1587453498" protected="0"/>
          </w:tcPr>
          <w:p>
            <w:pPr/>
            <w:r>
              <w:t>works</w:t>
            </w:r>
          </w:p>
        </w:tc>
        <w:tc>
          <w:tcPr>
            <w:tcW w:w="1500" w:type="dxa"/>
            <w:tmTcPr id="1587453498" protected="0"/>
          </w:tcPr>
          <w:p>
            <w:pPr/>
            <w:r>
              <w:t>doesn’t work</w:t>
            </w:r>
          </w:p>
        </w:tc>
        <w:tc>
          <w:tcPr>
            <w:tcW w:w="1500" w:type="dxa"/>
            <w:tmTcPr id="1587453498" protected="0"/>
          </w:tcPr>
          <w:p>
            <w:pPr/>
            <w:r>
              <w:t>works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25" w:type="dxa"/>
            <w:tmTcPr id="1587453498" protected="0"/>
          </w:tcPr>
          <w:p>
            <w:pPr/>
            <w:r>
              <w:t>input-repeat</w:t>
            </w:r>
          </w:p>
        </w:tc>
        <w:tc>
          <w:tcPr>
            <w:tcW w:w="1605" w:type="dxa"/>
            <w:tmTcPr id="1587453498" protected="0"/>
          </w:tcPr>
          <w:p>
            <w:pPr/>
            <w:r>
              <w:t>works</w:t>
            </w:r>
          </w:p>
        </w:tc>
        <w:tc>
          <w:tcPr>
            <w:tcW w:w="1500" w:type="dxa"/>
            <w:tmTcPr id="1587453498" protected="0"/>
          </w:tcPr>
          <w:p>
            <w:pPr/>
            <w:r>
              <w:t>works</w:t>
            </w:r>
          </w:p>
        </w:tc>
        <w:tc>
          <w:tcPr>
            <w:tcW w:w="1500" w:type="dxa"/>
            <w:tmTcPr id="1587453498" protected="0"/>
          </w:tcPr>
          <w:p>
            <w:pPr/>
            <w:r>
              <w:t>works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25" w:type="dxa"/>
            <w:tmTcPr id="1587453498" protected="0"/>
          </w:tcPr>
          <w:p>
            <w:pPr/>
            <w:r>
              <w:t>loop</w:t>
            </w:r>
          </w:p>
        </w:tc>
        <w:tc>
          <w:tcPr>
            <w:tcW w:w="1605" w:type="dxa"/>
            <w:tmTcPr id="1587453498" protected="0"/>
          </w:tcPr>
          <w:p>
            <w:pPr/>
            <w:r>
              <w:t>works</w:t>
            </w:r>
          </w:p>
        </w:tc>
        <w:tc>
          <w:tcPr>
            <w:tcW w:w="1500" w:type="dxa"/>
            <w:tmTcPr id="1587453498" protected="0"/>
          </w:tcPr>
          <w:p>
            <w:pPr/>
            <w:r>
              <w:t>doesn’t work</w:t>
            </w:r>
          </w:p>
        </w:tc>
        <w:tc>
          <w:tcPr>
            <w:tcW w:w="1500" w:type="dxa"/>
            <w:tmTcPr id="1587453498" protected="0"/>
          </w:tcPr>
          <w:p>
            <w:pPr/>
            <w:r>
              <w:t>N/A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25" w:type="dxa"/>
            <w:tmTcPr id="1587453498" protected="0"/>
          </w:tcPr>
          <w:p>
            <w:pPr/>
            <w:r>
              <w:t>start-time</w:t>
            </w:r>
          </w:p>
        </w:tc>
        <w:tc>
          <w:tcPr>
            <w:tcW w:w="1605" w:type="dxa"/>
            <w:tmTcPr id="1587453498" protected="0"/>
          </w:tcPr>
          <w:p>
            <w:pPr/>
            <w:r>
              <w:t>works</w:t>
            </w:r>
          </w:p>
        </w:tc>
        <w:tc>
          <w:tcPr>
            <w:tcW w:w="1500" w:type="dxa"/>
            <w:tmTcPr id="1587453498" protected="0"/>
          </w:tcPr>
          <w:p>
            <w:pPr/>
            <w:r>
              <w:t>works</w:t>
            </w:r>
          </w:p>
        </w:tc>
        <w:tc>
          <w:tcPr>
            <w:tcW w:w="1500" w:type="dxa"/>
            <w:tmTcPr id="1587453498" protected="0"/>
          </w:tcPr>
          <w:p>
            <w:pPr/>
            <w:r>
              <w:t>works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25" w:type="dxa"/>
            <w:tmTcPr id="1587453498" protected="0"/>
          </w:tcPr>
          <w:p>
            <w:pPr/>
            <w:r>
              <w:t>stop-time</w:t>
            </w:r>
          </w:p>
        </w:tc>
        <w:tc>
          <w:tcPr>
            <w:tcW w:w="1605" w:type="dxa"/>
            <w:tmTcPr id="1587453498" protected="0"/>
          </w:tcPr>
          <w:p>
            <w:pPr/>
            <w:r>
              <w:t>works</w:t>
            </w:r>
          </w:p>
        </w:tc>
        <w:tc>
          <w:tcPr>
            <w:tcW w:w="1500" w:type="dxa"/>
            <w:tmTcPr id="1587453498" protected="0"/>
          </w:tcPr>
          <w:p>
            <w:pPr/>
            <w:r>
              <w:t>works</w:t>
            </w:r>
          </w:p>
        </w:tc>
        <w:tc>
          <w:tcPr>
            <w:tcW w:w="1500" w:type="dxa"/>
            <w:tmTcPr id="1587453498" protected="0"/>
          </w:tcPr>
          <w:p>
            <w:pPr/>
            <w:r>
              <w:t>works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25" w:type="dxa"/>
            <w:tmTcPr id="1587453498" protected="0"/>
          </w:tcPr>
          <w:p>
            <w:pPr/>
            <w:r>
              <w:t>fullscreen</w:t>
            </w:r>
          </w:p>
        </w:tc>
        <w:tc>
          <w:tcPr>
            <w:tcW w:w="1605" w:type="dxa"/>
            <w:tmTcPr id="1587453498" protected="0"/>
          </w:tcPr>
          <w:p>
            <w:pPr/>
            <w:r>
              <w:t>works</w:t>
            </w:r>
          </w:p>
        </w:tc>
        <w:tc>
          <w:tcPr>
            <w:tcW w:w="1500" w:type="dxa"/>
            <w:tmTcPr id="1587453498" protected="0"/>
          </w:tcPr>
          <w:p>
            <w:pPr/>
            <w:r>
              <w:t>doesn’t work</w:t>
            </w:r>
          </w:p>
        </w:tc>
        <w:tc>
          <w:tcPr>
            <w:tcW w:w="1500" w:type="dxa"/>
            <w:tmTcPr id="1587453498" protected="0"/>
          </w:tcPr>
          <w:p>
            <w:pPr/>
            <w:r>
              <w:t>doesn’t work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725" w:type="dxa"/>
            <w:tmTcPr id="1587453498" protected="0"/>
          </w:tcPr>
          <w:p>
            <w:pPr/>
            <w:r>
              <w:t>--no-fullscreen</w:t>
            </w:r>
          </w:p>
        </w:tc>
        <w:tc>
          <w:tcPr>
            <w:tcW w:w="1605" w:type="dxa"/>
            <w:tmTcPr id="1587453498" protected="0"/>
          </w:tcPr>
          <w:p>
            <w:pPr/>
            <w:r>
              <w:t>works</w:t>
            </w:r>
          </w:p>
        </w:tc>
        <w:tc>
          <w:tcPr>
            <w:tcW w:w="1500" w:type="dxa"/>
            <w:tmTcPr id="1587453498" protected="0"/>
          </w:tcPr>
          <w:p>
            <w:pPr/>
            <w:r>
              <w:t>doesn’t work</w:t>
            </w:r>
          </w:p>
        </w:tc>
        <w:tc>
          <w:tcPr>
            <w:tcW w:w="1500" w:type="dxa"/>
            <w:tmTcPr id="1587453498" protected="0"/>
          </w:tcPr>
          <w:p>
            <w:pPr/>
            <w:r>
              <w:t>doesn’t work</w:t>
            </w:r>
          </w:p>
        </w:tc>
      </w:tr>
    </w:tbl>
    <w:p>
      <w:pPr>
        <w:pStyle w:val="para5"/>
      </w:pPr>
      <w:r/>
    </w:p>
    <w:p>
      <w:pPr>
        <w:pStyle w:val="para5"/>
      </w:pPr>
      <w:r>
        <w:t>How to differentiate between whole-of-playlist options vs. individual file options? #EXTPLPOPT:</w:t>
      </w:r>
    </w:p>
    <w:p>
      <w:pPr>
        <w:pStyle w:val="para6"/>
        <w:numPr>
          <w:ilvl w:val="0"/>
          <w:numId w:val="2"/>
        </w:numPr>
        <w:ind w:left="567" w:hanging="283"/>
      </w:pPr>
      <w:r>
        <w:t>#EXTPLPOPT:rate=0.5</w:t>
        <w:tab/>
        <w:tab/>
        <w:t>// apply this rate to all segments by default</w:t>
      </w:r>
    </w:p>
    <w:p>
      <w:pPr>
        <w:pStyle w:val="para6"/>
        <w:numPr>
          <w:ilvl w:val="0"/>
          <w:numId w:val="2"/>
        </w:numPr>
        <w:ind w:left="567" w:hanging="283"/>
      </w:pPr>
      <w:r>
        <w:t>#EXTPLPOPT:input-fast-seek</w:t>
        <w:tab/>
        <w:t>// apply input-fast-seek to all segments by default</w:t>
      </w:r>
    </w:p>
    <w:p>
      <w:pPr>
        <w:pStyle w:val="para6"/>
        <w:numPr>
          <w:ilvl w:val="0"/>
          <w:numId w:val="0"/>
        </w:numPr>
        <w:ind w:left="0" w:firstLine="0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egoe UI">
    <w:panose1 w:val="020B0502040204020203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Outline"/>
    <w:lvl w:ilvl="0">
      <w:start w:val="1"/>
      <w:numFmt w:val="none"/>
      <w:pStyle w:val="para1"/>
      <w:suff w:val="tab"/>
      <w:lvlText w:val="%1"/>
      <w:lvlJc w:val="left"/>
      <w:pPr>
        <w:ind w:left="0" w:hanging="0"/>
      </w:pPr>
    </w:lvl>
    <w:lvl w:ilvl="1">
      <w:start w:val="1"/>
      <w:numFmt w:val="none"/>
      <w:pStyle w:val="para2"/>
      <w:suff w:val="tab"/>
      <w:lvlText w:val="%2"/>
      <w:lvlJc w:val="left"/>
      <w:pPr>
        <w:ind w:left="0" w:hanging="0"/>
      </w:pPr>
    </w:lvl>
    <w:lvl w:ilvl="2">
      <w:start w:val="1"/>
      <w:numFmt w:val="none"/>
      <w:pStyle w:val="para3"/>
      <w:suff w:val="tab"/>
      <w:lvlText w:val="%3"/>
      <w:lvlJc w:val="left"/>
      <w:pPr>
        <w:ind w:left="0" w:hanging="0"/>
      </w:pPr>
    </w:lvl>
    <w:lvl w:ilvl="3">
      <w:start w:val="1"/>
      <w:numFmt w:val="none"/>
      <w:pStyle w:val="para4"/>
      <w:suff w:val="tab"/>
      <w:lvlText w:val="%4"/>
      <w:lvlJc w:val="left"/>
      <w:pPr>
        <w:ind w:left="0" w:hanging="0"/>
      </w:pPr>
    </w:lvl>
    <w:lvl w:ilvl="4">
      <w:start w:val="1"/>
      <w:numFmt w:val="none"/>
      <w:suff w:val="tab"/>
      <w:lvlText w:val="%5"/>
      <w:lvlJc w:val="left"/>
      <w:pPr>
        <w:ind w:left="0" w:hanging="0"/>
      </w:pPr>
    </w:lvl>
    <w:lvl w:ilvl="5">
      <w:start w:val="1"/>
      <w:numFmt w:val="none"/>
      <w:suff w:val="tab"/>
      <w:lvlText w:val="%6"/>
      <w:lvlJc w:val="left"/>
      <w:pPr>
        <w:ind w:left="0" w:hanging="0"/>
      </w:pPr>
    </w:lvl>
    <w:lvl w:ilvl="6">
      <w:start w:val="1"/>
      <w:numFmt w:val="none"/>
      <w:suff w:val="tab"/>
      <w:lvlText w:val="%7"/>
      <w:lvlJc w:val="left"/>
      <w:pPr>
        <w:ind w:left="0" w:hanging="0"/>
      </w:pPr>
    </w:lvl>
    <w:lvl w:ilvl="7">
      <w:start w:val="1"/>
      <w:numFmt w:val="none"/>
      <w:suff w:val="tab"/>
      <w:lvlText w:val="%8"/>
      <w:lvlJc w:val="left"/>
      <w:pPr>
        <w:ind w:left="0" w:hanging="0"/>
      </w:pPr>
    </w:lvl>
    <w:lvl w:ilvl="8">
      <w:start w:val="1"/>
      <w:numFmt w:val="none"/>
      <w:suff w:val="tab"/>
      <w:lvlText w:val="%9"/>
      <w:lvlJc w:val="left"/>
      <w:pPr>
        <w:ind w:left="0" w:hanging="0"/>
      </w:pPr>
    </w:lvl>
  </w:abstractNum>
  <w:abstractNum w:abstractNumId="2">
    <w:multiLevelType w:val="singleLevel"/>
    <w:name w:val="Bullet 2"/>
    <w:lvl w:ilvl="0">
      <w:numFmt w:val="bullet"/>
      <w:pStyle w:val="para6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"/>
      <w:tmLastPosIdx w:val="16"/>
    </w:tmLastPosCaret>
    <w:tmLastPosAnchor>
      <w:tmLastPosPgfIdx w:val="0"/>
      <w:tmLastPosIdx w:val="0"/>
    </w:tmLastPosAnchor>
    <w:tmLastPosTblRect w:left="0" w:top="0" w:right="0" w:bottom="0"/>
  </w:tmLastPos>
  <w:tmAppRevision w:date="1587453498" w:val="1007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numPr>
        <w:ilvl w:val="0"/>
        <w:numId w:val="1"/>
      </w:numPr>
      <w:ind w:left="0" w:firstLine="0"/>
      <w:spacing w:after="120"/>
      <w:jc w:val="center"/>
      <w:keepNext/>
      <w:outlineLvl w:val="0"/>
      <w:tabs defTabSz="567"/>
    </w:pPr>
    <w:rPr>
      <w:rFonts w:ascii="Segoe UI" w:hAnsi="Segoe UI" w:cs="Segoe UI"/>
      <w:b/>
      <w:caps/>
      <w:color w:val="3366ff"/>
      <w:sz w:val="32"/>
      <w:szCs w:val="24"/>
      <w:lang w:val="en-au" w:bidi="hi-in"/>
    </w:rPr>
    <w:key w:val="1073"/>
  </w:style>
  <w:style w:type="paragraph" w:styleId="para2">
    <w:name w:val="heading 2"/>
    <w:qFormat/>
    <w:basedOn w:val="para1"/>
    <w:next w:val="para0"/>
    <w:pPr>
      <w:numPr>
        <w:ilvl w:val="1"/>
        <w:numId w:val="1"/>
      </w:numPr>
      <w:ind w:left="0" w:firstLine="0"/>
      <w:outlineLvl w:val="1"/>
    </w:pPr>
    <w:rPr>
      <w:sz w:val="28"/>
    </w:rPr>
    <w:key w:val="1074"/>
  </w:style>
  <w:style w:type="paragraph" w:styleId="para3">
    <w:name w:val="heading 3"/>
    <w:qFormat/>
    <w:basedOn w:val="para2"/>
    <w:next w:val="para0"/>
    <w:pPr>
      <w:numPr>
        <w:ilvl w:val="2"/>
        <w:numId w:val="1"/>
      </w:numPr>
      <w:ind w:left="0" w:firstLine="0"/>
      <w:outlineLvl w:val="2"/>
    </w:pPr>
    <w:rPr>
      <w:color w:val="auto"/>
      <w:sz w:val="24"/>
    </w:rPr>
    <w:key w:val="1075"/>
  </w:style>
  <w:style w:type="paragraph" w:styleId="para4">
    <w:name w:val="heading 4"/>
    <w:qFormat/>
    <w:basedOn w:val="para0"/>
    <w:next w:val="para0"/>
    <w:pPr>
      <w:numPr>
        <w:ilvl w:val="3"/>
        <w:numId w:val="1"/>
      </w:numPr>
      <w:ind w:left="0" w:firstLine="0"/>
      <w:spacing w:after="120"/>
      <w:keepNext/>
      <w:outlineLvl w:val="3"/>
      <w:tabs defTabSz="567"/>
    </w:pPr>
    <w:rPr>
      <w:rFonts w:ascii="Segoe UI" w:hAnsi="Segoe UI" w:cs="Segoe UI"/>
      <w:b/>
      <w:sz w:val="24"/>
      <w:szCs w:val="24"/>
      <w:lang w:val="en-au" w:bidi="hi-in"/>
    </w:rPr>
  </w:style>
  <w:style w:type="paragraph" w:styleId="para5" w:customStyle="1">
    <w:name w:val="Para"/>
    <w:qFormat/>
    <w:basedOn w:val="para0"/>
    <w:pPr>
      <w:spacing w:after="120"/>
      <w:jc w:val="both"/>
      <w:tabs defTabSz="567"/>
    </w:pPr>
    <w:rPr>
      <w:rFonts w:ascii="Segoe UI" w:hAnsi="Segoe UI" w:cs="Segoe UI"/>
      <w:sz w:val="24"/>
      <w:szCs w:val="24"/>
      <w:lang w:val="en-au" w:bidi="hi-in"/>
    </w:rPr>
    <w:key w:val="1077"/>
  </w:style>
  <w:style w:type="paragraph" w:styleId="para6" w:customStyle="1">
    <w:name w:val="SubPara"/>
    <w:qFormat/>
    <w:basedOn w:val="para5"/>
    <w:pPr>
      <w:numPr>
        <w:ilvl w:val="0"/>
        <w:numId w:val="2"/>
      </w:numPr>
      <w:ind w:left="567" w:hanging="283"/>
    </w:pPr>
    <w:key w:val="1078"/>
  </w:style>
  <w:style w:type="paragraph" w:styleId="para7" w:customStyle="1">
    <w:name w:val="SubSubPara"/>
    <w:qFormat/>
    <w:basedOn w:val="para6"/>
    <w:pPr>
      <w:ind w:left="566"/>
    </w:pPr>
    <w:key w:val="1079"/>
  </w:style>
  <w:style w:type="paragraph" w:styleId="para8" w:customStyle="1">
    <w:name w:val="SubSubSubPara"/>
    <w:qFormat/>
    <w:basedOn w:val="para7"/>
    <w:pPr>
      <w:ind w:left="849"/>
    </w:pPr>
    <w:key w:val="1080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numPr>
        <w:ilvl w:val="0"/>
        <w:numId w:val="1"/>
      </w:numPr>
      <w:ind w:left="0" w:firstLine="0"/>
      <w:spacing w:after="120"/>
      <w:jc w:val="center"/>
      <w:keepNext/>
      <w:outlineLvl w:val="0"/>
      <w:tabs defTabSz="567"/>
    </w:pPr>
    <w:rPr>
      <w:rFonts w:ascii="Segoe UI" w:hAnsi="Segoe UI" w:cs="Segoe UI"/>
      <w:b/>
      <w:caps/>
      <w:color w:val="3366ff"/>
      <w:sz w:val="32"/>
      <w:szCs w:val="24"/>
      <w:lang w:val="en-au" w:bidi="hi-in"/>
    </w:rPr>
    <w:key w:val="1073"/>
  </w:style>
  <w:style w:type="paragraph" w:styleId="para2">
    <w:name w:val="heading 2"/>
    <w:qFormat/>
    <w:basedOn w:val="para1"/>
    <w:next w:val="para0"/>
    <w:pPr>
      <w:numPr>
        <w:ilvl w:val="1"/>
        <w:numId w:val="1"/>
      </w:numPr>
      <w:ind w:left="0" w:firstLine="0"/>
      <w:outlineLvl w:val="1"/>
    </w:pPr>
    <w:rPr>
      <w:sz w:val="28"/>
    </w:rPr>
    <w:key w:val="1074"/>
  </w:style>
  <w:style w:type="paragraph" w:styleId="para3">
    <w:name w:val="heading 3"/>
    <w:qFormat/>
    <w:basedOn w:val="para2"/>
    <w:next w:val="para0"/>
    <w:pPr>
      <w:numPr>
        <w:ilvl w:val="2"/>
        <w:numId w:val="1"/>
      </w:numPr>
      <w:ind w:left="0" w:firstLine="0"/>
      <w:outlineLvl w:val="2"/>
    </w:pPr>
    <w:rPr>
      <w:color w:val="auto"/>
      <w:sz w:val="24"/>
    </w:rPr>
    <w:key w:val="1075"/>
  </w:style>
  <w:style w:type="paragraph" w:styleId="para4">
    <w:name w:val="heading 4"/>
    <w:qFormat/>
    <w:basedOn w:val="para0"/>
    <w:next w:val="para0"/>
    <w:pPr>
      <w:numPr>
        <w:ilvl w:val="3"/>
        <w:numId w:val="1"/>
      </w:numPr>
      <w:ind w:left="0" w:firstLine="0"/>
      <w:spacing w:after="120"/>
      <w:keepNext/>
      <w:outlineLvl w:val="3"/>
      <w:tabs defTabSz="567"/>
    </w:pPr>
    <w:rPr>
      <w:rFonts w:ascii="Segoe UI" w:hAnsi="Segoe UI" w:cs="Segoe UI"/>
      <w:b/>
      <w:sz w:val="24"/>
      <w:szCs w:val="24"/>
      <w:lang w:val="en-au" w:bidi="hi-in"/>
    </w:rPr>
  </w:style>
  <w:style w:type="paragraph" w:styleId="para5" w:customStyle="1">
    <w:name w:val="Para"/>
    <w:qFormat/>
    <w:basedOn w:val="para0"/>
    <w:pPr>
      <w:spacing w:after="120"/>
      <w:jc w:val="both"/>
      <w:tabs defTabSz="567"/>
    </w:pPr>
    <w:rPr>
      <w:rFonts w:ascii="Segoe UI" w:hAnsi="Segoe UI" w:cs="Segoe UI"/>
      <w:sz w:val="24"/>
      <w:szCs w:val="24"/>
      <w:lang w:val="en-au" w:bidi="hi-in"/>
    </w:rPr>
    <w:key w:val="1077"/>
  </w:style>
  <w:style w:type="paragraph" w:styleId="para6" w:customStyle="1">
    <w:name w:val="SubPara"/>
    <w:qFormat/>
    <w:basedOn w:val="para5"/>
    <w:pPr>
      <w:numPr>
        <w:ilvl w:val="0"/>
        <w:numId w:val="2"/>
      </w:numPr>
      <w:ind w:left="567" w:hanging="283"/>
    </w:pPr>
    <w:key w:val="1078"/>
  </w:style>
  <w:style w:type="paragraph" w:styleId="para7" w:customStyle="1">
    <w:name w:val="SubSubPara"/>
    <w:qFormat/>
    <w:basedOn w:val="para6"/>
    <w:pPr>
      <w:ind w:left="566"/>
    </w:pPr>
    <w:key w:val="1079"/>
  </w:style>
  <w:style w:type="paragraph" w:styleId="para8" w:customStyle="1">
    <w:name w:val="SubSubSubPara"/>
    <w:qFormat/>
    <w:basedOn w:val="para7"/>
    <w:pPr>
      <w:ind w:left="849"/>
    </w:pPr>
    <w:key w:val="1080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egoe UI"/>
        <a:ea typeface="SimSun"/>
        <a:cs typeface="Segoe UI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rev.1007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Peter McLennan</cp:lastModifiedBy>
  <cp:revision>12</cp:revision>
  <dcterms:created xsi:type="dcterms:W3CDTF">2020-04-09T07:17:00Z</dcterms:created>
  <dcterms:modified xsi:type="dcterms:W3CDTF">2020-04-21T07:18:18Z</dcterms:modified>
</cp:coreProperties>
</file>