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Lembar Kegiatan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 TKJ NirKabel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Site survey sebagai dasar  penentuan pemilihan kanal untuk Hotspot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0800" cy="381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93263" y="3780000"/>
                          <a:ext cx="57054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4579B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0800" cy="381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Tujuan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Peserta dapat mengidentifikasi tahap-tahap dari site survey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Peserta dapat mengidentifikasi kebutuhan peralatan pada proses site survey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Peserta mampu mengoperasikan software untuk site survey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Peserta dapat menentukan kanal-kanal yang bisa digunakan untuk hotspot.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IndikatorPencapaianKompetensi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Mengidentifikasi tahap-tahap dari site survey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Mengidentifikasi kebutuhan peralatan pada proses site survey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Mampu mengoperasikan software untuk site survey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Menentukan kanal-kanal yang bisa digunakan untuk hotspot.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AlatdanBahan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Laptop yang support Wifi</w:t>
        <w:tab/>
        <w:tab/>
        <w:t xml:space="preserve">1 unit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Net Surveyor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Petunjuk / Langkahkerja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Perhatikan keselamatan kerja, baik untuk praktikan maupun alatnya.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 software Net surveyor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Klik dua kali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466850" cy="190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firstLine="0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Pilih : Yes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≫ Next ≫ I accept the agreement≫Next≫ Apabila ada pertanyaan pemilihan lokasi install pilih Yes ≫ Next≫ Intall ≫ Klik Yes, restart the computer laser≫ Finish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firstLine="0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Tampilan awal pada proses instalasi  aplikasi Netsurveyor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Pertanyaan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Tiap berapa menitkah Net surveyor secara default akan rescan 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Kanal berapa sajakah yang kosong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Kanal berapakah yang digunakan secara bersamaan 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Apakah ada penggunaan kanal yang berpindah-pindah 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Mengacu  pada hasil site survey, di kanal berapakah yang sebaiknya dipilih untuk Hotspot ? Berialasan !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Kesimpulan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Site survey sebagaidasarpenentuanpemilihankanaluntuk Hotspot</w:t>
    </w:r>
    <w:r w:rsidDel="00000000" w:rsidR="00000000" w:rsidRPr="00000000">
      <w:rPr>
        <w:i w:val="1"/>
        <w:rtl w:val="0"/>
      </w:rPr>
      <w:t xml:space="preserve">AnikTKJ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-12699</wp:posOffset>
              </wp:positionV>
              <wp:extent cx="38100" cy="381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78975" y="3780000"/>
                        <a:ext cx="573405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38100">
                        <a:solidFill>
                          <a:srgbClr val="000000"/>
                        </a:solidFill>
                        <a:prstDash val="solid"/>
                        <a:round/>
                        <a:headEnd len="lg" w="lg" type="diamond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-12699</wp:posOffset>
              </wp:positionV>
              <wp:extent cx="38100" cy="381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30j0zll" w:id="1"/>
    <w:bookmarkEnd w:id="1"/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245110</wp:posOffset>
          </wp:positionH>
          <wp:positionV relativeFrom="paragraph">
            <wp:posOffset>20320</wp:posOffset>
          </wp:positionV>
          <wp:extent cx="5732145" cy="191135"/>
          <wp:effectExtent b="0" l="0" r="0" t="0"/>
          <wp:wrapSquare wrapText="bothSides" distB="0" distT="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2145" cy="19113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86" w:hanging="360.0000000000001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