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22BE5">
      <w:pPr>
        <w:widowControl/>
        <w:spacing w:before="40" w:after="80" w:line="240" w:lineRule="auto"/>
        <w:jc w:val="center"/>
        <w:rPr>
          <w:rFonts w:hint="eastAsia" w:ascii="微软雅黑" w:hAnsi="微软雅黑" w:eastAsia="微软雅黑" w:cs="微软雅黑"/>
          <w:b/>
          <w:color w:val="17365D"/>
          <w:sz w:val="68"/>
        </w:rPr>
      </w:pPr>
    </w:p>
    <w:p w14:paraId="78F110D4">
      <w:pPr>
        <w:widowControl/>
        <w:spacing w:before="40" w:after="80" w:line="240" w:lineRule="auto"/>
        <w:jc w:val="center"/>
        <w:rPr>
          <w:rFonts w:hint="eastAsia" w:ascii="微软雅黑" w:hAnsi="微软雅黑" w:eastAsia="微软雅黑" w:cs="微软雅黑"/>
        </w:rPr>
      </w:pPr>
      <w:r>
        <w:rPr>
          <w:rFonts w:hint="eastAsia" w:ascii="微软雅黑" w:hAnsi="微软雅黑" w:eastAsia="微软雅黑" w:cs="微软雅黑"/>
          <w:b/>
          <w:color w:val="17365D"/>
          <w:sz w:val="68"/>
        </w:rPr>
        <w:t>T 系统</w:t>
      </w:r>
    </w:p>
    <w:p w14:paraId="63505801">
      <w:pPr>
        <w:widowControl/>
        <w:spacing w:before="0" w:after="260" w:line="240" w:lineRule="auto"/>
        <w:jc w:val="center"/>
        <w:rPr>
          <w:rFonts w:hint="eastAsia" w:ascii="微软雅黑" w:hAnsi="微软雅黑" w:eastAsia="微软雅黑" w:cs="微软雅黑"/>
          <w:b/>
          <w:color w:val="17365D"/>
          <w:sz w:val="50"/>
        </w:rPr>
      </w:pPr>
      <w:r>
        <w:rPr>
          <w:rFonts w:hint="eastAsia" w:ascii="微软雅黑" w:hAnsi="微软雅黑" w:eastAsia="微软雅黑" w:cs="微软雅黑"/>
          <w:b/>
          <w:color w:val="17365D"/>
          <w:sz w:val="50"/>
        </w:rPr>
        <w:t>需求规格说明书</w:t>
      </w:r>
    </w:p>
    <w:p w14:paraId="1BC9E5DA">
      <w:pPr>
        <w:widowControl/>
        <w:spacing w:before="0" w:after="260" w:line="240" w:lineRule="auto"/>
        <w:jc w:val="both"/>
        <w:rPr>
          <w:rFonts w:hint="eastAsia" w:ascii="微软雅黑" w:hAnsi="微软雅黑" w:eastAsia="微软雅黑" w:cs="微软雅黑"/>
          <w:b/>
          <w:color w:val="17365D"/>
          <w:sz w:val="50"/>
        </w:rPr>
      </w:pPr>
    </w:p>
    <w:p w14:paraId="34A4825B">
      <w:pPr>
        <w:widowControl/>
        <w:spacing w:before="0" w:after="260" w:line="240" w:lineRule="auto"/>
        <w:jc w:val="center"/>
        <w:rPr>
          <w:rFonts w:hint="eastAsia" w:ascii="微软雅黑" w:hAnsi="微软雅黑" w:eastAsia="微软雅黑" w:cs="微软雅黑"/>
          <w:b/>
          <w:color w:val="17365D"/>
          <w:sz w:val="50"/>
        </w:rPr>
      </w:pPr>
    </w:p>
    <w:p w14:paraId="6DD7E275">
      <w:pPr>
        <w:widowControl/>
        <w:spacing w:before="0" w:after="260" w:line="240" w:lineRule="auto"/>
        <w:jc w:val="center"/>
        <w:rPr>
          <w:rFonts w:hint="eastAsia" w:ascii="微软雅黑" w:hAnsi="微软雅黑" w:eastAsia="微软雅黑" w:cs="微软雅黑"/>
          <w:b/>
          <w:color w:val="17365D"/>
          <w:sz w:val="50"/>
        </w:rPr>
      </w:pP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6DB1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tblHeader/>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41193AC6">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客户</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6FDE5C27">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bCs/>
                <w:color w:val="1F2937"/>
                <w:sz w:val="17"/>
                <w:szCs w:val="20"/>
              </w:rPr>
              <w:t>JCN(</w:t>
            </w:r>
            <w:r>
              <w:rPr>
                <w:rFonts w:hint="eastAsia" w:ascii="微软雅黑" w:hAnsi="微软雅黑" w:eastAsia="微软雅黑" w:cs="微软雅黑"/>
                <w:b w:val="0"/>
                <w:bCs/>
                <w:color w:val="1F2937"/>
                <w:sz w:val="17"/>
                <w:szCs w:val="20"/>
                <w:lang w:val="en-US" w:eastAsia="zh-CN"/>
              </w:rPr>
              <w:t>港宽科技有限公司</w:t>
            </w:r>
            <w:r>
              <w:rPr>
                <w:rFonts w:hint="eastAsia" w:ascii="微软雅黑" w:hAnsi="微软雅黑" w:eastAsia="微软雅黑" w:cs="微软雅黑"/>
                <w:b w:val="0"/>
                <w:bCs/>
                <w:color w:val="1F2937"/>
                <w:sz w:val="17"/>
                <w:szCs w:val="20"/>
              </w:rPr>
              <w:t>)</w:t>
            </w:r>
          </w:p>
        </w:tc>
      </w:tr>
      <w:tr w14:paraId="1853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12ADAEC6">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文档所有权方</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72818355">
            <w:pPr>
              <w:spacing w:before="0" w:after="0" w:line="240" w:lineRule="auto"/>
              <w:rPr>
                <w:rFonts w:hint="eastAsia" w:ascii="微软雅黑" w:hAnsi="微软雅黑" w:eastAsia="微软雅黑" w:cs="微软雅黑"/>
              </w:rPr>
            </w:pPr>
            <w:r>
              <w:rPr>
                <w:rFonts w:hint="eastAsia" w:ascii="微软雅黑" w:hAnsi="微软雅黑" w:eastAsia="微软雅黑" w:cs="微软雅黑"/>
                <w:bCs/>
                <w:color w:val="1F2937"/>
                <w:sz w:val="17"/>
                <w:szCs w:val="21"/>
                <w:lang w:val="en-US" w:eastAsia="zh-CN"/>
              </w:rPr>
              <w:t>JOS</w:t>
            </w:r>
            <w:r>
              <w:rPr>
                <w:rFonts w:hint="eastAsia" w:ascii="微软雅黑" w:hAnsi="微软雅黑" w:eastAsia="微软雅黑" w:cs="微软雅黑"/>
                <w:bCs/>
                <w:color w:val="1F2937"/>
                <w:sz w:val="17"/>
                <w:szCs w:val="21"/>
              </w:rPr>
              <w:t>服务部-技术开发组</w:t>
            </w:r>
          </w:p>
        </w:tc>
      </w:tr>
      <w:tr w14:paraId="1C97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218CAB63">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密级</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6ECD1D5A">
            <w:pPr>
              <w:spacing w:before="0" w:after="0" w:line="240" w:lineRule="auto"/>
              <w:rPr>
                <w:rFonts w:hint="eastAsia" w:ascii="微软雅黑" w:hAnsi="微软雅黑" w:eastAsia="微软雅黑" w:cs="微软雅黑"/>
              </w:rPr>
            </w:pPr>
            <w:r>
              <w:rPr>
                <w:rFonts w:hint="eastAsia" w:ascii="微软雅黑" w:hAnsi="微软雅黑" w:eastAsia="微软雅黑" w:cs="微软雅黑"/>
                <w:b w:val="0"/>
                <w:color w:val="1F2937"/>
                <w:sz w:val="17"/>
              </w:rPr>
              <w:t>客户专用 / Confidential</w:t>
            </w:r>
          </w:p>
        </w:tc>
      </w:tr>
      <w:tr w14:paraId="05BC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26A9D099">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版本</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3D1DD619">
            <w:pPr>
              <w:spacing w:before="0" w:after="0" w:line="240" w:lineRule="auto"/>
              <w:rPr>
                <w:rFonts w:hint="eastAsia" w:ascii="微软雅黑" w:hAnsi="微软雅黑" w:eastAsia="微软雅黑" w:cs="微软雅黑"/>
              </w:rPr>
            </w:pPr>
            <w:r>
              <w:rPr>
                <w:rFonts w:hint="eastAsia" w:ascii="微软雅黑" w:hAnsi="微软雅黑" w:eastAsia="微软雅黑" w:cs="微软雅黑"/>
                <w:b w:val="0"/>
                <w:color w:val="1F2937"/>
                <w:sz w:val="17"/>
              </w:rPr>
              <w:t>V</w:t>
            </w:r>
            <w:r>
              <w:rPr>
                <w:rFonts w:hint="eastAsia" w:ascii="微软雅黑" w:hAnsi="微软雅黑" w:eastAsia="微软雅黑" w:cs="微软雅黑"/>
                <w:b w:val="0"/>
                <w:color w:val="1F2937"/>
                <w:sz w:val="17"/>
                <w:lang w:val="en-US" w:eastAsia="zh-CN"/>
              </w:rPr>
              <w:t>5</w:t>
            </w:r>
            <w:r>
              <w:rPr>
                <w:rFonts w:hint="eastAsia" w:ascii="微软雅黑" w:hAnsi="微软雅黑" w:eastAsia="微软雅黑" w:cs="微软雅黑"/>
                <w:b w:val="0"/>
                <w:color w:val="1F2937"/>
                <w:sz w:val="17"/>
              </w:rPr>
              <w:t>.0</w:t>
            </w:r>
          </w:p>
        </w:tc>
      </w:tr>
      <w:tr w14:paraId="2AE2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11028A04">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状态</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51B38839">
            <w:pPr>
              <w:spacing w:before="0" w:after="0" w:line="240" w:lineRule="auto"/>
              <w:rPr>
                <w:rFonts w:hint="eastAsia" w:ascii="微软雅黑" w:hAnsi="微软雅黑" w:eastAsia="微软雅黑" w:cs="微软雅黑"/>
              </w:rPr>
            </w:pPr>
            <w:r>
              <w:rPr>
                <w:rFonts w:hint="eastAsia" w:ascii="微软雅黑" w:hAnsi="微软雅黑" w:eastAsia="微软雅黑" w:cs="微软雅黑"/>
                <w:b w:val="0"/>
                <w:color w:val="1F2937"/>
                <w:sz w:val="17"/>
              </w:rPr>
              <w:t>测试联调版</w:t>
            </w:r>
          </w:p>
        </w:tc>
      </w:tr>
      <w:tr w14:paraId="122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5A7E102C">
            <w:pPr>
              <w:spacing w:before="0" w:after="0" w:line="240" w:lineRule="auto"/>
              <w:rPr>
                <w:rFonts w:hint="eastAsia" w:ascii="微软雅黑" w:hAnsi="微软雅黑" w:eastAsia="微软雅黑" w:cs="微软雅黑"/>
              </w:rPr>
            </w:pPr>
            <w:r>
              <w:rPr>
                <w:rFonts w:hint="eastAsia" w:ascii="微软雅黑" w:hAnsi="微软雅黑" w:eastAsia="微软雅黑" w:cs="微软雅黑"/>
                <w:b/>
                <w:color w:val="FFFFFF"/>
                <w:sz w:val="17"/>
              </w:rPr>
              <w:t>日期</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18E81179">
            <w:pPr>
              <w:spacing w:before="0" w:after="0" w:line="240" w:lineRule="auto"/>
              <w:rPr>
                <w:rFonts w:hint="eastAsia" w:ascii="微软雅黑" w:hAnsi="微软雅黑" w:eastAsia="微软雅黑" w:cs="微软雅黑"/>
              </w:rPr>
            </w:pPr>
            <w:r>
              <w:rPr>
                <w:rFonts w:hint="eastAsia" w:ascii="微软雅黑" w:hAnsi="微软雅黑" w:eastAsia="微软雅黑" w:cs="微软雅黑"/>
                <w:b w:val="0"/>
                <w:color w:val="1F2937"/>
                <w:sz w:val="17"/>
              </w:rPr>
              <w:t>2026年09月</w:t>
            </w:r>
          </w:p>
        </w:tc>
      </w:tr>
    </w:tbl>
    <w:p w14:paraId="78F04DFF">
      <w:pPr>
        <w:rPr>
          <w:rFonts w:hint="eastAsia" w:ascii="微软雅黑" w:hAnsi="微软雅黑" w:eastAsia="微软雅黑" w:cs="微软雅黑"/>
          <w:b/>
          <w:color w:val="2F75B5"/>
          <w:sz w:val="23"/>
        </w:rPr>
      </w:pPr>
    </w:p>
    <w:p w14:paraId="468194B9">
      <w:pPr>
        <w:rPr>
          <w:rFonts w:hint="eastAsia" w:ascii="微软雅黑" w:hAnsi="微软雅黑" w:eastAsia="微软雅黑" w:cs="微软雅黑"/>
          <w:b/>
          <w:color w:val="2F75B5"/>
          <w:sz w:val="23"/>
        </w:rPr>
      </w:pPr>
    </w:p>
    <w:p w14:paraId="1EF3769C">
      <w:pPr>
        <w:rPr>
          <w:rFonts w:hint="eastAsia" w:ascii="微软雅黑" w:hAnsi="微软雅黑" w:eastAsia="微软雅黑" w:cs="微软雅黑"/>
          <w:b/>
          <w:color w:val="2F75B5"/>
          <w:sz w:val="23"/>
        </w:rPr>
      </w:pPr>
    </w:p>
    <w:p w14:paraId="72481E42">
      <w:pPr>
        <w:rPr>
          <w:rFonts w:hint="eastAsia" w:ascii="微软雅黑" w:hAnsi="微软雅黑" w:eastAsia="微软雅黑" w:cs="微软雅黑"/>
          <w:b/>
          <w:color w:val="2F75B5"/>
          <w:sz w:val="23"/>
        </w:rPr>
      </w:pPr>
    </w:p>
    <w:p w14:paraId="299B589A">
      <w:pPr>
        <w:rPr>
          <w:rFonts w:hint="eastAsia" w:ascii="微软雅黑" w:hAnsi="微软雅黑" w:eastAsia="微软雅黑" w:cs="微软雅黑"/>
          <w:b/>
          <w:color w:val="2F75B5"/>
          <w:sz w:val="23"/>
        </w:rPr>
      </w:pPr>
    </w:p>
    <w:p w14:paraId="511BA0F7">
      <w:pPr>
        <w:rPr>
          <w:rFonts w:hint="eastAsia" w:ascii="微软雅黑" w:hAnsi="微软雅黑" w:eastAsia="微软雅黑" w:cs="微软雅黑"/>
          <w:b/>
          <w:color w:val="2F75B5"/>
          <w:sz w:val="23"/>
        </w:rPr>
      </w:pPr>
    </w:p>
    <w:p w14:paraId="679B80C3">
      <w:pPr>
        <w:rPr>
          <w:rFonts w:hint="eastAsia" w:ascii="微软雅黑" w:hAnsi="微软雅黑" w:eastAsia="微软雅黑" w:cs="微软雅黑"/>
          <w:b/>
          <w:color w:val="2F75B5"/>
          <w:sz w:val="23"/>
        </w:rPr>
      </w:pPr>
    </w:p>
    <w:p w14:paraId="52F943C0">
      <w:pPr>
        <w:rPr>
          <w:rFonts w:hint="eastAsia" w:ascii="微软雅黑" w:hAnsi="微软雅黑" w:eastAsia="微软雅黑" w:cs="微软雅黑"/>
          <w:b/>
          <w:color w:val="2F75B5"/>
          <w:sz w:val="23"/>
        </w:rPr>
      </w:pPr>
    </w:p>
    <w:p w14:paraId="11729524">
      <w:pPr>
        <w:pStyle w:val="3"/>
        <w:keepNext/>
        <w:widowControl/>
        <w:pBdr>
          <w:bottom w:val="single" w:color="2F75B5" w:sz="12" w:space="6"/>
        </w:pBdr>
        <w:spacing w:before="220" w:after="80" w:line="240" w:lineRule="auto"/>
        <w:jc w:val="left"/>
        <w:rPr>
          <w:rFonts w:hint="eastAsia" w:ascii="微软雅黑" w:hAnsi="微软雅黑" w:eastAsia="微软雅黑" w:cs="微软雅黑"/>
          <w:b/>
          <w:color w:val="2F75B5"/>
          <w:sz w:val="23"/>
        </w:rPr>
      </w:pPr>
    </w:p>
    <w:p w14:paraId="67C8A1BF">
      <w:pPr>
        <w:pStyle w:val="3"/>
        <w:keepNext/>
        <w:widowControl/>
        <w:pBdr>
          <w:bottom w:val="single" w:color="2F75B5" w:sz="12" w:space="6"/>
        </w:pBdr>
        <w:spacing w:before="220" w:after="80" w:line="240" w:lineRule="auto"/>
        <w:jc w:val="left"/>
        <w:rPr>
          <w:rFonts w:hint="eastAsia" w:ascii="微软雅黑" w:hAnsi="微软雅黑" w:eastAsia="微软雅黑" w:cs="微软雅黑"/>
        </w:rPr>
      </w:pPr>
      <w:r>
        <w:rPr>
          <w:rFonts w:hint="eastAsia" w:ascii="微软雅黑" w:hAnsi="微软雅黑" w:eastAsia="微软雅黑" w:cs="微软雅黑"/>
          <w:b/>
          <w:color w:val="2F75B5"/>
          <w:sz w:val="23"/>
        </w:rPr>
        <w:t>手册撰写团队</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3300"/>
        <w:gridCol w:w="3460"/>
      </w:tblGrid>
      <w:tr w14:paraId="6D2B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tblHeader/>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0A10FDF7">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姓名</w:t>
            </w:r>
          </w:p>
        </w:tc>
        <w:tc>
          <w:tcPr>
            <w:tcW w:w="33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080D574">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职责/角色</w:t>
            </w:r>
          </w:p>
        </w:tc>
        <w:tc>
          <w:tcPr>
            <w:tcW w:w="346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BE1B97C">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部门</w:t>
            </w:r>
          </w:p>
        </w:tc>
      </w:tr>
      <w:tr w14:paraId="7219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0BCA709">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Webber Wu</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1A470ED">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开发主管</w:t>
            </w:r>
          </w:p>
        </w:tc>
        <w:tc>
          <w:tcPr>
            <w:tcW w:w="346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CA8DE45">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服务部-技术开发组</w:t>
            </w:r>
          </w:p>
        </w:tc>
      </w:tr>
      <w:tr w14:paraId="1A3B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165A8663">
            <w:pPr>
              <w:spacing w:before="0" w:after="0" w:line="240" w:lineRule="auto"/>
              <w:jc w:val="center"/>
              <w:rPr>
                <w:rFonts w:hint="eastAsia" w:ascii="微软雅黑" w:hAnsi="微软雅黑" w:eastAsia="微软雅黑" w:cs="微软雅黑"/>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5A9A91C5">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开发工程师</w:t>
            </w:r>
          </w:p>
        </w:tc>
        <w:tc>
          <w:tcPr>
            <w:tcW w:w="34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7FB3C0D9">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Cs/>
                <w:color w:val="1F2937"/>
                <w:sz w:val="17"/>
                <w:szCs w:val="21"/>
              </w:rPr>
              <w:t>服务部-技术开发组</w:t>
            </w:r>
          </w:p>
        </w:tc>
      </w:tr>
    </w:tbl>
    <w:p w14:paraId="4AA31C68">
      <w:pPr>
        <w:pStyle w:val="3"/>
        <w:keepNext/>
        <w:widowControl/>
        <w:pBdr>
          <w:bottom w:val="single" w:color="2F75B5" w:sz="12" w:space="6"/>
        </w:pBdr>
        <w:spacing w:before="220" w:after="80" w:line="240" w:lineRule="auto"/>
        <w:jc w:val="left"/>
        <w:rPr>
          <w:rFonts w:hint="eastAsia" w:ascii="微软雅黑" w:hAnsi="微软雅黑" w:eastAsia="微软雅黑" w:cs="微软雅黑"/>
          <w:b/>
          <w:color w:val="2F75B5"/>
          <w:sz w:val="23"/>
        </w:rPr>
      </w:pPr>
    </w:p>
    <w:p w14:paraId="4945B64E">
      <w:pPr>
        <w:rPr>
          <w:rFonts w:hint="eastAsia" w:ascii="微软雅黑" w:hAnsi="微软雅黑" w:eastAsia="微软雅黑" w:cs="微软雅黑"/>
          <w:b/>
          <w:color w:val="2F75B5"/>
          <w:sz w:val="23"/>
        </w:rPr>
      </w:pPr>
    </w:p>
    <w:p w14:paraId="4B2C54FC">
      <w:pPr>
        <w:pStyle w:val="3"/>
        <w:keepNext/>
        <w:widowControl/>
        <w:pBdr>
          <w:bottom w:val="single" w:color="2F75B5" w:sz="12" w:space="6"/>
        </w:pBdr>
        <w:spacing w:before="220" w:after="80" w:line="240" w:lineRule="auto"/>
        <w:jc w:val="left"/>
        <w:rPr>
          <w:rFonts w:hint="eastAsia" w:ascii="微软雅黑" w:hAnsi="微软雅黑" w:eastAsia="微软雅黑" w:cs="微软雅黑"/>
        </w:rPr>
      </w:pPr>
      <w:r>
        <w:rPr>
          <w:rFonts w:hint="eastAsia" w:ascii="微软雅黑" w:hAnsi="微软雅黑" w:eastAsia="微软雅黑" w:cs="微软雅黑"/>
          <w:b/>
          <w:color w:val="2F75B5"/>
          <w:sz w:val="23"/>
        </w:rPr>
        <w:t>版本修改记录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50"/>
        <w:gridCol w:w="1350"/>
        <w:gridCol w:w="1650"/>
        <w:gridCol w:w="3300"/>
        <w:gridCol w:w="1310"/>
      </w:tblGrid>
      <w:tr w14:paraId="0E44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tblHeader/>
          <w:jc w:val="center"/>
        </w:trPr>
        <w:tc>
          <w:tcPr>
            <w:tcW w:w="9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38D13247">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状态</w:t>
            </w:r>
          </w:p>
        </w:tc>
        <w:tc>
          <w:tcPr>
            <w:tcW w:w="8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295126E4">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版本</w:t>
            </w:r>
          </w:p>
        </w:tc>
        <w:tc>
          <w:tcPr>
            <w:tcW w:w="13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638961C1">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日期</w:t>
            </w:r>
          </w:p>
        </w:tc>
        <w:tc>
          <w:tcPr>
            <w:tcW w:w="16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1177CB68">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作者</w:t>
            </w:r>
          </w:p>
        </w:tc>
        <w:tc>
          <w:tcPr>
            <w:tcW w:w="33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2CD50F4E">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说明</w:t>
            </w:r>
          </w:p>
        </w:tc>
        <w:tc>
          <w:tcPr>
            <w:tcW w:w="131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B993A86">
            <w:pPr>
              <w:keepNext/>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17"/>
              </w:rPr>
              <w:t>审核/批准</w:t>
            </w:r>
          </w:p>
        </w:tc>
      </w:tr>
      <w:tr w14:paraId="2D8A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A07D550">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创建</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4056CCC">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v1.0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810C86F">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2026/09/02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F81F063">
            <w:pPr>
              <w:spacing w:before="0" w:after="0" w:line="240" w:lineRule="auto"/>
              <w:jc w:val="center"/>
              <w:rPr>
                <w:rFonts w:hint="eastAsia" w:ascii="微软雅黑" w:hAnsi="微软雅黑" w:eastAsia="微软雅黑" w:cs="微软雅黑"/>
                <w:lang w:val="en-US" w:eastAsia="zh-CN"/>
              </w:rPr>
            </w:pPr>
            <w:r>
              <w:rPr>
                <w:rFonts w:hint="eastAsia" w:ascii="微软雅黑" w:hAnsi="微软雅黑" w:eastAsia="微软雅黑" w:cs="微软雅黑"/>
                <w:sz w:val="17"/>
                <w:szCs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772A356">
            <w:pPr>
              <w:spacing w:before="0" w:after="0" w:line="240" w:lineRule="auto"/>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基于当前 T 系统实现、智眸联调接口与 ePortal 集成设计建立</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5C75D9D">
            <w:pPr>
              <w:spacing w:before="0" w:after="0" w:line="240" w:lineRule="auto"/>
              <w:jc w:val="center"/>
              <w:rPr>
                <w:rFonts w:hint="eastAsia" w:ascii="微软雅黑" w:hAnsi="微软雅黑" w:eastAsia="微软雅黑" w:cs="微软雅黑"/>
                <w:lang w:val="en-US" w:eastAsia="zh-CN"/>
              </w:rPr>
            </w:pPr>
            <w:r>
              <w:rPr>
                <w:rFonts w:hint="eastAsia" w:ascii="微软雅黑" w:hAnsi="微软雅黑" w:eastAsia="微软雅黑" w:cs="微软雅黑"/>
                <w:b w:val="0"/>
                <w:color w:val="1F2937"/>
                <w:sz w:val="17"/>
                <w:lang w:val="en-US" w:eastAsia="zh-CN"/>
              </w:rPr>
              <w:t>Webber Wu</w:t>
            </w:r>
          </w:p>
        </w:tc>
      </w:tr>
      <w:tr w14:paraId="4F11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4"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370BB22">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0F9DDA8F">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V2.0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0077EE2">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2026/09/02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F7ED98B">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F24226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修改排版格式及文字描述</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1AA28D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Webber Wu</w:t>
            </w:r>
          </w:p>
        </w:tc>
      </w:tr>
      <w:tr w14:paraId="0DD3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4"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7655B6A">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89A90C9">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V3.0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507F3A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2006/09/02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67D49A2">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53EF8C6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调整格式，添加带JSO LOGO模板</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B8940F4">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Webber Wu</w:t>
            </w:r>
          </w:p>
        </w:tc>
      </w:tr>
      <w:tr w14:paraId="3FE1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4"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6237EEB">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19A87C1">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V4.0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04A685EC">
            <w:pPr>
              <w:spacing w:before="0" w:after="0" w:line="240" w:lineRule="auto"/>
              <w:jc w:val="center"/>
              <w:rPr>
                <w:rFonts w:hint="eastAsia" w:ascii="微软雅黑" w:hAnsi="微软雅黑" w:eastAsia="微软雅黑" w:cs="微软雅黑"/>
                <w:b w:val="0"/>
                <w:color w:val="1F2937"/>
                <w:sz w:val="17"/>
                <w:szCs w:val="22"/>
                <w:lang w:val="en-US" w:eastAsia="zh-CN" w:bidi="ar-SA"/>
              </w:rPr>
            </w:pPr>
            <w:r>
              <w:rPr>
                <w:rFonts w:hint="eastAsia" w:ascii="微软雅黑" w:hAnsi="微软雅黑" w:eastAsia="微软雅黑" w:cs="微软雅黑"/>
                <w:b w:val="0"/>
                <w:color w:val="1F2937"/>
                <w:sz w:val="17"/>
                <w:lang w:val="en-US" w:eastAsia="zh-CN"/>
              </w:rPr>
              <w:t>2006/09/02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876E1B6">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CD81D91">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增添记忆库添加历史数据避免冷启动文字描述</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F20D668">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Webber Wu</w:t>
            </w:r>
          </w:p>
        </w:tc>
      </w:tr>
      <w:tr w14:paraId="48C0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4"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FA60932">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3E556BC">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v5.0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21040A1">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2006/09/03</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8C1416F">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86B336E">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格式/文字描述，字段转换传输，添加流程图</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875D6F0">
            <w:pPr>
              <w:spacing w:before="0" w:after="0" w:line="240" w:lineRule="auto"/>
              <w:jc w:val="center"/>
              <w:rPr>
                <w:rFonts w:hint="eastAsia" w:ascii="微软雅黑" w:hAnsi="微软雅黑" w:eastAsia="微软雅黑" w:cs="微软雅黑"/>
                <w:b w:val="0"/>
                <w:color w:val="1F2937"/>
                <w:sz w:val="17"/>
                <w:lang w:val="en-US" w:eastAsia="zh-CN"/>
              </w:rPr>
            </w:pPr>
            <w:r>
              <w:rPr>
                <w:rFonts w:hint="eastAsia" w:ascii="微软雅黑" w:hAnsi="微软雅黑" w:eastAsia="微软雅黑" w:cs="微软雅黑"/>
                <w:b w:val="0"/>
                <w:color w:val="1F2937"/>
                <w:sz w:val="17"/>
                <w:lang w:val="en-US" w:eastAsia="zh-CN"/>
              </w:rPr>
              <w:t>Webber Wu</w:t>
            </w:r>
          </w:p>
        </w:tc>
      </w:tr>
    </w:tbl>
    <w:p w14:paraId="1B6239F0">
      <w:pPr>
        <w:spacing w:before="0" w:after="0"/>
        <w:rPr>
          <w:rFonts w:hint="eastAsia" w:ascii="微软雅黑" w:hAnsi="微软雅黑" w:eastAsia="微软雅黑" w:cs="微软雅黑"/>
        </w:rPr>
      </w:pPr>
      <w:r>
        <w:rPr>
          <w:rFonts w:hint="eastAsia" w:ascii="微软雅黑" w:hAnsi="微软雅黑" w:eastAsia="微软雅黑" w:cs="微软雅黑"/>
        </w:rPr>
        <w:br w:type="page"/>
      </w:r>
    </w:p>
    <w:p w14:paraId="5AEE97C9">
      <w:pPr>
        <w:pStyle w:val="3"/>
        <w:keepNext/>
        <w:pageBreakBefore w:val="0"/>
        <w:widowControl/>
        <w:pBdr>
          <w:bottom w:val="single" w:color="2F75B5" w:sz="12" w:space="6"/>
        </w:pBdr>
        <w:spacing w:before="40" w:after="160"/>
        <w:rPr>
          <w:rFonts w:hint="eastAsia" w:ascii="微软雅黑" w:hAnsi="微软雅黑" w:eastAsia="微软雅黑" w:cs="微软雅黑"/>
        </w:rPr>
      </w:pPr>
      <w:r>
        <w:rPr>
          <w:rFonts w:hint="eastAsia" w:ascii="微软雅黑" w:hAnsi="微软雅黑" w:eastAsia="微软雅黑" w:cs="微软雅黑"/>
          <w:b/>
          <w:color w:val="17365D"/>
          <w:sz w:val="32"/>
        </w:rPr>
        <w:t>目录</w:t>
      </w:r>
    </w:p>
    <w:p w14:paraId="04E81EED">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1. 项目背景与目标</w:t>
      </w:r>
    </w:p>
    <w:p w14:paraId="0E559AB6">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2. 范围界定</w:t>
      </w:r>
    </w:p>
    <w:p w14:paraId="298BA2D7">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3. 业务流程与角色</w:t>
      </w:r>
    </w:p>
    <w:p w14:paraId="5E69D478">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4. 功能需求</w:t>
      </w:r>
    </w:p>
    <w:p w14:paraId="4057A2AE">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5. 外部接口需求</w:t>
      </w:r>
    </w:p>
    <w:p w14:paraId="0BF30B6B">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6. 数据与记忆规则要求</w:t>
      </w:r>
    </w:p>
    <w:p w14:paraId="2CAFCEB4">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7. 非功能需求</w:t>
      </w:r>
    </w:p>
    <w:p w14:paraId="5896BE63">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8. 验收标准</w:t>
      </w:r>
    </w:p>
    <w:p w14:paraId="1C43B6F3">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9. 实施依赖与风险</w:t>
      </w:r>
    </w:p>
    <w:p w14:paraId="6005A8B9">
      <w:pPr>
        <w:widowControl/>
        <w:spacing w:before="20" w:after="40" w:line="269" w:lineRule="auto"/>
        <w:ind w:left="255"/>
        <w:rPr>
          <w:rFonts w:hint="eastAsia" w:ascii="微软雅黑" w:hAnsi="微软雅黑" w:eastAsia="微软雅黑" w:cs="微软雅黑"/>
        </w:rPr>
      </w:pPr>
      <w:r>
        <w:rPr>
          <w:rFonts w:hint="eastAsia" w:ascii="微软雅黑" w:hAnsi="微软雅黑" w:eastAsia="微软雅黑" w:cs="微软雅黑"/>
          <w:b w:val="0"/>
          <w:color w:val="1F2937"/>
          <w:sz w:val="21"/>
        </w:rPr>
        <w:t>10. 参考文档与附件</w:t>
      </w:r>
    </w:p>
    <w:p w14:paraId="104306B3">
      <w:pPr>
        <w:widowControl/>
        <w:rPr>
          <w:rFonts w:hint="eastAsia" w:ascii="微软雅黑" w:hAnsi="微软雅黑" w:eastAsia="微软雅黑" w:cs="微软雅黑"/>
        </w:rPr>
      </w:pPr>
      <w:r>
        <w:rPr>
          <w:rFonts w:hint="eastAsia" w:ascii="微软雅黑" w:hAnsi="微软雅黑" w:eastAsia="微软雅黑" w:cs="微软雅黑"/>
          <w:color w:val="1F2937"/>
          <w:sz w:val="21"/>
        </w:rPr>
        <w:br w:type="page"/>
      </w:r>
    </w:p>
    <w:p w14:paraId="0C034953">
      <w:pPr>
        <w:pStyle w:val="3"/>
        <w:keepNext/>
        <w:pageBreakBefore/>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1. 项目背景与目标</w:t>
      </w:r>
    </w:p>
    <w:p w14:paraId="061A33E6">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1.1 项目来源</w:t>
      </w:r>
    </w:p>
    <w:p w14:paraId="4F754C98">
      <w:pPr>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智眸已具备订单文件识别能力，ePortal 已具备订单创建、编辑、提交与订单归属管理能力。T 系统位于两者之间，负责把智眸识别的结构化数据与业务人员的人工纠正沉淀为可复用的兑换记忆，使后续同类订单在建单前得到自动修正。</w:t>
      </w:r>
    </w:p>
    <w:p w14:paraId="68D52AA5">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1.2 业务痛点</w:t>
      </w:r>
    </w:p>
    <w:p w14:paraId="45855445">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识别结果存在客户、税务、付款条款、签约公司及订单行等字段偏差</w:t>
      </w:r>
      <w:r>
        <w:rPr>
          <w:rFonts w:hint="eastAsia" w:ascii="微软雅黑" w:hAnsi="微软雅黑" w:eastAsia="微软雅黑" w:cs="微软雅黑"/>
          <w:b w:val="0"/>
          <w:color w:val="1F2937"/>
          <w:sz w:val="21"/>
          <w:lang w:eastAsia="zh-CN"/>
        </w:rPr>
        <w:t>（</w:t>
      </w:r>
      <w:r>
        <w:rPr>
          <w:rFonts w:hint="eastAsia" w:ascii="微软雅黑" w:hAnsi="微软雅黑" w:eastAsia="微软雅黑" w:cs="微软雅黑"/>
          <w:b w:val="0"/>
          <w:color w:val="1F2937"/>
          <w:sz w:val="21"/>
          <w:lang w:val="en-US" w:eastAsia="zh-CN"/>
        </w:rPr>
        <w:t>详情见6.2）</w:t>
      </w:r>
      <w:r>
        <w:rPr>
          <w:rFonts w:hint="eastAsia" w:ascii="微软雅黑" w:hAnsi="微软雅黑" w:eastAsia="微软雅黑" w:cs="微软雅黑"/>
          <w:b w:val="0"/>
          <w:color w:val="1F2937"/>
          <w:sz w:val="21"/>
        </w:rPr>
        <w:t>，业务人员需要重复修改。</w:t>
      </w:r>
    </w:p>
    <w:p w14:paraId="2D53A067">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相同客户、相同字段、相同原始值的纠正经验无法稳定复用，易重复发生。</w:t>
      </w:r>
    </w:p>
    <w:p w14:paraId="6ADFD5EB">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人工修改、规则变更和回写结果缺少统一的可追溯记录。</w:t>
      </w:r>
    </w:p>
    <w:p w14:paraId="09FCCBC8">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1.3 建设目标</w:t>
      </w:r>
    </w:p>
    <w:p w14:paraId="628CABE4">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提供智眸到</w:t>
      </w:r>
      <w:r>
        <w:rPr>
          <w:rFonts w:hint="eastAsia" w:ascii="微软雅黑" w:hAnsi="微软雅黑" w:eastAsia="微软雅黑" w:cs="微软雅黑"/>
          <w:b w:val="0"/>
          <w:color w:val="1F2937"/>
          <w:sz w:val="21"/>
          <w:lang w:val="en-US" w:eastAsia="zh-CN"/>
        </w:rPr>
        <w:t>T系统</w:t>
      </w:r>
      <w:r>
        <w:rPr>
          <w:rFonts w:hint="eastAsia" w:ascii="微软雅黑" w:hAnsi="微软雅黑" w:eastAsia="微软雅黑" w:cs="微软雅黑"/>
          <w:b w:val="0"/>
          <w:color w:val="1F2937"/>
          <w:sz w:val="21"/>
        </w:rPr>
        <w:t>的结构化数据接入接口，并将记忆匹配后的数据发送至 ePortal 建预订单。</w:t>
      </w:r>
    </w:p>
    <w:p w14:paraId="187FD2CC">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提供由 ePortal 已登录用户触发的 T2 修改界面；T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不维护业务员独立账号或密码。</w:t>
      </w:r>
    </w:p>
    <w:p w14:paraId="3D542F6A">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支持长期、单次和不记忆的人工修改处理，并记录 ePortal 操作人。</w:t>
      </w:r>
    </w:p>
    <w:p w14:paraId="57A8FB00">
      <w:pPr>
        <w:pStyle w:val="16"/>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支持字段级错误说明，由内部 Agent 后台归纳后新增兑换记忆；Agent 不自动覆盖既有长期规则。</w:t>
      </w:r>
    </w:p>
    <w:p w14:paraId="102E8B3F">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2. 范围界定</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660"/>
      </w:tblGrid>
      <w:tr w14:paraId="3ACF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E9A93D1">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模块</w:t>
            </w:r>
          </w:p>
        </w:tc>
        <w:tc>
          <w:tcPr>
            <w:tcW w:w="39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0AF7C9E">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T 系统包含范围</w:t>
            </w:r>
          </w:p>
        </w:tc>
        <w:tc>
          <w:tcPr>
            <w:tcW w:w="36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AF661A0">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排除或依赖说明</w:t>
            </w:r>
          </w:p>
        </w:tc>
      </w:tr>
      <w:tr w14:paraId="1D75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5D10E95C">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智眸接入</w:t>
            </w:r>
          </w:p>
        </w:tc>
        <w:tc>
          <w:tcPr>
            <w:tcW w:w="39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B0C979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接收客户、任务标识、识别字段、产品行识别结果与元数据；执行标准化与记忆匹配。</w:t>
            </w:r>
          </w:p>
        </w:tc>
        <w:tc>
          <w:tcPr>
            <w:tcW w:w="36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B9FE26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不负责文件上传、OCR、识别模型训练及智眸任务管理。</w:t>
            </w:r>
          </w:p>
        </w:tc>
      </w:tr>
      <w:tr w14:paraId="734A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B7CA621">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订单建单</w:t>
            </w:r>
          </w:p>
        </w:tc>
        <w:tc>
          <w:tcPr>
            <w:tcW w:w="39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24E2D15">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将原始值或记忆替换值以结构化订单数据调用 ePortal 建单接口。</w:t>
            </w:r>
          </w:p>
        </w:tc>
        <w:tc>
          <w:tcPr>
            <w:tcW w:w="36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3C9AA7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是订单真源，负责订单编号、业务校验、金额计算和提交。</w:t>
            </w:r>
          </w:p>
        </w:tc>
      </w:tr>
      <w:tr w14:paraId="1FE9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E842AD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人工修改</w:t>
            </w:r>
          </w:p>
        </w:tc>
        <w:tc>
          <w:tcPr>
            <w:tcW w:w="39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2B9AA4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按 ePortal ticket 建立短时会话，渲染 ePortal 可编辑字段、产品行及附件元数据。</w:t>
            </w:r>
          </w:p>
        </w:tc>
        <w:tc>
          <w:tcPr>
            <w:tcW w:w="36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9409A3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不对业务员分单进行二次授权；ePortal 在签发 ticket 时完成订单访问控制。</w:t>
            </w:r>
          </w:p>
        </w:tc>
      </w:tr>
      <w:tr w14:paraId="6B92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5DCB1BC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记忆与 Agent</w:t>
            </w:r>
          </w:p>
        </w:tc>
        <w:tc>
          <w:tcPr>
            <w:tcW w:w="39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57626B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规则命中、人工纠正、错误说明、Agent 案例和历史记录。</w:t>
            </w:r>
          </w:p>
        </w:tc>
        <w:tc>
          <w:tcPr>
            <w:tcW w:w="36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FFC28A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内部大模型服务由企业提供；T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不向业务员展示 Agent 分析文本。</w:t>
            </w:r>
          </w:p>
        </w:tc>
      </w:tr>
    </w:tbl>
    <w:p w14:paraId="6170B0C2">
      <w:pPr>
        <w:widowControl/>
        <w:spacing w:after="40"/>
        <w:rPr>
          <w:rFonts w:hint="eastAsia" w:ascii="微软雅黑" w:hAnsi="微软雅黑" w:eastAsia="微软雅黑" w:cs="微软雅黑"/>
        </w:rPr>
      </w:pPr>
    </w:p>
    <w:p w14:paraId="078AFF1C">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3. 业务流程与角色</w:t>
      </w:r>
    </w:p>
    <w:p w14:paraId="6FCF7A7E">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3.1 角色</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4A9F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E72B049">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角色</w:t>
            </w:r>
          </w:p>
        </w:tc>
        <w:tc>
          <w:tcPr>
            <w:tcW w:w="69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8198193">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职责</w:t>
            </w:r>
          </w:p>
        </w:tc>
      </w:tr>
      <w:tr w14:paraId="045E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B3DCA29">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智眸服务</w:t>
            </w:r>
          </w:p>
        </w:tc>
        <w:tc>
          <w:tcPr>
            <w:tcW w:w="69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928617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向 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推送识别后的结构化订单数据。</w:t>
            </w:r>
          </w:p>
        </w:tc>
      </w:tr>
      <w:tr w14:paraId="1FAC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D28B568">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T 系统</w:t>
            </w:r>
          </w:p>
        </w:tc>
        <w:tc>
          <w:tcPr>
            <w:tcW w:w="69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68C6201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记忆匹配、建单适配、T2 修改、历史记录与 Agent 学习。</w:t>
            </w:r>
          </w:p>
        </w:tc>
      </w:tr>
      <w:tr w14:paraId="7EB8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BA5DE02">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ePortal</w:t>
            </w:r>
          </w:p>
        </w:tc>
        <w:tc>
          <w:tcPr>
            <w:tcW w:w="69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5DBE7DF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用户登录、订单归属、ticket 签发、订单真源、校验、计算与最终提交。</w:t>
            </w:r>
          </w:p>
        </w:tc>
      </w:tr>
      <w:tr w14:paraId="3141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1F1B7A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业务员</w:t>
            </w:r>
          </w:p>
        </w:tc>
        <w:tc>
          <w:tcPr>
            <w:tcW w:w="69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DD092D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从 ePortal 进入 T2，修改 ePortal 允许修改的订单内容并填写必要错误说明。</w:t>
            </w:r>
          </w:p>
        </w:tc>
      </w:tr>
      <w:tr w14:paraId="5098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25616AF">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管理员</w:t>
            </w:r>
          </w:p>
        </w:tc>
        <w:tc>
          <w:tcPr>
            <w:tcW w:w="69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33F7995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维护兑换记忆规则、查看命中明细与历史记录。</w:t>
            </w:r>
          </w:p>
        </w:tc>
      </w:tr>
    </w:tbl>
    <w:p w14:paraId="514006BB">
      <w:pPr>
        <w:widowControl/>
        <w:spacing w:after="40"/>
        <w:rPr>
          <w:rFonts w:hint="eastAsia" w:ascii="微软雅黑" w:hAnsi="微软雅黑" w:eastAsia="微软雅黑" w:cs="微软雅黑"/>
        </w:rPr>
      </w:pPr>
    </w:p>
    <w:p w14:paraId="32C5029B">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3.2 主流程</w:t>
      </w:r>
    </w:p>
    <w:p w14:paraId="64C923A1">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智眸识别订单并调用 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的 intake 接口。</w:t>
      </w:r>
    </w:p>
    <w:p w14:paraId="0AB81EF8">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对客户名、字段名和原始值执行标准化；命中规则时替换为规则值，并记录命中/未命中日志。</w:t>
      </w:r>
    </w:p>
    <w:p w14:paraId="55F1C92B">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调用 ePortal 建单接口创建预订单；ePortal 返回订单标识和版本。</w:t>
      </w:r>
    </w:p>
    <w:p w14:paraId="735A3067">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业务员在 ePortal 打开订单并点击修改；ePortal 生成一次性短时 ticket，浏览器跳转 T2。</w:t>
      </w:r>
    </w:p>
    <w:p w14:paraId="4461647B">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以服务端凭证换取 ticket 上下文，并拉取 ePortal 完整订单；业务员在 T2 修改内容。</w:t>
      </w:r>
    </w:p>
    <w:p w14:paraId="70623009">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T</w:t>
      </w:r>
      <w:r>
        <w:rPr>
          <w:rFonts w:hint="eastAsia" w:ascii="微软雅黑" w:hAnsi="微软雅黑" w:eastAsia="微软雅黑" w:cs="微软雅黑"/>
          <w:b w:val="0"/>
          <w:color w:val="1F2937"/>
          <w:sz w:val="21"/>
          <w:lang w:val="en-US" w:eastAsia="zh-CN"/>
        </w:rPr>
        <w:t>系统</w:t>
      </w:r>
      <w:r>
        <w:rPr>
          <w:rFonts w:hint="eastAsia" w:ascii="微软雅黑" w:hAnsi="微软雅黑" w:eastAsia="微软雅黑" w:cs="微软雅黑"/>
          <w:b w:val="0"/>
          <w:color w:val="1F2937"/>
          <w:sz w:val="21"/>
        </w:rPr>
        <w:t>带 expected_version 回写 ePortal；成功后留痕并对有错误说明的字段创建 Agent 纠正案例。</w:t>
      </w:r>
    </w:p>
    <w:p w14:paraId="2E3198D9">
      <w:pPr>
        <w:pStyle w:val="14"/>
        <w:widowControl/>
        <w:rPr>
          <w:rFonts w:hint="eastAsia" w:ascii="微软雅黑" w:hAnsi="微软雅黑" w:eastAsia="微软雅黑" w:cs="微软雅黑"/>
        </w:rPr>
      </w:pPr>
      <w:r>
        <w:rPr>
          <w:rFonts w:hint="eastAsia" w:ascii="微软雅黑" w:hAnsi="微软雅黑" w:eastAsia="微软雅黑" w:cs="微软雅黑"/>
          <w:b w:val="0"/>
          <w:color w:val="1F2937"/>
          <w:sz w:val="21"/>
        </w:rPr>
        <w:t>Agent 仅在结果有效且同键不存在启用长期规则时创建新的长期记忆；后续智眸订单自动命中。</w:t>
      </w:r>
    </w:p>
    <w:p w14:paraId="3296C3BC">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4. 功能需求</w:t>
      </w:r>
    </w:p>
    <w:p w14:paraId="166F106D">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4.1 T1 记忆匹配与智眸入库</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6272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4B7E7BF">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5286CC0">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495E04F">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验收要点</w:t>
            </w:r>
          </w:p>
        </w:tc>
      </w:tr>
      <w:tr w14:paraId="367F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F9DB71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FR-01</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57E0273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应接收客户名、识别字段、任务 ID 和可选元数据；客户名为空时</w:t>
            </w:r>
            <w:r>
              <w:rPr>
                <w:rFonts w:hint="eastAsia" w:ascii="微软雅黑" w:hAnsi="微软雅黑" w:eastAsia="微软雅黑" w:cs="微软雅黑"/>
                <w:b w:val="0"/>
                <w:color w:val="1F2937"/>
                <w:sz w:val="17"/>
                <w:lang w:val="en-US" w:eastAsia="zh-CN"/>
              </w:rPr>
              <w:t>数据不做任何修改</w:t>
            </w:r>
            <w:r>
              <w:rPr>
                <w:rFonts w:hint="eastAsia" w:ascii="微软雅黑" w:hAnsi="微软雅黑" w:eastAsia="微软雅黑" w:cs="微软雅黑"/>
                <w:b w:val="0"/>
                <w:color w:val="1F2937"/>
                <w:sz w:val="17"/>
              </w:rPr>
              <w:t>。</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411408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客户名为空时不应用记忆规则，所有字段保持智眸原值，并在响应或日志中明确标记未匹配原因。</w:t>
            </w:r>
          </w:p>
        </w:tc>
      </w:tr>
      <w:tr w14:paraId="0123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3592CD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FR-02</w:t>
            </w:r>
          </w:p>
        </w:tc>
        <w:tc>
          <w:tcPr>
            <w:tcW w:w="52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DB1A71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匹配键为标准化后的客户名、字段名和原始值；支持去空格、大小写、全半角及百分比/小数归一。</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CA7171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13%、0.13、全角百分号等可命中同一规则。</w:t>
            </w:r>
          </w:p>
        </w:tc>
      </w:tr>
      <w:tr w14:paraId="4AB5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7D38E1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FR-03</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26A6332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命中时替换字段值、标记来源并记录规则 ID；未命中保持智眸原值且同样写入 hit_log。</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50646C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返回 applied_memory，预订单可显示“由记忆自动修改”。</w:t>
            </w:r>
          </w:p>
        </w:tc>
      </w:tr>
      <w:tr w14:paraId="40D4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ABD07F4">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FR-04</w:t>
            </w:r>
          </w:p>
        </w:tc>
        <w:tc>
          <w:tcPr>
            <w:tcW w:w="52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4A6A5C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同键多条启用规则时，采用最近更新规则；单次规则按有效次数消费并自动停用。</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432E69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规则冲突、单次消费均有可追溯日志。</w:t>
            </w:r>
          </w:p>
        </w:tc>
      </w:tr>
      <w:tr w14:paraId="1B98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EA6DC8B">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FR-05</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591A8D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订单字段应按 canonical COSTING SHEET 补足；识别到的 description_list、qty_list、unit_price_list 转为结构化产品行。</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04D2D0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智眸未提供字段保留为空，产品描述内分号不被错误拆行。</w:t>
            </w:r>
          </w:p>
        </w:tc>
      </w:tr>
      <w:tr w14:paraId="60AD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ED006D7">
            <w:pPr>
              <w:spacing w:before="40" w:after="40"/>
              <w:jc w:val="center"/>
              <w:rPr>
                <w:rFonts w:hint="eastAsia" w:ascii="微软雅黑" w:hAnsi="微软雅黑" w:eastAsia="微软雅黑" w:cs="微软雅黑"/>
                <w:b w:val="0"/>
                <w:color w:val="1F2937"/>
                <w:sz w:val="17"/>
              </w:rPr>
            </w:pPr>
            <w:r>
              <w:rPr>
                <w:rFonts w:hint="eastAsia" w:ascii="微软雅黑" w:hAnsi="微软雅黑" w:eastAsia="微软雅黑" w:cs="微软雅黑"/>
              </w:rPr>
              <w:t>FR-0</w:t>
            </w:r>
            <w:r>
              <w:rPr>
                <w:rFonts w:hint="eastAsia" w:ascii="微软雅黑" w:hAnsi="微软雅黑" w:eastAsia="微软雅黑" w:cs="微软雅黑"/>
                <w:lang w:val="en-US" w:eastAsia="zh-CN"/>
              </w:rPr>
              <w:t>6</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AD2BEA6">
            <w:pPr>
              <w:spacing w:before="40" w:after="40"/>
              <w:jc w:val="left"/>
              <w:rPr>
                <w:rFonts w:hint="eastAsia" w:ascii="微软雅黑" w:hAnsi="微软雅黑" w:eastAsia="微软雅黑" w:cs="微软雅黑"/>
                <w:b w:val="0"/>
                <w:color w:val="1F2937"/>
                <w:sz w:val="17"/>
              </w:rPr>
            </w:pPr>
            <w:r>
              <w:rPr>
                <w:rFonts w:hint="eastAsia" w:ascii="微软雅黑" w:hAnsi="微软雅黑" w:eastAsia="微软雅黑" w:cs="微软雅黑"/>
              </w:rPr>
              <w:t>历史记忆初始化：项目上线前，应将 ePortal 提供的已确认历史订单和修正结果导入兑换记忆库。导入数据按客户、字段、原始值和最终值转换为 MemoryRule，并支持去重、预校验、批次回滚和幂等导入。</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2400FCFF">
            <w:pPr>
              <w:spacing w:before="40" w:after="40"/>
              <w:jc w:val="left"/>
              <w:rPr>
                <w:rFonts w:hint="eastAsia" w:ascii="微软雅黑" w:hAnsi="微软雅黑" w:eastAsia="微软雅黑" w:cs="微软雅黑"/>
                <w:b w:val="0"/>
                <w:color w:val="1F2937"/>
                <w:sz w:val="17"/>
              </w:rPr>
            </w:pPr>
            <w:r>
              <w:rPr>
                <w:rFonts w:hint="eastAsia" w:ascii="微软雅黑" w:hAnsi="微软雅黑" w:eastAsia="微软雅黑" w:cs="微软雅黑"/>
              </w:rPr>
              <w:t>上线即能命中已导入的历史样本；重复导入不产生重复规则；可输出导入成功、跳过和失败明细。</w:t>
            </w:r>
          </w:p>
        </w:tc>
      </w:tr>
    </w:tbl>
    <w:p w14:paraId="21E62172">
      <w:pPr>
        <w:widowControl/>
        <w:spacing w:after="40"/>
        <w:rPr>
          <w:rFonts w:hint="eastAsia" w:ascii="微软雅黑" w:hAnsi="微软雅黑" w:eastAsia="微软雅黑" w:cs="微软雅黑"/>
        </w:rPr>
      </w:pPr>
    </w:p>
    <w:p w14:paraId="12CC1920">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4.2 T2 人工修改</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0449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56465BF6">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C66B684">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3CF4F99">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验收要点</w:t>
            </w:r>
          </w:p>
        </w:tc>
      </w:tr>
      <w:tr w14:paraId="3F62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12E0690">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FR-06</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B067FD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T2 不显示独立业务员登录；仅接受 ePortal 签发的一次性 opaque ticket。</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261D3C0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ticket 已使用、过期或无效时返回 401。</w:t>
            </w:r>
          </w:p>
        </w:tc>
      </w:tr>
      <w:tr w14:paraId="477D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5A1C06CD">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FR-07</w:t>
            </w:r>
          </w:p>
        </w:tc>
        <w:tc>
          <w:tcPr>
            <w:tcW w:w="52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FB87B3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应把 ticket 换取结果保存在服务端短时编辑会话，浏览器仅使用 HttpOnly cookie。</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C174B4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URL 不含用户信息、订单内容或长期 token。</w:t>
            </w:r>
          </w:p>
        </w:tc>
      </w:tr>
      <w:tr w14:paraId="1C9B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B2C323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FR-08</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234ED97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T2 应按 ePortal schema 渲染文本、日期、布尔、下拉、只读字段、产品行和附件元数据。</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6FA392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计算字段不可编辑；必填附件不可删除。</w:t>
            </w:r>
          </w:p>
        </w:tc>
      </w:tr>
      <w:tr w14:paraId="0D2D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53A72E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FR-09</w:t>
            </w:r>
          </w:p>
        </w:tc>
        <w:tc>
          <w:tcPr>
            <w:tcW w:w="52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03AC55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每个已修改字段可选择长期、单次或不记忆；若修改来源于长期记忆，须选择覆盖原规则或仅本次。</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63B03FD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修改、规则选择和操作人均写入 history。</w:t>
            </w:r>
          </w:p>
        </w:tc>
      </w:tr>
      <w:tr w14:paraId="7215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FDC9DA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FR-10</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140EA6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保存必须携带 expected_version；ePortal 返回 409 时 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不覆盖，提示用户刷新后重新进入。</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43C0F0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版本冲突可审计，订单不产生错误覆盖。</w:t>
            </w:r>
          </w:p>
        </w:tc>
      </w:tr>
    </w:tbl>
    <w:p w14:paraId="781530CD">
      <w:pPr>
        <w:widowControl/>
        <w:spacing w:after="40"/>
        <w:rPr>
          <w:rFonts w:hint="eastAsia" w:ascii="微软雅黑" w:hAnsi="微软雅黑" w:eastAsia="微软雅黑" w:cs="微软雅黑"/>
        </w:rPr>
      </w:pPr>
    </w:p>
    <w:p w14:paraId="07D9D7B4">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4.3 错误说明与内部 Agent</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53C9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841A14A">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B187754">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CBCDA9A">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验收要点</w:t>
            </w:r>
          </w:p>
        </w:tc>
      </w:tr>
      <w:tr w14:paraId="1C6B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DC0EFB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FR-11</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BDA91E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T2 在每个发生人工修改的字段下提供“错误说明（供系统学习）”输入框，不向业务员返回 Agent 结论。</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3E14B54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空说明不创建案例；页面不展示 Agent 输出。</w:t>
            </w:r>
          </w:p>
        </w:tc>
      </w:tr>
      <w:tr w14:paraId="4C54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9304876">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FR-12</w:t>
            </w:r>
          </w:p>
        </w:tc>
        <w:tc>
          <w:tcPr>
            <w:tcW w:w="52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C760B7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仅 ePortal 回写成功后，对非空说明创建 CorrectionCase；案例保存原始值、记忆值、最终值、说明、操作人、订单和版本。</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28C92B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回写失败或 409 不创建案例。</w:t>
            </w:r>
          </w:p>
        </w:tc>
      </w:tr>
      <w:tr w14:paraId="6018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755ACA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FR-13</w:t>
            </w:r>
          </w:p>
        </w:tc>
        <w:tc>
          <w:tcPr>
            <w:tcW w:w="52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003BD5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Agent 调用企业内部大模型，响应必须包含 error_type、normalized_original_value、correct_value、rule_type、summary。</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F35AFE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无效 JSON、非 permanent 或正确值不一致均记为 failed。</w:t>
            </w:r>
          </w:p>
        </w:tc>
      </w:tr>
      <w:tr w14:paraId="7412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E5A5DD1">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FR-14</w:t>
            </w:r>
          </w:p>
        </w:tc>
        <w:tc>
          <w:tcPr>
            <w:tcW w:w="52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52A351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Agent 只能自动新增不存在同键长期规则，绝不覆盖已有长期规则。</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171DE8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冲突状态为 conflict，已有规则值不变。</w:t>
            </w:r>
          </w:p>
        </w:tc>
      </w:tr>
    </w:tbl>
    <w:p w14:paraId="507440FA">
      <w:pPr>
        <w:widowControl/>
        <w:spacing w:after="40"/>
        <w:rPr>
          <w:rFonts w:hint="eastAsia" w:ascii="微软雅黑" w:hAnsi="微软雅黑" w:eastAsia="微软雅黑" w:cs="微软雅黑"/>
        </w:rPr>
      </w:pPr>
    </w:p>
    <w:p w14:paraId="084989BA">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5. 外部接口需求</w:t>
      </w:r>
    </w:p>
    <w:p w14:paraId="370B7D8C">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5.1 智眸 → T</w:t>
      </w:r>
      <w:r>
        <w:rPr>
          <w:rFonts w:hint="eastAsia" w:ascii="微软雅黑" w:hAnsi="微软雅黑" w:eastAsia="微软雅黑" w:cs="微软雅黑"/>
          <w:lang w:val="en-US" w:eastAsia="zh-CN"/>
        </w:rPr>
        <w:t>系统</w:t>
      </w:r>
      <w:r>
        <w:rPr>
          <w:rFonts w:hint="eastAsia" w:ascii="微软雅黑" w:hAnsi="微软雅黑" w:eastAsia="微软雅黑" w:cs="微软雅黑"/>
        </w:rPr>
        <w:t>：识别数据接入</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6B18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AF4C10E">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项目</w:t>
            </w:r>
          </w:p>
        </w:tc>
        <w:tc>
          <w:tcPr>
            <w:tcW w:w="69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250CF4C">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定义</w:t>
            </w:r>
          </w:p>
        </w:tc>
      </w:tr>
      <w:tr w14:paraId="745B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43A2604">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接口名称</w:t>
            </w:r>
          </w:p>
        </w:tc>
        <w:tc>
          <w:tcPr>
            <w:tcW w:w="69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A4C889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接收智眸识别结果并创建预订单</w:t>
            </w:r>
          </w:p>
        </w:tc>
      </w:tr>
      <w:tr w14:paraId="0D54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6B6C55C">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方法与路径</w:t>
            </w:r>
          </w:p>
        </w:tc>
        <w:tc>
          <w:tcPr>
            <w:tcW w:w="69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41E2C7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POST /api/intake</w:t>
            </w:r>
          </w:p>
        </w:tc>
      </w:tr>
      <w:tr w14:paraId="66D6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98ED41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鉴权</w:t>
            </w:r>
          </w:p>
        </w:tc>
        <w:tc>
          <w:tcPr>
            <w:tcW w:w="69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592A665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测试环境：X-User-Token: tok-zhimou-001；正式环境应替换为专用服务凭证。</w:t>
            </w:r>
          </w:p>
        </w:tc>
      </w:tr>
      <w:tr w14:paraId="44AD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3979B1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Content-Type</w:t>
            </w:r>
          </w:p>
        </w:tc>
        <w:tc>
          <w:tcPr>
            <w:tcW w:w="69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56A1E7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application/json; charset=utf-8</w:t>
            </w:r>
          </w:p>
        </w:tc>
      </w:tr>
      <w:tr w14:paraId="1BF3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232A8BD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必填请求字段</w:t>
            </w:r>
          </w:p>
        </w:tc>
        <w:tc>
          <w:tcPr>
            <w:tcW w:w="69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91A017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customer_name；fields 可为空但建议携带已识别字段。</w:t>
            </w:r>
          </w:p>
        </w:tc>
      </w:tr>
      <w:tr w14:paraId="30DF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FFD064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可选请求字段</w:t>
            </w:r>
          </w:p>
        </w:tc>
        <w:tc>
          <w:tcPr>
            <w:tcW w:w="69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0E2C3C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task_id、meta。task_id 应由智眸提供并在正式环境作为幂等键使用。</w:t>
            </w:r>
          </w:p>
        </w:tc>
      </w:tr>
      <w:tr w14:paraId="4699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5BDDD876">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成功响应</w:t>
            </w:r>
          </w:p>
        </w:tc>
        <w:tc>
          <w:tcPr>
            <w:tcW w:w="69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412563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order_id、form_id、status、customer_name、applied_memory、last_error、message。</w:t>
            </w:r>
          </w:p>
        </w:tc>
      </w:tr>
    </w:tbl>
    <w:p w14:paraId="537AD081">
      <w:pPr>
        <w:widowControl/>
        <w:spacing w:after="40"/>
        <w:rPr>
          <w:rFonts w:hint="eastAsia" w:ascii="微软雅黑" w:hAnsi="微软雅黑" w:eastAsia="微软雅黑" w:cs="微软雅黑"/>
        </w:rPr>
      </w:pPr>
    </w:p>
    <w:p w14:paraId="404E9B4E">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5.2 智眸请求示例</w:t>
      </w:r>
    </w:p>
    <w:p w14:paraId="4CD07332">
      <w:pPr>
        <w:widowControl/>
        <w:rPr>
          <w:rFonts w:hint="eastAsia" w:ascii="微软雅黑" w:hAnsi="微软雅黑" w:eastAsia="微软雅黑" w:cs="微软雅黑"/>
        </w:rPr>
      </w:pPr>
      <w:r>
        <w:rPr>
          <w:rFonts w:hint="eastAsia" w:ascii="微软雅黑" w:hAnsi="微软雅黑" w:eastAsia="微软雅黑" w:cs="微软雅黑"/>
          <w:b w:val="0"/>
          <w:color w:val="1F2937"/>
          <w:sz w:val="21"/>
        </w:rPr>
        <w:t>字段映射说明：智眸请求应使用 ePortal 标准字段名，例如 Tax Structure、签约公司、Customer Payment Term。若智眸输出使用 tax_structure、signing_company 等内部字段名，应在智眸侧或 T 接口映射层转换后再提交。</w:t>
      </w:r>
    </w:p>
    <w:p w14:paraId="7CDD7D7E">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5.3 T</w:t>
      </w:r>
      <w:r>
        <w:rPr>
          <w:rFonts w:hint="eastAsia" w:ascii="微软雅黑" w:hAnsi="微软雅黑" w:eastAsia="微软雅黑" w:cs="微软雅黑"/>
          <w:lang w:val="en-US" w:eastAsia="zh-CN"/>
        </w:rPr>
        <w:t>系统</w:t>
      </w:r>
      <w:r>
        <w:rPr>
          <w:rFonts w:hint="eastAsia" w:ascii="微软雅黑" w:hAnsi="微软雅黑" w:eastAsia="微软雅黑" w:cs="微软雅黑"/>
        </w:rPr>
        <w:t xml:space="preserve"> → ePortal 内部接口</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700"/>
        <w:gridCol w:w="2450"/>
        <w:gridCol w:w="2410"/>
      </w:tblGrid>
      <w:tr w14:paraId="0AE2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27E567F">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接口</w:t>
            </w:r>
          </w:p>
        </w:tc>
        <w:tc>
          <w:tcPr>
            <w:tcW w:w="27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1639ED9">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方法</w:t>
            </w:r>
          </w:p>
        </w:tc>
        <w:tc>
          <w:tcPr>
            <w:tcW w:w="24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F4C804B">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T</w:t>
            </w:r>
            <w:r>
              <w:rPr>
                <w:rFonts w:hint="eastAsia" w:ascii="微软雅黑" w:hAnsi="微软雅黑" w:eastAsia="微软雅黑" w:cs="微软雅黑"/>
                <w:b/>
                <w:color w:val="FFFFFF"/>
                <w:sz w:val="17"/>
                <w:lang w:val="en-US" w:eastAsia="zh-CN"/>
              </w:rPr>
              <w:t>系统</w:t>
            </w:r>
            <w:r>
              <w:rPr>
                <w:rFonts w:hint="eastAsia" w:ascii="微软雅黑" w:hAnsi="微软雅黑" w:eastAsia="微软雅黑" w:cs="微软雅黑"/>
                <w:b/>
                <w:color w:val="FFFFFF"/>
                <w:sz w:val="17"/>
              </w:rPr>
              <w:t>的用途</w:t>
            </w:r>
          </w:p>
        </w:tc>
        <w:tc>
          <w:tcPr>
            <w:tcW w:w="241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C9202E0">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关键约束</w:t>
            </w:r>
          </w:p>
        </w:tc>
      </w:tr>
      <w:tr w14:paraId="5F5D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BBDA1E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ticket exchange</w:t>
            </w:r>
          </w:p>
        </w:tc>
        <w:tc>
          <w:tcPr>
            <w:tcW w:w="27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2AEEEB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POST /internal/t-system/tickets/exchange</w:t>
            </w:r>
          </w:p>
        </w:tc>
        <w:tc>
          <w:tcPr>
            <w:tcW w:w="24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D2C077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换取操作人、订单 ID、版本</w:t>
            </w:r>
          </w:p>
        </w:tc>
        <w:tc>
          <w:tcPr>
            <w:tcW w:w="241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5FE2990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ticket 一次性，2-5 分钟失效；使用 T 服务端凭证。</w:t>
            </w:r>
          </w:p>
        </w:tc>
      </w:tr>
      <w:tr w14:paraId="29F2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3634670">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order detail</w:t>
            </w:r>
          </w:p>
        </w:tc>
        <w:tc>
          <w:tcPr>
            <w:tcW w:w="27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37065D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GET /internal/t-system/orders/{order_id}</w:t>
            </w:r>
          </w:p>
        </w:tc>
        <w:tc>
          <w:tcPr>
            <w:tcW w:w="24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EEEB22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加载可编辑订单 schema、产品行和附件</w:t>
            </w:r>
          </w:p>
        </w:tc>
        <w:tc>
          <w:tcPr>
            <w:tcW w:w="241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78ACE6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需校验操作人对订单的访问权限。</w:t>
            </w:r>
          </w:p>
        </w:tc>
      </w:tr>
      <w:tr w14:paraId="17CA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8C8F83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order update</w:t>
            </w:r>
          </w:p>
        </w:tc>
        <w:tc>
          <w:tcPr>
            <w:tcW w:w="27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3D5945B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PATCH /internal/t-system/orders/{order_id}</w:t>
            </w:r>
          </w:p>
        </w:tc>
        <w:tc>
          <w:tcPr>
            <w:tcW w:w="24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5D6EC41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回写字段、产品行、附件和 expected_version</w:t>
            </w:r>
          </w:p>
        </w:tc>
        <w:tc>
          <w:tcPr>
            <w:tcW w:w="241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7F2CB3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409 表示版本冲突；ePortal 负责计算字段和业务校验。</w:t>
            </w:r>
          </w:p>
        </w:tc>
      </w:tr>
      <w:tr w14:paraId="0A9D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587DE9E">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order create</w:t>
            </w:r>
          </w:p>
        </w:tc>
        <w:tc>
          <w:tcPr>
            <w:tcW w:w="27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226000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POST &lt;create_path&gt;</w:t>
            </w:r>
          </w:p>
        </w:tc>
        <w:tc>
          <w:tcPr>
            <w:tcW w:w="24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B0547D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接收智眸匹配后的预订单数据</w:t>
            </w:r>
          </w:p>
        </w:tc>
        <w:tc>
          <w:tcPr>
            <w:tcW w:w="241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95F01C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真实报文须包含字段、自动修改归因和产品行。</w:t>
            </w:r>
          </w:p>
        </w:tc>
      </w:tr>
    </w:tbl>
    <w:p w14:paraId="666E2A51">
      <w:pPr>
        <w:widowControl/>
        <w:spacing w:after="40"/>
        <w:rPr>
          <w:rFonts w:hint="eastAsia" w:ascii="微软雅黑" w:hAnsi="微软雅黑" w:eastAsia="微软雅黑" w:cs="微软雅黑"/>
        </w:rPr>
      </w:pPr>
    </w:p>
    <w:p w14:paraId="466EA874">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6. 数据与记忆规则要求</w:t>
      </w:r>
    </w:p>
    <w:p w14:paraId="47F90B90">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6.1 核心数据对象</w:t>
      </w:r>
    </w:p>
    <w:p w14:paraId="74BF476C">
      <w:pPr>
        <w:pStyle w:val="5"/>
        <w:keepNext/>
        <w:rPr>
          <w:rFonts w:hint="eastAsia" w:ascii="微软雅黑" w:hAnsi="微软雅黑" w:eastAsia="微软雅黑" w:cs="微软雅黑"/>
        </w:rPr>
      </w:pPr>
      <w:r>
        <w:rPr>
          <w:rFonts w:hint="eastAsia" w:ascii="微软雅黑" w:hAnsi="微软雅黑" w:eastAsia="微软雅黑" w:cs="微软雅黑"/>
        </w:rPr>
        <w:t>历史数据初始化（避免冷启动）</w:t>
      </w:r>
    </w:p>
    <w:p w14:paraId="79A7973B">
      <w:pPr>
        <w:rPr>
          <w:rFonts w:hint="eastAsia" w:ascii="微软雅黑" w:hAnsi="微软雅黑" w:eastAsia="微软雅黑" w:cs="微软雅黑"/>
        </w:rPr>
      </w:pPr>
      <w:r>
        <w:rPr>
          <w:rFonts w:hint="eastAsia" w:ascii="微软雅黑" w:hAnsi="微软雅黑" w:eastAsia="微软雅黑" w:cs="微软雅黑"/>
        </w:rPr>
        <w:t>项目上线前，T 系统应接收 ePortal 提供的已确认历史订单及其人工修正结果，将其标准化、去重、校验后导入兑换记忆库，形成可启用的长期记忆规则。</w:t>
      </w:r>
    </w:p>
    <w:p w14:paraId="64885464">
      <w:pPr>
        <w:rPr>
          <w:rFonts w:hint="eastAsia" w:ascii="微软雅黑" w:hAnsi="微软雅黑" w:eastAsia="微软雅黑" w:cs="微软雅黑"/>
        </w:rPr>
      </w:pPr>
      <w:r>
        <w:rPr>
          <w:rFonts w:hint="eastAsia" w:ascii="微软雅黑" w:hAnsi="微软雅黑" w:eastAsia="微软雅黑" w:cs="微软雅黑"/>
        </w:rPr>
        <w:t>系统须支持历史数据导入预校验、导入结果报告、按批次回滚和重复导入幂等控制；不可直接把未经确认的历史数据作为自动兑换规则。</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650"/>
        <w:gridCol w:w="2610"/>
      </w:tblGrid>
      <w:tr w14:paraId="1EF0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49DAA14">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对象</w:t>
            </w:r>
          </w:p>
        </w:tc>
        <w:tc>
          <w:tcPr>
            <w:tcW w:w="46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442D276">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关键内容</w:t>
            </w:r>
          </w:p>
        </w:tc>
        <w:tc>
          <w:tcPr>
            <w:tcW w:w="261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1FB3255">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用途</w:t>
            </w:r>
          </w:p>
        </w:tc>
      </w:tr>
      <w:tr w14:paraId="23F6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D13EC2B">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MemoryRule</w:t>
            </w:r>
          </w:p>
        </w:tc>
        <w:tc>
          <w:tcPr>
            <w:tcW w:w="46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5DDE7E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customer_name、field_name、old_value、new_value、rule_type、status、命中次数</w:t>
            </w:r>
          </w:p>
        </w:tc>
        <w:tc>
          <w:tcPr>
            <w:tcW w:w="261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2E1AF802">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兑换记忆匹配。</w:t>
            </w:r>
          </w:p>
        </w:tc>
      </w:tr>
      <w:tr w14:paraId="21FF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A883A36">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HitLog</w:t>
            </w:r>
          </w:p>
        </w:tc>
        <w:tc>
          <w:tcPr>
            <w:tcW w:w="46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6EBE194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规则、订单、字段、修改前后值、命中时间</w:t>
            </w:r>
          </w:p>
        </w:tc>
        <w:tc>
          <w:tcPr>
            <w:tcW w:w="261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27BD5D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记录命中与未命中查询。</w:t>
            </w:r>
          </w:p>
        </w:tc>
      </w:tr>
      <w:tr w14:paraId="3A66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C36398A">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History</w:t>
            </w:r>
          </w:p>
        </w:tc>
        <w:tc>
          <w:tcPr>
            <w:tcW w:w="465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59FB422">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操作人、操作类型、订单、字段、前后值、规则、备注</w:t>
            </w:r>
          </w:p>
        </w:tc>
        <w:tc>
          <w:tcPr>
            <w:tcW w:w="261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39DA9A5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全链路追溯。</w:t>
            </w:r>
          </w:p>
        </w:tc>
      </w:tr>
      <w:tr w14:paraId="65E8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5B5E7CEB">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CorrectionCase</w:t>
            </w:r>
          </w:p>
        </w:tc>
        <w:tc>
          <w:tcPr>
            <w:tcW w:w="465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52C6409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错误说明、原始/最终值、Agent 结果、处理状态、规则 ID</w:t>
            </w:r>
          </w:p>
        </w:tc>
        <w:tc>
          <w:tcPr>
            <w:tcW w:w="261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CFDD2F4">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内部 Agent 学习与异常处理。</w:t>
            </w:r>
          </w:p>
        </w:tc>
      </w:tr>
    </w:tbl>
    <w:p w14:paraId="224F193A">
      <w:pPr>
        <w:widowControl/>
        <w:spacing w:after="40"/>
        <w:rPr>
          <w:rFonts w:hint="eastAsia" w:ascii="微软雅黑" w:hAnsi="微软雅黑" w:eastAsia="微软雅黑" w:cs="微软雅黑"/>
        </w:rPr>
      </w:pPr>
    </w:p>
    <w:p w14:paraId="4375F405">
      <w:pPr>
        <w:pStyle w:val="4"/>
        <w:keepNext/>
        <w:widowControl/>
        <w:ind w:left="28"/>
        <w:rPr>
          <w:rFonts w:hint="eastAsia" w:ascii="微软雅黑" w:hAnsi="微软雅黑" w:eastAsia="微软雅黑" w:cs="微软雅黑"/>
        </w:rPr>
      </w:pPr>
      <w:r>
        <w:rPr>
          <w:rFonts w:hint="eastAsia" w:ascii="微软雅黑" w:hAnsi="微软雅黑" w:eastAsia="微软雅黑" w:cs="微软雅黑"/>
        </w:rPr>
        <w:t>6.2 标准订单字段</w:t>
      </w:r>
    </w:p>
    <w:p w14:paraId="0C233017">
      <w:pPr>
        <w:keepNext/>
        <w:widowControl/>
        <w:spacing w:after="80"/>
        <w:rPr>
          <w:rFonts w:hint="eastAsia" w:ascii="微软雅黑" w:hAnsi="微软雅黑" w:eastAsia="微软雅黑" w:cs="微软雅黑"/>
        </w:rPr>
      </w:pPr>
      <w:r>
        <w:t>根据智眸</w:t>
      </w:r>
      <w:r>
        <w:rPr>
          <w:rFonts w:hint="eastAsia"/>
          <w:lang w:val="en-US" w:eastAsia="zh-CN"/>
        </w:rPr>
        <w:t>流转数据</w:t>
      </w:r>
      <w:bookmarkStart w:id="0" w:name="_GoBack"/>
      <w:bookmarkEnd w:id="0"/>
      <w:r>
        <w:t>，当前请求包含 43 个订单级字段和 21 个产品行字段。下表中的“可转换”指 T 系统可执行字段映射、格式标准化或记忆规则替换；标识、账号、日期以及金额/GP 等计算字段仅传输或校验，不做记忆改写。</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0"/>
        <w:gridCol w:w="3000"/>
        <w:gridCol w:w="800"/>
        <w:gridCol w:w="850"/>
        <w:gridCol w:w="3460"/>
      </w:tblGrid>
      <w:tr w14:paraId="48FA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dxa"/>
            <w:tcMar>
              <w:top w:w="80" w:type="dxa"/>
              <w:left w:w="120" w:type="dxa"/>
              <w:bottom w:w="80" w:type="dxa"/>
              <w:right w:w="120" w:type="dxa"/>
            </w:tcMar>
            <w:vAlign w:val="center"/>
          </w:tcPr>
          <w:p w14:paraId="4F10FE10">
            <w:pPr>
              <w:keepNext/>
              <w:spacing w:before="40" w:after="40"/>
              <w:jc w:val="center"/>
            </w:pPr>
            <w:r>
              <w:rPr>
                <w:rFonts w:ascii="微软雅黑" w:hAnsi="微软雅黑" w:eastAsia="微软雅黑"/>
                <w:b/>
                <w:sz w:val="17"/>
              </w:rPr>
              <w:t>字段类别</w:t>
            </w:r>
          </w:p>
        </w:tc>
        <w:tc>
          <w:tcPr>
            <w:tcW w:w="3000" w:type="dxa"/>
            <w:tcMar>
              <w:top w:w="80" w:type="dxa"/>
              <w:left w:w="120" w:type="dxa"/>
              <w:bottom w:w="80" w:type="dxa"/>
              <w:right w:w="120" w:type="dxa"/>
            </w:tcMar>
            <w:vAlign w:val="center"/>
          </w:tcPr>
          <w:p w14:paraId="6D6F8AC2">
            <w:pPr>
              <w:keepNext/>
              <w:spacing w:before="40" w:after="40"/>
              <w:jc w:val="center"/>
            </w:pPr>
            <w:r>
              <w:rPr>
                <w:rFonts w:ascii="微软雅黑" w:hAnsi="微软雅黑" w:eastAsia="微软雅黑"/>
                <w:b/>
                <w:sz w:val="17"/>
              </w:rPr>
              <w:t>智眸字段（日志实际）</w:t>
            </w:r>
          </w:p>
        </w:tc>
        <w:tc>
          <w:tcPr>
            <w:tcW w:w="800" w:type="dxa"/>
            <w:tcMar>
              <w:top w:w="80" w:type="dxa"/>
              <w:left w:w="120" w:type="dxa"/>
              <w:bottom w:w="80" w:type="dxa"/>
              <w:right w:w="120" w:type="dxa"/>
            </w:tcMar>
            <w:vAlign w:val="center"/>
          </w:tcPr>
          <w:p w14:paraId="0FC077A0">
            <w:pPr>
              <w:keepNext/>
              <w:spacing w:before="40" w:after="40"/>
              <w:jc w:val="center"/>
            </w:pPr>
            <w:r>
              <w:rPr>
                <w:rFonts w:ascii="微软雅黑" w:hAnsi="微软雅黑" w:eastAsia="微软雅黑"/>
                <w:b/>
                <w:sz w:val="17"/>
              </w:rPr>
              <w:t>可传输</w:t>
            </w:r>
          </w:p>
        </w:tc>
        <w:tc>
          <w:tcPr>
            <w:tcW w:w="850" w:type="dxa"/>
            <w:tcMar>
              <w:top w:w="80" w:type="dxa"/>
              <w:left w:w="120" w:type="dxa"/>
              <w:bottom w:w="80" w:type="dxa"/>
              <w:right w:w="120" w:type="dxa"/>
            </w:tcMar>
            <w:vAlign w:val="center"/>
          </w:tcPr>
          <w:p w14:paraId="3972DD8C">
            <w:pPr>
              <w:keepNext/>
              <w:spacing w:before="40" w:after="40"/>
              <w:jc w:val="center"/>
            </w:pPr>
            <w:r>
              <w:rPr>
                <w:rFonts w:ascii="微软雅黑" w:hAnsi="微软雅黑" w:eastAsia="微软雅黑"/>
                <w:b/>
                <w:sz w:val="17"/>
              </w:rPr>
              <w:t>可转换</w:t>
            </w:r>
          </w:p>
        </w:tc>
        <w:tc>
          <w:tcPr>
            <w:tcW w:w="3460" w:type="dxa"/>
            <w:tcMar>
              <w:top w:w="80" w:type="dxa"/>
              <w:left w:w="120" w:type="dxa"/>
              <w:bottom w:w="80" w:type="dxa"/>
              <w:right w:w="120" w:type="dxa"/>
            </w:tcMar>
            <w:vAlign w:val="center"/>
          </w:tcPr>
          <w:p w14:paraId="684BBA5C">
            <w:pPr>
              <w:keepNext/>
              <w:spacing w:before="40" w:after="40"/>
              <w:jc w:val="center"/>
            </w:pPr>
            <w:r>
              <w:rPr>
                <w:rFonts w:ascii="微软雅黑" w:hAnsi="微软雅黑" w:eastAsia="微软雅黑"/>
                <w:b/>
                <w:sz w:val="17"/>
              </w:rPr>
              <w:t>处理说明</w:t>
            </w:r>
          </w:p>
        </w:tc>
      </w:tr>
      <w:tr w14:paraId="435C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008E0547">
            <w:pPr>
              <w:spacing w:before="40" w:after="40"/>
              <w:jc w:val="center"/>
            </w:pPr>
            <w:r>
              <w:rPr>
                <w:rFonts w:ascii="微软雅黑" w:hAnsi="微软雅黑" w:eastAsia="微软雅黑"/>
                <w:b w:val="0"/>
                <w:sz w:val="17"/>
              </w:rPr>
              <w:t>订单/单据标识</w:t>
            </w:r>
          </w:p>
        </w:tc>
        <w:tc>
          <w:tcPr>
            <w:tcW w:w="3000" w:type="dxa"/>
            <w:tcMar>
              <w:top w:w="80" w:type="dxa"/>
              <w:left w:w="120" w:type="dxa"/>
              <w:bottom w:w="80" w:type="dxa"/>
              <w:right w:w="120" w:type="dxa"/>
            </w:tcMar>
            <w:vAlign w:val="center"/>
          </w:tcPr>
          <w:p w14:paraId="6BE96F2D">
            <w:pPr>
              <w:spacing w:before="40" w:after="40"/>
              <w:jc w:val="left"/>
            </w:pPr>
            <w:r>
              <w:rPr>
                <w:rFonts w:ascii="微软雅黑" w:hAnsi="微软雅黑" w:eastAsia="微软雅黑"/>
                <w:b w:val="0"/>
                <w:sz w:val="17"/>
              </w:rPr>
              <w:t>so、so1、sf_no、quotation_ref</w:t>
            </w:r>
          </w:p>
        </w:tc>
        <w:tc>
          <w:tcPr>
            <w:tcW w:w="800" w:type="dxa"/>
            <w:tcMar>
              <w:top w:w="80" w:type="dxa"/>
              <w:left w:w="120" w:type="dxa"/>
              <w:bottom w:w="80" w:type="dxa"/>
              <w:right w:w="120" w:type="dxa"/>
            </w:tcMar>
            <w:vAlign w:val="center"/>
          </w:tcPr>
          <w:p w14:paraId="0F1C5B2F">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1ADBB460">
            <w:pPr>
              <w:spacing w:before="40" w:after="40"/>
              <w:jc w:val="center"/>
            </w:pPr>
            <w:r>
              <w:rPr>
                <w:rFonts w:ascii="微软雅黑" w:hAnsi="微软雅黑" w:eastAsia="微软雅黑"/>
                <w:b w:val="0"/>
                <w:sz w:val="17"/>
              </w:rPr>
              <w:t>部分</w:t>
            </w:r>
          </w:p>
        </w:tc>
        <w:tc>
          <w:tcPr>
            <w:tcW w:w="3460" w:type="dxa"/>
            <w:tcMar>
              <w:top w:w="80" w:type="dxa"/>
              <w:left w:w="120" w:type="dxa"/>
              <w:bottom w:w="80" w:type="dxa"/>
              <w:right w:w="120" w:type="dxa"/>
            </w:tcMar>
            <w:vAlign w:val="center"/>
          </w:tcPr>
          <w:p w14:paraId="2C3BEA66">
            <w:pPr>
              <w:spacing w:before="40" w:after="40"/>
              <w:jc w:val="left"/>
            </w:pPr>
            <w:r>
              <w:rPr>
                <w:rFonts w:ascii="微软雅黑" w:hAnsi="微软雅黑" w:eastAsia="微软雅黑"/>
                <w:b w:val="0"/>
                <w:sz w:val="17"/>
              </w:rPr>
              <w:t>quotation_ref 可映射为 Quotation Ref / PO No 并参与标准化；so、so1、sf_no 作为业务标识原样传递，不做记忆替换。</w:t>
            </w:r>
          </w:p>
        </w:tc>
      </w:tr>
      <w:tr w14:paraId="04AC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7FA2E9D4">
            <w:pPr>
              <w:spacing w:before="40" w:after="40"/>
              <w:jc w:val="center"/>
            </w:pPr>
            <w:r>
              <w:rPr>
                <w:rFonts w:ascii="微软雅黑" w:hAnsi="微软雅黑" w:eastAsia="微软雅黑"/>
                <w:b w:val="0"/>
                <w:sz w:val="17"/>
              </w:rPr>
              <w:t>流程与状态</w:t>
            </w:r>
          </w:p>
        </w:tc>
        <w:tc>
          <w:tcPr>
            <w:tcW w:w="3000" w:type="dxa"/>
            <w:tcMar>
              <w:top w:w="80" w:type="dxa"/>
              <w:left w:w="120" w:type="dxa"/>
              <w:bottom w:w="80" w:type="dxa"/>
              <w:right w:w="120" w:type="dxa"/>
            </w:tcMar>
            <w:vAlign w:val="center"/>
          </w:tcPr>
          <w:p w14:paraId="033A698E">
            <w:pPr>
              <w:spacing w:before="40" w:after="40"/>
              <w:jc w:val="left"/>
            </w:pPr>
            <w:r>
              <w:rPr>
                <w:rFonts w:ascii="微软雅黑" w:hAnsi="微软雅黑" w:eastAsia="微软雅黑"/>
                <w:b w:val="0"/>
                <w:sz w:val="17"/>
              </w:rPr>
              <w:t>date、prior、stage、original</w:t>
            </w:r>
          </w:p>
        </w:tc>
        <w:tc>
          <w:tcPr>
            <w:tcW w:w="800" w:type="dxa"/>
            <w:tcMar>
              <w:top w:w="80" w:type="dxa"/>
              <w:left w:w="120" w:type="dxa"/>
              <w:bottom w:w="80" w:type="dxa"/>
              <w:right w:w="120" w:type="dxa"/>
            </w:tcMar>
            <w:vAlign w:val="center"/>
          </w:tcPr>
          <w:p w14:paraId="66145C01">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595DBE01">
            <w:pPr>
              <w:spacing w:before="40" w:after="40"/>
              <w:jc w:val="center"/>
            </w:pPr>
            <w:r>
              <w:rPr>
                <w:rFonts w:ascii="微软雅黑" w:hAnsi="微软雅黑" w:eastAsia="微软雅黑"/>
                <w:b w:val="0"/>
                <w:sz w:val="17"/>
              </w:rPr>
              <w:t>否</w:t>
            </w:r>
          </w:p>
        </w:tc>
        <w:tc>
          <w:tcPr>
            <w:tcW w:w="3460" w:type="dxa"/>
            <w:tcMar>
              <w:top w:w="80" w:type="dxa"/>
              <w:left w:w="120" w:type="dxa"/>
              <w:bottom w:w="80" w:type="dxa"/>
              <w:right w:w="120" w:type="dxa"/>
            </w:tcMar>
            <w:vAlign w:val="center"/>
          </w:tcPr>
          <w:p w14:paraId="1BCF9E5A">
            <w:pPr>
              <w:spacing w:before="40" w:after="40"/>
              <w:jc w:val="left"/>
            </w:pPr>
            <w:r>
              <w:rPr>
                <w:rFonts w:ascii="微软雅黑" w:hAnsi="微软雅黑" w:eastAsia="微软雅黑"/>
                <w:b w:val="0"/>
                <w:sz w:val="17"/>
              </w:rPr>
              <w:t>日期、优先标志、阶段和原始单标志属于流程控制字段，按接口约定校验格式后原样传递。</w:t>
            </w:r>
          </w:p>
        </w:tc>
      </w:tr>
      <w:tr w14:paraId="5B7F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1C6D132A">
            <w:pPr>
              <w:spacing w:before="40" w:after="40"/>
              <w:jc w:val="center"/>
            </w:pPr>
            <w:r>
              <w:rPr>
                <w:rFonts w:ascii="微软雅黑" w:hAnsi="微软雅黑" w:eastAsia="微软雅黑"/>
                <w:b w:val="0"/>
                <w:sz w:val="17"/>
              </w:rPr>
              <w:t>区域与条款</w:t>
            </w:r>
          </w:p>
        </w:tc>
        <w:tc>
          <w:tcPr>
            <w:tcW w:w="3000" w:type="dxa"/>
            <w:tcMar>
              <w:top w:w="80" w:type="dxa"/>
              <w:left w:w="120" w:type="dxa"/>
              <w:bottom w:w="80" w:type="dxa"/>
              <w:right w:w="120" w:type="dxa"/>
            </w:tcMar>
            <w:vAlign w:val="center"/>
          </w:tcPr>
          <w:p w14:paraId="3ACB6F7C">
            <w:pPr>
              <w:spacing w:before="40" w:after="40"/>
              <w:jc w:val="left"/>
            </w:pPr>
            <w:r>
              <w:rPr>
                <w:rFonts w:ascii="微软雅黑" w:hAnsi="微软雅黑" w:eastAsia="微软雅黑"/>
                <w:b w:val="0"/>
                <w:sz w:val="17"/>
              </w:rPr>
              <w:t>term、location</w:t>
            </w:r>
          </w:p>
        </w:tc>
        <w:tc>
          <w:tcPr>
            <w:tcW w:w="800" w:type="dxa"/>
            <w:tcMar>
              <w:top w:w="80" w:type="dxa"/>
              <w:left w:w="120" w:type="dxa"/>
              <w:bottom w:w="80" w:type="dxa"/>
              <w:right w:w="120" w:type="dxa"/>
            </w:tcMar>
            <w:vAlign w:val="center"/>
          </w:tcPr>
          <w:p w14:paraId="083E5BAF">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2A812642">
            <w:pPr>
              <w:spacing w:before="40" w:after="40"/>
              <w:jc w:val="center"/>
            </w:pPr>
            <w:r>
              <w:rPr>
                <w:rFonts w:ascii="微软雅黑" w:hAnsi="微软雅黑" w:eastAsia="微软雅黑"/>
                <w:b w:val="0"/>
                <w:sz w:val="17"/>
              </w:rPr>
              <w:t>是</w:t>
            </w:r>
          </w:p>
        </w:tc>
        <w:tc>
          <w:tcPr>
            <w:tcW w:w="3460" w:type="dxa"/>
            <w:tcMar>
              <w:top w:w="80" w:type="dxa"/>
              <w:left w:w="120" w:type="dxa"/>
              <w:bottom w:w="80" w:type="dxa"/>
              <w:right w:w="120" w:type="dxa"/>
            </w:tcMar>
            <w:vAlign w:val="center"/>
          </w:tcPr>
          <w:p w14:paraId="41DE07F8">
            <w:pPr>
              <w:spacing w:before="40" w:after="40"/>
              <w:jc w:val="left"/>
            </w:pPr>
            <w:r>
              <w:rPr>
                <w:rFonts w:ascii="微软雅黑" w:hAnsi="微软雅黑" w:eastAsia="微软雅黑"/>
                <w:b w:val="0"/>
                <w:sz w:val="17"/>
              </w:rPr>
              <w:t>可做枚举映射、大小写和空格标准化；确认稳定映射后可配置记忆规则。</w:t>
            </w:r>
          </w:p>
        </w:tc>
      </w:tr>
      <w:tr w14:paraId="7646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6031A594">
            <w:pPr>
              <w:spacing w:before="40" w:after="40"/>
              <w:jc w:val="center"/>
            </w:pPr>
            <w:r>
              <w:rPr>
                <w:rFonts w:ascii="微软雅黑" w:hAnsi="微软雅黑" w:eastAsia="微软雅黑"/>
                <w:b w:val="0"/>
                <w:sz w:val="17"/>
              </w:rPr>
              <w:t>人员姓名</w:t>
            </w:r>
          </w:p>
        </w:tc>
        <w:tc>
          <w:tcPr>
            <w:tcW w:w="3000" w:type="dxa"/>
            <w:tcMar>
              <w:top w:w="80" w:type="dxa"/>
              <w:left w:w="120" w:type="dxa"/>
              <w:bottom w:w="80" w:type="dxa"/>
              <w:right w:w="120" w:type="dxa"/>
            </w:tcMar>
            <w:vAlign w:val="center"/>
          </w:tcPr>
          <w:p w14:paraId="3FDF2B88">
            <w:pPr>
              <w:spacing w:before="40" w:after="40"/>
              <w:jc w:val="left"/>
            </w:pPr>
            <w:r>
              <w:rPr>
                <w:rFonts w:ascii="微软雅黑" w:hAnsi="微软雅黑" w:eastAsia="微软雅黑"/>
                <w:b w:val="0"/>
                <w:sz w:val="17"/>
              </w:rPr>
              <w:t>buyer、buyer_boss、ratifier、salesman、sales_person、applicant、presales</w:t>
            </w:r>
          </w:p>
        </w:tc>
        <w:tc>
          <w:tcPr>
            <w:tcW w:w="800" w:type="dxa"/>
            <w:tcMar>
              <w:top w:w="80" w:type="dxa"/>
              <w:left w:w="120" w:type="dxa"/>
              <w:bottom w:w="80" w:type="dxa"/>
              <w:right w:w="120" w:type="dxa"/>
            </w:tcMar>
            <w:vAlign w:val="center"/>
          </w:tcPr>
          <w:p w14:paraId="796C3B64">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278DBC81">
            <w:pPr>
              <w:spacing w:before="40" w:after="40"/>
              <w:jc w:val="center"/>
            </w:pPr>
            <w:r>
              <w:rPr>
                <w:rFonts w:ascii="微软雅黑" w:hAnsi="微软雅黑" w:eastAsia="微软雅黑"/>
                <w:b w:val="0"/>
                <w:sz w:val="17"/>
              </w:rPr>
              <w:t>是</w:t>
            </w:r>
          </w:p>
        </w:tc>
        <w:tc>
          <w:tcPr>
            <w:tcW w:w="3460" w:type="dxa"/>
            <w:tcMar>
              <w:top w:w="80" w:type="dxa"/>
              <w:left w:w="120" w:type="dxa"/>
              <w:bottom w:w="80" w:type="dxa"/>
              <w:right w:w="120" w:type="dxa"/>
            </w:tcMar>
            <w:vAlign w:val="center"/>
          </w:tcPr>
          <w:p w14:paraId="2AC5C648">
            <w:pPr>
              <w:spacing w:before="40" w:after="40"/>
              <w:jc w:val="left"/>
            </w:pPr>
            <w:r>
              <w:rPr>
                <w:rFonts w:ascii="微软雅黑" w:hAnsi="微软雅黑" w:eastAsia="微软雅黑"/>
                <w:b w:val="0"/>
                <w:sz w:val="17"/>
              </w:rPr>
              <w:t>可统一姓名写法或映射标准人员名称；人员身份和权限仍由 ePortal 校验。</w:t>
            </w:r>
          </w:p>
        </w:tc>
      </w:tr>
      <w:tr w14:paraId="7DFC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4913E509">
            <w:pPr>
              <w:spacing w:before="40" w:after="40"/>
              <w:jc w:val="center"/>
            </w:pPr>
            <w:r>
              <w:rPr>
                <w:rFonts w:ascii="微软雅黑" w:hAnsi="微软雅黑" w:eastAsia="微软雅黑"/>
                <w:b w:val="0"/>
                <w:sz w:val="17"/>
              </w:rPr>
              <w:t>人员账号与联系方式</w:t>
            </w:r>
          </w:p>
        </w:tc>
        <w:tc>
          <w:tcPr>
            <w:tcW w:w="3000" w:type="dxa"/>
            <w:tcMar>
              <w:top w:w="80" w:type="dxa"/>
              <w:left w:w="120" w:type="dxa"/>
              <w:bottom w:w="80" w:type="dxa"/>
              <w:right w:w="120" w:type="dxa"/>
            </w:tcMar>
            <w:vAlign w:val="center"/>
          </w:tcPr>
          <w:p w14:paraId="71B8FE1A">
            <w:pPr>
              <w:spacing w:before="40" w:after="40"/>
              <w:jc w:val="left"/>
            </w:pPr>
            <w:r>
              <w:rPr>
                <w:rFonts w:ascii="微软雅黑" w:hAnsi="微软雅黑" w:eastAsia="微软雅黑"/>
                <w:b w:val="0"/>
                <w:sz w:val="17"/>
              </w:rPr>
              <w:t>user_name、buyer_mail、buyer_boss_mail、ratifier_mail、applicant_mail、applicant_id</w:t>
            </w:r>
          </w:p>
        </w:tc>
        <w:tc>
          <w:tcPr>
            <w:tcW w:w="800" w:type="dxa"/>
            <w:tcMar>
              <w:top w:w="80" w:type="dxa"/>
              <w:left w:w="120" w:type="dxa"/>
              <w:bottom w:w="80" w:type="dxa"/>
              <w:right w:w="120" w:type="dxa"/>
            </w:tcMar>
            <w:vAlign w:val="center"/>
          </w:tcPr>
          <w:p w14:paraId="04CD8760">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4DA76D3F">
            <w:pPr>
              <w:spacing w:before="40" w:after="40"/>
              <w:jc w:val="center"/>
            </w:pPr>
            <w:r>
              <w:rPr>
                <w:rFonts w:ascii="微软雅黑" w:hAnsi="微软雅黑" w:eastAsia="微软雅黑"/>
                <w:b w:val="0"/>
                <w:sz w:val="17"/>
              </w:rPr>
              <w:t>否</w:t>
            </w:r>
          </w:p>
        </w:tc>
        <w:tc>
          <w:tcPr>
            <w:tcW w:w="3460" w:type="dxa"/>
            <w:tcMar>
              <w:top w:w="80" w:type="dxa"/>
              <w:left w:w="120" w:type="dxa"/>
              <w:bottom w:w="80" w:type="dxa"/>
              <w:right w:w="120" w:type="dxa"/>
            </w:tcMar>
            <w:vAlign w:val="center"/>
          </w:tcPr>
          <w:p w14:paraId="1AFA471D">
            <w:pPr>
              <w:spacing w:before="40" w:after="40"/>
              <w:jc w:val="left"/>
            </w:pPr>
            <w:r>
              <w:rPr>
                <w:rFonts w:ascii="微软雅黑" w:hAnsi="微软雅黑" w:eastAsia="微软雅黑"/>
                <w:b w:val="0"/>
                <w:sz w:val="17"/>
              </w:rPr>
              <w:t>账号、邮件和人员 ID 用于识别或审计，应原样传递，不允许通过记忆规则改写。</w:t>
            </w:r>
          </w:p>
        </w:tc>
      </w:tr>
      <w:tr w14:paraId="3512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3D124C9F">
            <w:pPr>
              <w:spacing w:before="40" w:after="40"/>
              <w:jc w:val="center"/>
            </w:pPr>
            <w:r>
              <w:rPr>
                <w:rFonts w:ascii="微软雅黑" w:hAnsi="微软雅黑" w:eastAsia="微软雅黑"/>
                <w:b w:val="0"/>
                <w:sz w:val="17"/>
              </w:rPr>
              <w:t>客户主数据</w:t>
            </w:r>
          </w:p>
        </w:tc>
        <w:tc>
          <w:tcPr>
            <w:tcW w:w="3000" w:type="dxa"/>
            <w:tcMar>
              <w:top w:w="80" w:type="dxa"/>
              <w:left w:w="120" w:type="dxa"/>
              <w:bottom w:w="80" w:type="dxa"/>
              <w:right w:w="120" w:type="dxa"/>
            </w:tcMar>
            <w:vAlign w:val="center"/>
          </w:tcPr>
          <w:p w14:paraId="0BE71241">
            <w:pPr>
              <w:spacing w:before="40" w:after="40"/>
              <w:jc w:val="left"/>
            </w:pPr>
            <w:r>
              <w:rPr>
                <w:rFonts w:ascii="微软雅黑" w:hAnsi="微软雅黑" w:eastAsia="微软雅黑"/>
                <w:b w:val="0"/>
                <w:sz w:val="17"/>
              </w:rPr>
              <w:t>customer_id、customer_name</w:t>
            </w:r>
          </w:p>
        </w:tc>
        <w:tc>
          <w:tcPr>
            <w:tcW w:w="800" w:type="dxa"/>
            <w:tcMar>
              <w:top w:w="80" w:type="dxa"/>
              <w:left w:w="120" w:type="dxa"/>
              <w:bottom w:w="80" w:type="dxa"/>
              <w:right w:w="120" w:type="dxa"/>
            </w:tcMar>
            <w:vAlign w:val="center"/>
          </w:tcPr>
          <w:p w14:paraId="6A600B25">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1936294F">
            <w:pPr>
              <w:spacing w:before="40" w:after="40"/>
              <w:jc w:val="center"/>
            </w:pPr>
            <w:r>
              <w:rPr>
                <w:rFonts w:ascii="微软雅黑" w:hAnsi="微软雅黑" w:eastAsia="微软雅黑"/>
                <w:b w:val="0"/>
                <w:sz w:val="17"/>
              </w:rPr>
              <w:t>部分</w:t>
            </w:r>
          </w:p>
        </w:tc>
        <w:tc>
          <w:tcPr>
            <w:tcW w:w="3460" w:type="dxa"/>
            <w:tcMar>
              <w:top w:w="80" w:type="dxa"/>
              <w:left w:w="120" w:type="dxa"/>
              <w:bottom w:w="80" w:type="dxa"/>
              <w:right w:w="120" w:type="dxa"/>
            </w:tcMar>
            <w:vAlign w:val="center"/>
          </w:tcPr>
          <w:p w14:paraId="293D7EA2">
            <w:pPr>
              <w:spacing w:before="40" w:after="40"/>
              <w:jc w:val="left"/>
            </w:pPr>
            <w:r>
              <w:rPr>
                <w:rFonts w:ascii="微软雅黑" w:hAnsi="微软雅黑" w:eastAsia="微软雅黑"/>
                <w:b w:val="0"/>
                <w:sz w:val="17"/>
              </w:rPr>
              <w:t>customer_name 可标准化并作为记忆锚定键；customer_id 是主数据标识，只传输不转换。</w:t>
            </w:r>
          </w:p>
        </w:tc>
      </w:tr>
      <w:tr w14:paraId="491B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35ACF896">
            <w:pPr>
              <w:spacing w:before="40" w:after="40"/>
              <w:jc w:val="center"/>
            </w:pPr>
            <w:r>
              <w:rPr>
                <w:rFonts w:ascii="微软雅黑" w:hAnsi="微软雅黑" w:eastAsia="微软雅黑"/>
                <w:b w:val="0"/>
                <w:sz w:val="17"/>
              </w:rPr>
              <w:t>收货与最终用户</w:t>
            </w:r>
          </w:p>
        </w:tc>
        <w:tc>
          <w:tcPr>
            <w:tcW w:w="3000" w:type="dxa"/>
            <w:tcMar>
              <w:top w:w="80" w:type="dxa"/>
              <w:left w:w="120" w:type="dxa"/>
              <w:bottom w:w="80" w:type="dxa"/>
              <w:right w:w="120" w:type="dxa"/>
            </w:tcMar>
            <w:vAlign w:val="center"/>
          </w:tcPr>
          <w:p w14:paraId="45D0215D">
            <w:pPr>
              <w:spacing w:before="40" w:after="40"/>
              <w:jc w:val="left"/>
            </w:pPr>
            <w:r>
              <w:rPr>
                <w:rFonts w:ascii="微软雅黑" w:hAnsi="微软雅黑" w:eastAsia="微软雅黑"/>
                <w:b w:val="0"/>
                <w:sz w:val="17"/>
              </w:rPr>
              <w:t>customer_address、user_contact、delivery_date</w:t>
            </w:r>
          </w:p>
        </w:tc>
        <w:tc>
          <w:tcPr>
            <w:tcW w:w="800" w:type="dxa"/>
            <w:tcMar>
              <w:top w:w="80" w:type="dxa"/>
              <w:left w:w="120" w:type="dxa"/>
              <w:bottom w:w="80" w:type="dxa"/>
              <w:right w:w="120" w:type="dxa"/>
            </w:tcMar>
            <w:vAlign w:val="center"/>
          </w:tcPr>
          <w:p w14:paraId="6E187A52">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1D9CF53D">
            <w:pPr>
              <w:spacing w:before="40" w:after="40"/>
              <w:jc w:val="center"/>
            </w:pPr>
            <w:r>
              <w:rPr>
                <w:rFonts w:ascii="微软雅黑" w:hAnsi="微软雅黑" w:eastAsia="微软雅黑"/>
                <w:b w:val="0"/>
                <w:sz w:val="17"/>
              </w:rPr>
              <w:t>部分</w:t>
            </w:r>
          </w:p>
        </w:tc>
        <w:tc>
          <w:tcPr>
            <w:tcW w:w="3460" w:type="dxa"/>
            <w:tcMar>
              <w:top w:w="80" w:type="dxa"/>
              <w:left w:w="120" w:type="dxa"/>
              <w:bottom w:w="80" w:type="dxa"/>
              <w:right w:w="120" w:type="dxa"/>
            </w:tcMar>
            <w:vAlign w:val="center"/>
          </w:tcPr>
          <w:p w14:paraId="4A99CAEE">
            <w:pPr>
              <w:spacing w:before="40" w:after="40"/>
              <w:jc w:val="left"/>
            </w:pPr>
            <w:r>
              <w:rPr>
                <w:rFonts w:ascii="微软雅黑" w:hAnsi="微软雅黑" w:eastAsia="微软雅黑"/>
                <w:b w:val="0"/>
                <w:sz w:val="17"/>
              </w:rPr>
              <w:t>地址和最终用户文本可做清洗、拆分及记忆替换；delivery_date 只校验日期格式，不做记忆替换。</w:t>
            </w:r>
          </w:p>
        </w:tc>
      </w:tr>
      <w:tr w14:paraId="6931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70043695">
            <w:pPr>
              <w:spacing w:before="40" w:after="40"/>
              <w:jc w:val="center"/>
            </w:pPr>
            <w:r>
              <w:rPr>
                <w:rFonts w:ascii="微软雅黑" w:hAnsi="微软雅黑" w:eastAsia="微软雅黑"/>
                <w:b w:val="0"/>
                <w:sz w:val="17"/>
              </w:rPr>
              <w:t>税务与付款</w:t>
            </w:r>
          </w:p>
        </w:tc>
        <w:tc>
          <w:tcPr>
            <w:tcW w:w="3000" w:type="dxa"/>
            <w:tcMar>
              <w:top w:w="80" w:type="dxa"/>
              <w:left w:w="120" w:type="dxa"/>
              <w:bottom w:w="80" w:type="dxa"/>
              <w:right w:w="120" w:type="dxa"/>
            </w:tcMar>
            <w:vAlign w:val="center"/>
          </w:tcPr>
          <w:p w14:paraId="63875917">
            <w:pPr>
              <w:spacing w:before="40" w:after="40"/>
              <w:jc w:val="left"/>
            </w:pPr>
            <w:r>
              <w:rPr>
                <w:rFonts w:ascii="微软雅黑" w:hAnsi="微软雅黑" w:eastAsia="微软雅黑"/>
                <w:b w:val="0"/>
                <w:sz w:val="17"/>
              </w:rPr>
              <w:t>tax_structure、customer_payment_term</w:t>
            </w:r>
          </w:p>
        </w:tc>
        <w:tc>
          <w:tcPr>
            <w:tcW w:w="800" w:type="dxa"/>
            <w:tcMar>
              <w:top w:w="80" w:type="dxa"/>
              <w:left w:w="120" w:type="dxa"/>
              <w:bottom w:w="80" w:type="dxa"/>
              <w:right w:w="120" w:type="dxa"/>
            </w:tcMar>
            <w:vAlign w:val="center"/>
          </w:tcPr>
          <w:p w14:paraId="685E8F59">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48932976">
            <w:pPr>
              <w:spacing w:before="40" w:after="40"/>
              <w:jc w:val="center"/>
            </w:pPr>
            <w:r>
              <w:rPr>
                <w:rFonts w:ascii="微软雅黑" w:hAnsi="微软雅黑" w:eastAsia="微软雅黑"/>
                <w:b w:val="0"/>
                <w:sz w:val="17"/>
              </w:rPr>
              <w:t>是</w:t>
            </w:r>
          </w:p>
        </w:tc>
        <w:tc>
          <w:tcPr>
            <w:tcW w:w="3460" w:type="dxa"/>
            <w:tcMar>
              <w:top w:w="80" w:type="dxa"/>
              <w:left w:w="120" w:type="dxa"/>
              <w:bottom w:w="80" w:type="dxa"/>
              <w:right w:w="120" w:type="dxa"/>
            </w:tcMar>
            <w:vAlign w:val="center"/>
          </w:tcPr>
          <w:p w14:paraId="58332462">
            <w:pPr>
              <w:spacing w:before="40" w:after="40"/>
              <w:jc w:val="left"/>
            </w:pPr>
            <w:r>
              <w:rPr>
                <w:rFonts w:ascii="微软雅黑" w:hAnsi="微软雅黑" w:eastAsia="微软雅黑"/>
                <w:b w:val="0"/>
                <w:sz w:val="17"/>
              </w:rPr>
              <w:t>映射为 Tax Structure、Customer Payment Term；可做百分比、账期格式标准化和记忆替换。</w:t>
            </w:r>
          </w:p>
        </w:tc>
      </w:tr>
      <w:tr w14:paraId="34DD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2E463642">
            <w:pPr>
              <w:spacing w:before="40" w:after="40"/>
              <w:jc w:val="center"/>
            </w:pPr>
            <w:r>
              <w:rPr>
                <w:rFonts w:ascii="微软雅黑" w:hAnsi="微软雅黑" w:eastAsia="微软雅黑"/>
                <w:b w:val="0"/>
                <w:sz w:val="17"/>
              </w:rPr>
              <w:t>销售与业务分类</w:t>
            </w:r>
          </w:p>
        </w:tc>
        <w:tc>
          <w:tcPr>
            <w:tcW w:w="3000" w:type="dxa"/>
            <w:tcMar>
              <w:top w:w="80" w:type="dxa"/>
              <w:left w:w="120" w:type="dxa"/>
              <w:bottom w:w="80" w:type="dxa"/>
              <w:right w:w="120" w:type="dxa"/>
            </w:tcMar>
            <w:vAlign w:val="center"/>
          </w:tcPr>
          <w:p w14:paraId="6D03A0A3">
            <w:pPr>
              <w:spacing w:before="40" w:after="40"/>
              <w:jc w:val="left"/>
            </w:pPr>
            <w:r>
              <w:rPr>
                <w:rFonts w:ascii="微软雅黑" w:hAnsi="微软雅黑" w:eastAsia="微软雅黑"/>
                <w:b w:val="0"/>
                <w:sz w:val="17"/>
              </w:rPr>
              <w:t>sales_bundling、es_salesman_code</w:t>
            </w:r>
          </w:p>
        </w:tc>
        <w:tc>
          <w:tcPr>
            <w:tcW w:w="800" w:type="dxa"/>
            <w:tcMar>
              <w:top w:w="80" w:type="dxa"/>
              <w:left w:w="120" w:type="dxa"/>
              <w:bottom w:w="80" w:type="dxa"/>
              <w:right w:w="120" w:type="dxa"/>
            </w:tcMar>
            <w:vAlign w:val="center"/>
          </w:tcPr>
          <w:p w14:paraId="168384E8">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7CD0D426">
            <w:pPr>
              <w:spacing w:before="40" w:after="40"/>
              <w:jc w:val="center"/>
            </w:pPr>
            <w:r>
              <w:rPr>
                <w:rFonts w:ascii="微软雅黑" w:hAnsi="微软雅黑" w:eastAsia="微软雅黑"/>
                <w:b w:val="0"/>
                <w:sz w:val="17"/>
              </w:rPr>
              <w:t>是</w:t>
            </w:r>
          </w:p>
        </w:tc>
        <w:tc>
          <w:tcPr>
            <w:tcW w:w="3460" w:type="dxa"/>
            <w:tcMar>
              <w:top w:w="80" w:type="dxa"/>
              <w:left w:w="120" w:type="dxa"/>
              <w:bottom w:w="80" w:type="dxa"/>
              <w:right w:w="120" w:type="dxa"/>
            </w:tcMar>
            <w:vAlign w:val="center"/>
          </w:tcPr>
          <w:p w14:paraId="2777E777">
            <w:pPr>
              <w:spacing w:before="40" w:after="40"/>
              <w:jc w:val="left"/>
            </w:pPr>
            <w:r>
              <w:rPr>
                <w:rFonts w:ascii="微软雅黑" w:hAnsi="微软雅黑" w:eastAsia="微软雅黑"/>
                <w:b w:val="0"/>
                <w:sz w:val="17"/>
              </w:rPr>
              <w:t>可映射 ePortal 标准枚举或销售代码；未建立映射时保留智眸原值并记录未转换原因。</w:t>
            </w:r>
          </w:p>
        </w:tc>
      </w:tr>
      <w:tr w14:paraId="2D8B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50FC9FD4">
            <w:pPr>
              <w:spacing w:before="40" w:after="40"/>
              <w:jc w:val="center"/>
            </w:pPr>
            <w:r>
              <w:rPr>
                <w:rFonts w:ascii="微软雅黑" w:hAnsi="微软雅黑" w:eastAsia="微软雅黑"/>
                <w:b w:val="0"/>
                <w:sz w:val="17"/>
              </w:rPr>
              <w:t>汇率</w:t>
            </w:r>
          </w:p>
        </w:tc>
        <w:tc>
          <w:tcPr>
            <w:tcW w:w="3000" w:type="dxa"/>
            <w:tcMar>
              <w:top w:w="80" w:type="dxa"/>
              <w:left w:w="120" w:type="dxa"/>
              <w:bottom w:w="80" w:type="dxa"/>
              <w:right w:w="120" w:type="dxa"/>
            </w:tcMar>
            <w:vAlign w:val="center"/>
          </w:tcPr>
          <w:p w14:paraId="2B9166D6">
            <w:pPr>
              <w:spacing w:before="40" w:after="40"/>
              <w:jc w:val="left"/>
            </w:pPr>
            <w:r>
              <w:rPr>
                <w:rFonts w:ascii="微软雅黑" w:hAnsi="微软雅黑" w:eastAsia="微软雅黑"/>
                <w:b w:val="0"/>
                <w:sz w:val="17"/>
              </w:rPr>
              <w:t>exchange_rate</w:t>
            </w:r>
          </w:p>
        </w:tc>
        <w:tc>
          <w:tcPr>
            <w:tcW w:w="800" w:type="dxa"/>
            <w:tcMar>
              <w:top w:w="80" w:type="dxa"/>
              <w:left w:w="120" w:type="dxa"/>
              <w:bottom w:w="80" w:type="dxa"/>
              <w:right w:w="120" w:type="dxa"/>
            </w:tcMar>
            <w:vAlign w:val="center"/>
          </w:tcPr>
          <w:p w14:paraId="17DA06D9">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4F9C466C">
            <w:pPr>
              <w:spacing w:before="40" w:after="40"/>
              <w:jc w:val="center"/>
            </w:pPr>
            <w:r>
              <w:rPr>
                <w:rFonts w:ascii="微软雅黑" w:hAnsi="微软雅黑" w:eastAsia="微软雅黑"/>
                <w:b w:val="0"/>
                <w:sz w:val="17"/>
              </w:rPr>
              <w:t>否</w:t>
            </w:r>
          </w:p>
        </w:tc>
        <w:tc>
          <w:tcPr>
            <w:tcW w:w="3460" w:type="dxa"/>
            <w:tcMar>
              <w:top w:w="80" w:type="dxa"/>
              <w:left w:w="120" w:type="dxa"/>
              <w:bottom w:w="80" w:type="dxa"/>
              <w:right w:w="120" w:type="dxa"/>
            </w:tcMar>
            <w:vAlign w:val="center"/>
          </w:tcPr>
          <w:p w14:paraId="1DFE297A">
            <w:pPr>
              <w:spacing w:before="40" w:after="40"/>
              <w:jc w:val="left"/>
            </w:pPr>
            <w:r>
              <w:rPr>
                <w:rFonts w:ascii="微软雅黑" w:hAnsi="微软雅黑" w:eastAsia="微软雅黑"/>
                <w:b w:val="0"/>
                <w:sz w:val="17"/>
              </w:rPr>
              <w:t>按数值格式传输，由 ePortal 按业务规则校验；不通过记忆规则修改。</w:t>
            </w:r>
          </w:p>
        </w:tc>
      </w:tr>
      <w:tr w14:paraId="20DB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44D7F172">
            <w:pPr>
              <w:spacing w:before="40" w:after="40"/>
              <w:jc w:val="center"/>
            </w:pPr>
            <w:r>
              <w:rPr>
                <w:rFonts w:ascii="微软雅黑" w:hAnsi="微软雅黑" w:eastAsia="微软雅黑"/>
                <w:b w:val="0"/>
                <w:sz w:val="17"/>
              </w:rPr>
              <w:t>订单金额与 GP</w:t>
            </w:r>
          </w:p>
        </w:tc>
        <w:tc>
          <w:tcPr>
            <w:tcW w:w="3000" w:type="dxa"/>
            <w:tcMar>
              <w:top w:w="80" w:type="dxa"/>
              <w:left w:w="120" w:type="dxa"/>
              <w:bottom w:w="80" w:type="dxa"/>
              <w:right w:w="120" w:type="dxa"/>
            </w:tcMar>
            <w:vAlign w:val="center"/>
          </w:tcPr>
          <w:p w14:paraId="1E1628F3">
            <w:pPr>
              <w:spacing w:before="40" w:after="40"/>
              <w:jc w:val="left"/>
            </w:pPr>
            <w:r>
              <w:rPr>
                <w:rFonts w:ascii="微软雅黑" w:hAnsi="微软雅黑" w:eastAsia="微软雅黑"/>
                <w:b w:val="0"/>
                <w:sz w:val="17"/>
              </w:rPr>
              <w:t>total_gp、product_gp、service_gp、total_amount、total_revenue、product_amount、service_amount、product_revenue、service_revenue</w:t>
            </w:r>
          </w:p>
        </w:tc>
        <w:tc>
          <w:tcPr>
            <w:tcW w:w="800" w:type="dxa"/>
            <w:tcMar>
              <w:top w:w="80" w:type="dxa"/>
              <w:left w:w="120" w:type="dxa"/>
              <w:bottom w:w="80" w:type="dxa"/>
              <w:right w:w="120" w:type="dxa"/>
            </w:tcMar>
            <w:vAlign w:val="center"/>
          </w:tcPr>
          <w:p w14:paraId="30D9E553">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6176C6C3">
            <w:pPr>
              <w:spacing w:before="40" w:after="40"/>
              <w:jc w:val="center"/>
            </w:pPr>
            <w:r>
              <w:rPr>
                <w:rFonts w:ascii="微软雅黑" w:hAnsi="微软雅黑" w:eastAsia="微软雅黑"/>
                <w:b w:val="0"/>
                <w:sz w:val="17"/>
              </w:rPr>
              <w:t>否</w:t>
            </w:r>
          </w:p>
        </w:tc>
        <w:tc>
          <w:tcPr>
            <w:tcW w:w="3460" w:type="dxa"/>
            <w:tcMar>
              <w:top w:w="80" w:type="dxa"/>
              <w:left w:w="120" w:type="dxa"/>
              <w:bottom w:w="80" w:type="dxa"/>
              <w:right w:w="120" w:type="dxa"/>
            </w:tcMar>
            <w:vAlign w:val="center"/>
          </w:tcPr>
          <w:p w14:paraId="0D84374F">
            <w:pPr>
              <w:spacing w:before="40" w:after="40"/>
              <w:jc w:val="left"/>
            </w:pPr>
            <w:r>
              <w:rPr>
                <w:rFonts w:ascii="微软雅黑" w:hAnsi="微软雅黑" w:eastAsia="微软雅黑"/>
                <w:b w:val="0"/>
                <w:sz w:val="17"/>
              </w:rPr>
              <w:t>智眸可传入作为参考值；金额、收入和 GP 属于计算/校验字段，ePortal 为最终计算真源并以只读方式展示。</w:t>
            </w:r>
          </w:p>
        </w:tc>
      </w:tr>
      <w:tr w14:paraId="175C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79A47268">
            <w:pPr>
              <w:spacing w:before="40" w:after="40"/>
              <w:jc w:val="center"/>
            </w:pPr>
            <w:r>
              <w:rPr>
                <w:rFonts w:ascii="微软雅黑" w:hAnsi="微软雅黑" w:eastAsia="微软雅黑"/>
                <w:b w:val="0"/>
                <w:sz w:val="17"/>
              </w:rPr>
              <w:t>产品行容器</w:t>
            </w:r>
          </w:p>
        </w:tc>
        <w:tc>
          <w:tcPr>
            <w:tcW w:w="3000" w:type="dxa"/>
            <w:tcMar>
              <w:top w:w="80" w:type="dxa"/>
              <w:left w:w="120" w:type="dxa"/>
              <w:bottom w:w="80" w:type="dxa"/>
              <w:right w:w="120" w:type="dxa"/>
            </w:tcMar>
            <w:vAlign w:val="center"/>
          </w:tcPr>
          <w:p w14:paraId="4EFC3F38">
            <w:pPr>
              <w:spacing w:before="40" w:after="40"/>
              <w:jc w:val="left"/>
            </w:pPr>
            <w:r>
              <w:rPr>
                <w:rFonts w:ascii="微软雅黑" w:hAnsi="微软雅黑" w:eastAsia="微软雅黑"/>
                <w:b w:val="0"/>
                <w:sz w:val="17"/>
              </w:rPr>
              <w:t>products</w:t>
            </w:r>
          </w:p>
        </w:tc>
        <w:tc>
          <w:tcPr>
            <w:tcW w:w="800" w:type="dxa"/>
            <w:tcMar>
              <w:top w:w="80" w:type="dxa"/>
              <w:left w:w="120" w:type="dxa"/>
              <w:bottom w:w="80" w:type="dxa"/>
              <w:right w:w="120" w:type="dxa"/>
            </w:tcMar>
            <w:vAlign w:val="center"/>
          </w:tcPr>
          <w:p w14:paraId="4CA643C6">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44354BE8">
            <w:pPr>
              <w:spacing w:before="40" w:after="40"/>
              <w:jc w:val="center"/>
            </w:pPr>
            <w:r>
              <w:rPr>
                <w:rFonts w:ascii="微软雅黑" w:hAnsi="微软雅黑" w:eastAsia="微软雅黑"/>
                <w:b w:val="0"/>
                <w:sz w:val="17"/>
              </w:rPr>
              <w:t>是</w:t>
            </w:r>
          </w:p>
        </w:tc>
        <w:tc>
          <w:tcPr>
            <w:tcW w:w="3460" w:type="dxa"/>
            <w:tcMar>
              <w:top w:w="80" w:type="dxa"/>
              <w:left w:w="120" w:type="dxa"/>
              <w:bottom w:w="80" w:type="dxa"/>
              <w:right w:w="120" w:type="dxa"/>
            </w:tcMar>
            <w:vAlign w:val="center"/>
          </w:tcPr>
          <w:p w14:paraId="62EE4C0F">
            <w:pPr>
              <w:spacing w:before="40" w:after="40"/>
              <w:jc w:val="left"/>
            </w:pPr>
            <w:r>
              <w:rPr>
                <w:rFonts w:ascii="微软雅黑" w:hAnsi="微软雅黑" w:eastAsia="微软雅黑"/>
                <w:b w:val="0"/>
                <w:sz w:val="17"/>
              </w:rPr>
              <w:t>接收产品数组并转换为 ePortal 标准产品行结构；每个产品字段按下列规则处理。</w:t>
            </w:r>
          </w:p>
        </w:tc>
      </w:tr>
      <w:tr w14:paraId="6381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531A0BA8">
            <w:pPr>
              <w:spacing w:before="40" w:after="40"/>
              <w:jc w:val="center"/>
            </w:pPr>
            <w:r>
              <w:rPr>
                <w:rFonts w:ascii="微软雅黑" w:hAnsi="微软雅黑" w:eastAsia="微软雅黑"/>
                <w:b w:val="0"/>
                <w:sz w:val="17"/>
              </w:rPr>
              <w:t>产品标识</w:t>
            </w:r>
          </w:p>
        </w:tc>
        <w:tc>
          <w:tcPr>
            <w:tcW w:w="3000" w:type="dxa"/>
            <w:tcMar>
              <w:top w:w="80" w:type="dxa"/>
              <w:left w:w="120" w:type="dxa"/>
              <w:bottom w:w="80" w:type="dxa"/>
              <w:right w:w="120" w:type="dxa"/>
            </w:tcMar>
            <w:vAlign w:val="center"/>
          </w:tcPr>
          <w:p w14:paraId="5E2B27A4">
            <w:pPr>
              <w:spacing w:before="40" w:after="40"/>
              <w:jc w:val="left"/>
            </w:pPr>
            <w:r>
              <w:rPr>
                <w:rFonts w:ascii="微软雅黑" w:hAnsi="微软雅黑" w:eastAsia="微软雅黑"/>
                <w:b w:val="0"/>
                <w:sz w:val="17"/>
              </w:rPr>
              <w:t>products[].product_id、products[].PN、products[].node_id</w:t>
            </w:r>
          </w:p>
        </w:tc>
        <w:tc>
          <w:tcPr>
            <w:tcW w:w="800" w:type="dxa"/>
            <w:tcMar>
              <w:top w:w="80" w:type="dxa"/>
              <w:left w:w="120" w:type="dxa"/>
              <w:bottom w:w="80" w:type="dxa"/>
              <w:right w:w="120" w:type="dxa"/>
            </w:tcMar>
            <w:vAlign w:val="center"/>
          </w:tcPr>
          <w:p w14:paraId="1808E46C">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11F49B17">
            <w:pPr>
              <w:spacing w:before="40" w:after="40"/>
              <w:jc w:val="center"/>
            </w:pPr>
            <w:r>
              <w:rPr>
                <w:rFonts w:ascii="微软雅黑" w:hAnsi="微软雅黑" w:eastAsia="微软雅黑"/>
                <w:b w:val="0"/>
                <w:sz w:val="17"/>
              </w:rPr>
              <w:t>部分</w:t>
            </w:r>
          </w:p>
        </w:tc>
        <w:tc>
          <w:tcPr>
            <w:tcW w:w="3460" w:type="dxa"/>
            <w:tcMar>
              <w:top w:w="80" w:type="dxa"/>
              <w:left w:w="120" w:type="dxa"/>
              <w:bottom w:w="80" w:type="dxa"/>
              <w:right w:w="120" w:type="dxa"/>
            </w:tcMar>
            <w:vAlign w:val="center"/>
          </w:tcPr>
          <w:p w14:paraId="4C267900">
            <w:pPr>
              <w:spacing w:before="40" w:after="40"/>
              <w:jc w:val="left"/>
            </w:pPr>
            <w:r>
              <w:rPr>
                <w:rFonts w:ascii="微软雅黑" w:hAnsi="微软雅黑" w:eastAsia="微软雅黑"/>
                <w:b w:val="0"/>
                <w:sz w:val="17"/>
              </w:rPr>
              <w:t>PN 可做料号格式标准化或映射；product_id、node_id 作为系统标识原样传输。</w:t>
            </w:r>
          </w:p>
        </w:tc>
      </w:tr>
      <w:tr w14:paraId="4913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189749F8">
            <w:pPr>
              <w:spacing w:before="40" w:after="40"/>
              <w:jc w:val="center"/>
            </w:pPr>
            <w:r>
              <w:rPr>
                <w:rFonts w:ascii="微软雅黑" w:hAnsi="微软雅黑" w:eastAsia="微软雅黑"/>
                <w:b w:val="0"/>
                <w:sz w:val="17"/>
              </w:rPr>
              <w:t>产品描述与备注</w:t>
            </w:r>
          </w:p>
        </w:tc>
        <w:tc>
          <w:tcPr>
            <w:tcW w:w="3000" w:type="dxa"/>
            <w:tcMar>
              <w:top w:w="80" w:type="dxa"/>
              <w:left w:w="120" w:type="dxa"/>
              <w:bottom w:w="80" w:type="dxa"/>
              <w:right w:w="120" w:type="dxa"/>
            </w:tcMar>
            <w:vAlign w:val="center"/>
          </w:tcPr>
          <w:p w14:paraId="20BA720B">
            <w:pPr>
              <w:spacing w:before="40" w:after="40"/>
              <w:jc w:val="left"/>
            </w:pPr>
            <w:r>
              <w:rPr>
                <w:rFonts w:ascii="微软雅黑" w:hAnsi="微软雅黑" w:eastAsia="微软雅黑"/>
                <w:b w:val="0"/>
                <w:sz w:val="17"/>
              </w:rPr>
              <w:t>products[].description、products[].notes、products[].remarks</w:t>
            </w:r>
          </w:p>
        </w:tc>
        <w:tc>
          <w:tcPr>
            <w:tcW w:w="800" w:type="dxa"/>
            <w:tcMar>
              <w:top w:w="80" w:type="dxa"/>
              <w:left w:w="120" w:type="dxa"/>
              <w:bottom w:w="80" w:type="dxa"/>
              <w:right w:w="120" w:type="dxa"/>
            </w:tcMar>
            <w:vAlign w:val="center"/>
          </w:tcPr>
          <w:p w14:paraId="082BB686">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2B03FFFB">
            <w:pPr>
              <w:spacing w:before="40" w:after="40"/>
              <w:jc w:val="center"/>
            </w:pPr>
            <w:r>
              <w:rPr>
                <w:rFonts w:ascii="微软雅黑" w:hAnsi="微软雅黑" w:eastAsia="微软雅黑"/>
                <w:b w:val="0"/>
                <w:sz w:val="17"/>
              </w:rPr>
              <w:t>是</w:t>
            </w:r>
          </w:p>
        </w:tc>
        <w:tc>
          <w:tcPr>
            <w:tcW w:w="3460" w:type="dxa"/>
            <w:tcMar>
              <w:top w:w="80" w:type="dxa"/>
              <w:left w:w="120" w:type="dxa"/>
              <w:bottom w:w="80" w:type="dxa"/>
              <w:right w:w="120" w:type="dxa"/>
            </w:tcMar>
            <w:vAlign w:val="center"/>
          </w:tcPr>
          <w:p w14:paraId="10E78C2B">
            <w:pPr>
              <w:spacing w:before="40" w:after="40"/>
              <w:jc w:val="left"/>
            </w:pPr>
            <w:r>
              <w:rPr>
                <w:rFonts w:ascii="微软雅黑" w:hAnsi="微软雅黑" w:eastAsia="微软雅黑"/>
                <w:b w:val="0"/>
                <w:sz w:val="17"/>
              </w:rPr>
              <w:t>可清洗空格、符号和文本格式；description 可参与记忆替换，备注类字段转换须保留原始值。</w:t>
            </w:r>
          </w:p>
        </w:tc>
      </w:tr>
      <w:tr w14:paraId="0ACA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74A7E61F">
            <w:pPr>
              <w:spacing w:before="40" w:after="40"/>
              <w:jc w:val="center"/>
            </w:pPr>
            <w:r>
              <w:rPr>
                <w:rFonts w:ascii="微软雅黑" w:hAnsi="微软雅黑" w:eastAsia="微软雅黑"/>
                <w:b w:val="0"/>
                <w:sz w:val="17"/>
              </w:rPr>
              <w:t>数量、单价与币种</w:t>
            </w:r>
          </w:p>
        </w:tc>
        <w:tc>
          <w:tcPr>
            <w:tcW w:w="3000" w:type="dxa"/>
            <w:tcMar>
              <w:top w:w="80" w:type="dxa"/>
              <w:left w:w="120" w:type="dxa"/>
              <w:bottom w:w="80" w:type="dxa"/>
              <w:right w:w="120" w:type="dxa"/>
            </w:tcMar>
            <w:vAlign w:val="center"/>
          </w:tcPr>
          <w:p w14:paraId="6ECAA42A">
            <w:pPr>
              <w:spacing w:before="40" w:after="40"/>
              <w:jc w:val="left"/>
            </w:pPr>
            <w:r>
              <w:rPr>
                <w:rFonts w:ascii="微软雅黑" w:hAnsi="微软雅黑" w:eastAsia="微软雅黑"/>
                <w:b w:val="0"/>
                <w:sz w:val="17"/>
              </w:rPr>
              <w:t>products[].qty、products[].unit_price、products[].price、products[].currency</w:t>
            </w:r>
          </w:p>
        </w:tc>
        <w:tc>
          <w:tcPr>
            <w:tcW w:w="800" w:type="dxa"/>
            <w:tcMar>
              <w:top w:w="80" w:type="dxa"/>
              <w:left w:w="120" w:type="dxa"/>
              <w:bottom w:w="80" w:type="dxa"/>
              <w:right w:w="120" w:type="dxa"/>
            </w:tcMar>
            <w:vAlign w:val="center"/>
          </w:tcPr>
          <w:p w14:paraId="57F670E7">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14F9638B">
            <w:pPr>
              <w:spacing w:before="40" w:after="40"/>
              <w:jc w:val="center"/>
            </w:pPr>
            <w:r>
              <w:rPr>
                <w:rFonts w:ascii="微软雅黑" w:hAnsi="微软雅黑" w:eastAsia="微软雅黑"/>
                <w:b w:val="0"/>
                <w:sz w:val="17"/>
              </w:rPr>
              <w:t>部分</w:t>
            </w:r>
          </w:p>
        </w:tc>
        <w:tc>
          <w:tcPr>
            <w:tcW w:w="3460" w:type="dxa"/>
            <w:tcMar>
              <w:top w:w="80" w:type="dxa"/>
              <w:left w:w="120" w:type="dxa"/>
              <w:bottom w:w="80" w:type="dxa"/>
              <w:right w:w="120" w:type="dxa"/>
            </w:tcMar>
            <w:vAlign w:val="center"/>
          </w:tcPr>
          <w:p w14:paraId="3285EEF7">
            <w:pPr>
              <w:spacing w:before="40" w:after="40"/>
              <w:jc w:val="left"/>
            </w:pPr>
            <w:r>
              <w:rPr>
                <w:rFonts w:ascii="微软雅黑" w:hAnsi="微软雅黑" w:eastAsia="微软雅黑"/>
                <w:b w:val="0"/>
                <w:sz w:val="17"/>
              </w:rPr>
              <w:t>qty、unit_price 做数值格式转换，price、currency 做币种/枚举映射；不得用记忆规则改变真实数量或价格。</w:t>
            </w:r>
          </w:p>
        </w:tc>
      </w:tr>
      <w:tr w14:paraId="091A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6F6215A8">
            <w:pPr>
              <w:spacing w:before="40" w:after="40"/>
              <w:jc w:val="center"/>
            </w:pPr>
            <w:r>
              <w:rPr>
                <w:rFonts w:ascii="微软雅黑" w:hAnsi="微软雅黑" w:eastAsia="微软雅黑"/>
                <w:b w:val="0"/>
                <w:sz w:val="17"/>
              </w:rPr>
              <w:t>产品供应与物流</w:t>
            </w:r>
          </w:p>
        </w:tc>
        <w:tc>
          <w:tcPr>
            <w:tcW w:w="3000" w:type="dxa"/>
            <w:tcMar>
              <w:top w:w="80" w:type="dxa"/>
              <w:left w:w="120" w:type="dxa"/>
              <w:bottom w:w="80" w:type="dxa"/>
              <w:right w:w="120" w:type="dxa"/>
            </w:tcMar>
            <w:vAlign w:val="center"/>
          </w:tcPr>
          <w:p w14:paraId="3D132CCB">
            <w:pPr>
              <w:spacing w:before="40" w:after="40"/>
              <w:jc w:val="left"/>
            </w:pPr>
            <w:r>
              <w:rPr>
                <w:rFonts w:ascii="微软雅黑" w:hAnsi="微软雅黑" w:eastAsia="微软雅黑"/>
                <w:b w:val="0"/>
                <w:sz w:val="17"/>
              </w:rPr>
              <w:t>products[].supplier、products[].warehouse、products[].dropship、products[].inventory_type、products[].biz_category</w:t>
            </w:r>
          </w:p>
        </w:tc>
        <w:tc>
          <w:tcPr>
            <w:tcW w:w="800" w:type="dxa"/>
            <w:tcMar>
              <w:top w:w="80" w:type="dxa"/>
              <w:left w:w="120" w:type="dxa"/>
              <w:bottom w:w="80" w:type="dxa"/>
              <w:right w:w="120" w:type="dxa"/>
            </w:tcMar>
            <w:vAlign w:val="center"/>
          </w:tcPr>
          <w:p w14:paraId="35FF3ECF">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0209BA20">
            <w:pPr>
              <w:spacing w:before="40" w:after="40"/>
              <w:jc w:val="center"/>
            </w:pPr>
            <w:r>
              <w:rPr>
                <w:rFonts w:ascii="微软雅黑" w:hAnsi="微软雅黑" w:eastAsia="微软雅黑"/>
                <w:b w:val="0"/>
                <w:sz w:val="17"/>
              </w:rPr>
              <w:t>是</w:t>
            </w:r>
          </w:p>
        </w:tc>
        <w:tc>
          <w:tcPr>
            <w:tcW w:w="3460" w:type="dxa"/>
            <w:tcMar>
              <w:top w:w="80" w:type="dxa"/>
              <w:left w:w="120" w:type="dxa"/>
              <w:bottom w:w="80" w:type="dxa"/>
              <w:right w:w="120" w:type="dxa"/>
            </w:tcMar>
            <w:vAlign w:val="center"/>
          </w:tcPr>
          <w:p w14:paraId="63A1C89B">
            <w:pPr>
              <w:spacing w:before="40" w:after="40"/>
              <w:jc w:val="left"/>
            </w:pPr>
            <w:r>
              <w:rPr>
                <w:rFonts w:ascii="微软雅黑" w:hAnsi="微软雅黑" w:eastAsia="微软雅黑"/>
                <w:b w:val="0"/>
                <w:sz w:val="17"/>
              </w:rPr>
              <w:t>可映射标准供应商、仓库、直送标志、库存类型和业务分类枚举。</w:t>
            </w:r>
          </w:p>
        </w:tc>
      </w:tr>
      <w:tr w14:paraId="6790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6B5855A9">
            <w:pPr>
              <w:spacing w:before="40" w:after="40"/>
              <w:jc w:val="center"/>
            </w:pPr>
            <w:r>
              <w:rPr>
                <w:rFonts w:ascii="微软雅黑" w:hAnsi="微软雅黑" w:eastAsia="微软雅黑"/>
                <w:b w:val="0"/>
                <w:sz w:val="17"/>
              </w:rPr>
              <w:t>产品税率</w:t>
            </w:r>
          </w:p>
        </w:tc>
        <w:tc>
          <w:tcPr>
            <w:tcW w:w="3000" w:type="dxa"/>
            <w:tcMar>
              <w:top w:w="80" w:type="dxa"/>
              <w:left w:w="120" w:type="dxa"/>
              <w:bottom w:w="80" w:type="dxa"/>
              <w:right w:w="120" w:type="dxa"/>
            </w:tcMar>
            <w:vAlign w:val="center"/>
          </w:tcPr>
          <w:p w14:paraId="5E01D4C9">
            <w:pPr>
              <w:spacing w:before="40" w:after="40"/>
              <w:jc w:val="left"/>
            </w:pPr>
            <w:r>
              <w:rPr>
                <w:rFonts w:ascii="微软雅黑" w:hAnsi="微软雅黑" w:eastAsia="微软雅黑"/>
                <w:b w:val="0"/>
                <w:sz w:val="17"/>
              </w:rPr>
              <w:t>products[].tax_pyable</w:t>
            </w:r>
          </w:p>
        </w:tc>
        <w:tc>
          <w:tcPr>
            <w:tcW w:w="800" w:type="dxa"/>
            <w:tcMar>
              <w:top w:w="80" w:type="dxa"/>
              <w:left w:w="120" w:type="dxa"/>
              <w:bottom w:w="80" w:type="dxa"/>
              <w:right w:w="120" w:type="dxa"/>
            </w:tcMar>
            <w:vAlign w:val="center"/>
          </w:tcPr>
          <w:p w14:paraId="10165339">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3ACC4F38">
            <w:pPr>
              <w:spacing w:before="40" w:after="40"/>
              <w:jc w:val="center"/>
            </w:pPr>
            <w:r>
              <w:rPr>
                <w:rFonts w:ascii="微软雅黑" w:hAnsi="微软雅黑" w:eastAsia="微软雅黑"/>
                <w:b w:val="0"/>
                <w:sz w:val="17"/>
              </w:rPr>
              <w:t>是</w:t>
            </w:r>
          </w:p>
        </w:tc>
        <w:tc>
          <w:tcPr>
            <w:tcW w:w="3460" w:type="dxa"/>
            <w:tcMar>
              <w:top w:w="80" w:type="dxa"/>
              <w:left w:w="120" w:type="dxa"/>
              <w:bottom w:w="80" w:type="dxa"/>
              <w:right w:w="120" w:type="dxa"/>
            </w:tcMar>
            <w:vAlign w:val="center"/>
          </w:tcPr>
          <w:p w14:paraId="06481123">
            <w:pPr>
              <w:spacing w:before="40" w:after="40"/>
              <w:jc w:val="left"/>
            </w:pPr>
            <w:r>
              <w:rPr>
                <w:rFonts w:ascii="微软雅黑" w:hAnsi="微软雅黑" w:eastAsia="微软雅黑"/>
                <w:b w:val="0"/>
                <w:sz w:val="17"/>
              </w:rPr>
              <w:t>按百分比/小数统一规则转换，并映射到产品行税率字段。</w:t>
            </w:r>
          </w:p>
        </w:tc>
      </w:tr>
      <w:tr w14:paraId="2B22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dxa"/>
            <w:tcMar>
              <w:top w:w="80" w:type="dxa"/>
              <w:left w:w="120" w:type="dxa"/>
              <w:bottom w:w="80" w:type="dxa"/>
              <w:right w:w="120" w:type="dxa"/>
            </w:tcMar>
            <w:vAlign w:val="center"/>
          </w:tcPr>
          <w:p w14:paraId="51EFDF98">
            <w:pPr>
              <w:spacing w:before="40" w:after="40"/>
              <w:jc w:val="center"/>
            </w:pPr>
            <w:r>
              <w:rPr>
                <w:rFonts w:ascii="微软雅黑" w:hAnsi="微软雅黑" w:eastAsia="微软雅黑"/>
                <w:b w:val="0"/>
                <w:sz w:val="17"/>
              </w:rPr>
              <w:t>产品成本与 GP</w:t>
            </w:r>
          </w:p>
        </w:tc>
        <w:tc>
          <w:tcPr>
            <w:tcW w:w="3000" w:type="dxa"/>
            <w:tcMar>
              <w:top w:w="80" w:type="dxa"/>
              <w:left w:w="120" w:type="dxa"/>
              <w:bottom w:w="80" w:type="dxa"/>
              <w:right w:w="120" w:type="dxa"/>
            </w:tcMar>
            <w:vAlign w:val="center"/>
          </w:tcPr>
          <w:p w14:paraId="604CE627">
            <w:pPr>
              <w:spacing w:before="40" w:after="40"/>
              <w:jc w:val="left"/>
            </w:pPr>
            <w:r>
              <w:rPr>
                <w:rFonts w:ascii="微软雅黑" w:hAnsi="微软雅黑" w:eastAsia="微软雅黑"/>
                <w:b w:val="0"/>
                <w:sz w:val="17"/>
              </w:rPr>
              <w:t>products[].GP、products[].GP_percent、products[].unit_cost、products[].total_cost、products[].total_price</w:t>
            </w:r>
          </w:p>
        </w:tc>
        <w:tc>
          <w:tcPr>
            <w:tcW w:w="800" w:type="dxa"/>
            <w:tcMar>
              <w:top w:w="80" w:type="dxa"/>
              <w:left w:w="120" w:type="dxa"/>
              <w:bottom w:w="80" w:type="dxa"/>
              <w:right w:w="120" w:type="dxa"/>
            </w:tcMar>
            <w:vAlign w:val="center"/>
          </w:tcPr>
          <w:p w14:paraId="6812AAE6">
            <w:pPr>
              <w:spacing w:before="40" w:after="40"/>
              <w:jc w:val="center"/>
            </w:pPr>
            <w:r>
              <w:rPr>
                <w:rFonts w:ascii="微软雅黑" w:hAnsi="微软雅黑" w:eastAsia="微软雅黑"/>
                <w:b w:val="0"/>
                <w:sz w:val="17"/>
              </w:rPr>
              <w:t>是</w:t>
            </w:r>
          </w:p>
        </w:tc>
        <w:tc>
          <w:tcPr>
            <w:tcW w:w="850" w:type="dxa"/>
            <w:tcMar>
              <w:top w:w="80" w:type="dxa"/>
              <w:left w:w="120" w:type="dxa"/>
              <w:bottom w:w="80" w:type="dxa"/>
              <w:right w:w="120" w:type="dxa"/>
            </w:tcMar>
            <w:vAlign w:val="center"/>
          </w:tcPr>
          <w:p w14:paraId="21A40E43">
            <w:pPr>
              <w:spacing w:before="40" w:after="40"/>
              <w:jc w:val="center"/>
            </w:pPr>
            <w:r>
              <w:rPr>
                <w:rFonts w:ascii="微软雅黑" w:hAnsi="微软雅黑" w:eastAsia="微软雅黑"/>
                <w:b w:val="0"/>
                <w:sz w:val="17"/>
              </w:rPr>
              <w:t>否</w:t>
            </w:r>
          </w:p>
        </w:tc>
        <w:tc>
          <w:tcPr>
            <w:tcW w:w="3460" w:type="dxa"/>
            <w:tcMar>
              <w:top w:w="80" w:type="dxa"/>
              <w:left w:w="120" w:type="dxa"/>
              <w:bottom w:w="80" w:type="dxa"/>
              <w:right w:w="120" w:type="dxa"/>
            </w:tcMar>
            <w:vAlign w:val="center"/>
          </w:tcPr>
          <w:p w14:paraId="30DB72C5">
            <w:pPr>
              <w:spacing w:before="40" w:after="40"/>
              <w:jc w:val="left"/>
            </w:pPr>
            <w:r>
              <w:rPr>
                <w:rFonts w:ascii="微软雅黑" w:hAnsi="微软雅黑" w:eastAsia="微软雅黑"/>
                <w:b w:val="0"/>
                <w:sz w:val="17"/>
              </w:rPr>
              <w:t>可传入供比对，但属于计算/只读字段；由 ePortal 根据数量、价格、成本和税率重新计算。</w:t>
            </w:r>
          </w:p>
        </w:tc>
      </w:tr>
    </w:tbl>
    <w:p w14:paraId="29D676DD">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7. 非功能需求</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3986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3BBC26F">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类别</w:t>
            </w:r>
          </w:p>
        </w:tc>
        <w:tc>
          <w:tcPr>
            <w:tcW w:w="75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0CD9041">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要求</w:t>
            </w:r>
          </w:p>
        </w:tc>
      </w:tr>
      <w:tr w14:paraId="13D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ED8589E">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安全</w:t>
            </w:r>
          </w:p>
        </w:tc>
        <w:tc>
          <w:tcPr>
            <w:tcW w:w="75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326D814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不存储 ePortal 业务员密码；服务凭证仅在服务端配置；浏览器 URL 仅携带短时 ticket；生产环境使用 HTTPS，并限制智眸来源网络。</w:t>
            </w:r>
          </w:p>
        </w:tc>
      </w:tr>
      <w:tr w14:paraId="3058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5DE2A882">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可靠性</w:t>
            </w:r>
          </w:p>
        </w:tc>
        <w:tc>
          <w:tcPr>
            <w:tcW w:w="75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58DCA9FF">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回写前持久化待处理数据；ePortal 错误可记录；版本冲突不覆盖；Agent 失败不影响订单保存。</w:t>
            </w:r>
          </w:p>
        </w:tc>
      </w:tr>
      <w:tr w14:paraId="47FF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0C9B24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可追溯</w:t>
            </w:r>
          </w:p>
        </w:tc>
        <w:tc>
          <w:tcPr>
            <w:tcW w:w="75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CDBE53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记录智眸任务、规则命中、人工修改、ePortal 操作人、版本冲突、纠正案例及 Agent 处理状态。</w:t>
            </w:r>
          </w:p>
        </w:tc>
      </w:tr>
      <w:tr w14:paraId="5866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BBEC5A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性能</w:t>
            </w:r>
          </w:p>
        </w:tc>
        <w:tc>
          <w:tcPr>
            <w:tcW w:w="75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150B982">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T1 匹配不应阻断建单；Agent 通过后台任务处理，不阻塞业务员保存响应。</w:t>
            </w:r>
          </w:p>
        </w:tc>
      </w:tr>
      <w:tr w14:paraId="5214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0D02018">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部署</w:t>
            </w:r>
          </w:p>
        </w:tc>
        <w:tc>
          <w:tcPr>
            <w:tcW w:w="75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C2CA1E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智眸跨机器联调时，T 服务需监听可访问地址、开放 TCP 8300 或经反向代理暴露；测试结束后按网络策略收敛访问范围。</w:t>
            </w:r>
          </w:p>
        </w:tc>
      </w:tr>
    </w:tbl>
    <w:p w14:paraId="21CC5910">
      <w:pPr>
        <w:widowControl/>
        <w:spacing w:after="40"/>
        <w:rPr>
          <w:rFonts w:hint="eastAsia" w:ascii="微软雅黑" w:hAnsi="微软雅黑" w:eastAsia="微软雅黑" w:cs="微软雅黑"/>
        </w:rPr>
      </w:pPr>
    </w:p>
    <w:p w14:paraId="261BBB38">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8. 验收标准</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080A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F784A6C">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类型</w:t>
            </w:r>
          </w:p>
        </w:tc>
        <w:tc>
          <w:tcPr>
            <w:tcW w:w="43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12ED04B8">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通过条件</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09D749B">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验证方式</w:t>
            </w:r>
          </w:p>
        </w:tc>
      </w:tr>
      <w:tr w14:paraId="58CA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EE4DD2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智眸接入</w:t>
            </w:r>
          </w:p>
        </w:tc>
        <w:tc>
          <w:tcPr>
            <w:tcW w:w="43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A2FCB6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调用 /api/intake 后返回 created、form_id，数据在模拟 ePortal 可查看。</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3A23BCF">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使用智眸测试版发送标准 JSON，并核对返回结果。</w:t>
            </w:r>
          </w:p>
        </w:tc>
      </w:tr>
      <w:tr w14:paraId="19FA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3447D1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记忆匹配</w:t>
            </w:r>
          </w:p>
        </w:tc>
        <w:tc>
          <w:tcPr>
            <w:tcW w:w="43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E2F8E0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已配置规则的字段自动替换并返回 applied_memory；未命中字段保持原值。</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5464BD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使用 13%、0.13、大小写/空格等样本验证。</w:t>
            </w:r>
          </w:p>
        </w:tc>
      </w:tr>
      <w:tr w14:paraId="1706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26EB8E2C">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T2 修改</w:t>
            </w:r>
          </w:p>
        </w:tc>
        <w:tc>
          <w:tcPr>
            <w:tcW w:w="43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925511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有效 ticket 可进入；字段、产品行和允许的附件元数据可编辑；计算字段只读。</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04C6872">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从 ePortal 模拟页签发 ticket 后执行保存。</w:t>
            </w:r>
          </w:p>
        </w:tc>
      </w:tr>
      <w:tr w14:paraId="23B4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30DB113">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版本控制</w:t>
            </w:r>
          </w:p>
        </w:tc>
        <w:tc>
          <w:tcPr>
            <w:tcW w:w="43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30AF74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版本变化时 T</w:t>
            </w:r>
            <w:r>
              <w:rPr>
                <w:rFonts w:hint="eastAsia" w:ascii="微软雅黑" w:hAnsi="微软雅黑" w:eastAsia="微软雅黑" w:cs="微软雅黑"/>
                <w:b w:val="0"/>
                <w:color w:val="1F2937"/>
                <w:sz w:val="17"/>
                <w:lang w:val="en-US" w:eastAsia="zh-CN"/>
              </w:rPr>
              <w:t>系统</w:t>
            </w:r>
            <w:r>
              <w:rPr>
                <w:rFonts w:hint="eastAsia" w:ascii="微软雅黑" w:hAnsi="微软雅黑" w:eastAsia="微软雅黑" w:cs="微软雅黑"/>
                <w:b w:val="0"/>
                <w:color w:val="1F2937"/>
                <w:sz w:val="17"/>
              </w:rPr>
              <w:t>返回 409 且不覆盖。</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B1A4C71">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构造旧版本 expected_version 保存请求。</w:t>
            </w:r>
          </w:p>
        </w:tc>
      </w:tr>
      <w:tr w14:paraId="5DAA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314B2DC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Agent 学习</w:t>
            </w:r>
          </w:p>
        </w:tc>
        <w:tc>
          <w:tcPr>
            <w:tcW w:w="43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826C3DE">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错误说明回写成功后创建案例；有效结果仅新增规则；冲突不覆盖。</w:t>
            </w:r>
          </w:p>
        </w:tc>
        <w:tc>
          <w:tcPr>
            <w:tcW w:w="32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25D16079">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使用内部模型测试桩或测试端点验证 case 状态。</w:t>
            </w:r>
          </w:p>
        </w:tc>
      </w:tr>
      <w:tr w14:paraId="351B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688292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回归</w:t>
            </w:r>
          </w:p>
        </w:tc>
        <w:tc>
          <w:tcPr>
            <w:tcW w:w="43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0B1909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现有智眸 intake、长期/单次规则、负反馈、日志和回写重试测试全部通过。</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38AEC7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执行项目 pytest 全量测试。</w:t>
            </w:r>
          </w:p>
        </w:tc>
      </w:tr>
      <w:tr w14:paraId="6AD0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05E17E5">
            <w:pPr>
              <w:spacing w:before="40" w:after="40"/>
              <w:jc w:val="center"/>
              <w:rPr>
                <w:rFonts w:hint="eastAsia" w:ascii="微软雅黑" w:hAnsi="微软雅黑" w:eastAsia="微软雅黑" w:cs="微软雅黑"/>
                <w:b w:val="0"/>
                <w:color w:val="1F2937"/>
                <w:sz w:val="17"/>
              </w:rPr>
            </w:pPr>
            <w:r>
              <w:rPr>
                <w:rFonts w:hint="eastAsia" w:ascii="微软雅黑" w:hAnsi="微软雅黑" w:eastAsia="微软雅黑" w:cs="微软雅黑"/>
              </w:rPr>
              <w:t>历史数据初始化</w:t>
            </w:r>
          </w:p>
        </w:tc>
        <w:tc>
          <w:tcPr>
            <w:tcW w:w="43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4DCC7BC">
            <w:pPr>
              <w:spacing w:before="40" w:after="40"/>
              <w:jc w:val="left"/>
              <w:rPr>
                <w:rFonts w:hint="eastAsia" w:ascii="微软雅黑" w:hAnsi="微软雅黑" w:eastAsia="微软雅黑" w:cs="微软雅黑"/>
                <w:b w:val="0"/>
                <w:color w:val="1F2937"/>
                <w:sz w:val="17"/>
              </w:rPr>
            </w:pPr>
            <w:r>
              <w:rPr>
                <w:rFonts w:hint="eastAsia" w:ascii="微软雅黑" w:hAnsi="微软雅黑" w:eastAsia="微软雅黑" w:cs="微软雅黑"/>
              </w:rPr>
              <w:t>在联调/上线前完成 ePortal 历史确认数据导入；用历史样本验证无需新增人工修改即可命中规则。</w:t>
            </w:r>
          </w:p>
        </w:tc>
        <w:tc>
          <w:tcPr>
            <w:tcW w:w="32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0C0AD879">
            <w:pPr>
              <w:spacing w:before="40" w:after="40"/>
              <w:jc w:val="left"/>
              <w:rPr>
                <w:rFonts w:hint="eastAsia" w:ascii="微软雅黑" w:hAnsi="微软雅黑" w:eastAsia="微软雅黑" w:cs="微软雅黑"/>
                <w:b w:val="0"/>
                <w:color w:val="1F2937"/>
                <w:sz w:val="17"/>
              </w:rPr>
            </w:pPr>
            <w:r>
              <w:rPr>
                <w:rFonts w:hint="eastAsia" w:ascii="微软雅黑" w:hAnsi="微软雅黑" w:eastAsia="微软雅黑" w:cs="微软雅黑"/>
              </w:rPr>
              <w:t>导入测试：执行同一批历史数据两次，第二次不新增规则；以历史样本调用 /api/intake，核对 applied_memory。</w:t>
            </w:r>
          </w:p>
        </w:tc>
      </w:tr>
    </w:tbl>
    <w:p w14:paraId="523D5283">
      <w:pPr>
        <w:widowControl/>
        <w:spacing w:after="40"/>
        <w:rPr>
          <w:rFonts w:hint="eastAsia" w:ascii="微软雅黑" w:hAnsi="微软雅黑" w:eastAsia="微软雅黑" w:cs="微软雅黑"/>
        </w:rPr>
      </w:pPr>
    </w:p>
    <w:p w14:paraId="1BD8515B">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9. 实施依赖与风险</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900"/>
        <w:gridCol w:w="3360"/>
      </w:tblGrid>
      <w:tr w14:paraId="7199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91CC2A9">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事项</w:t>
            </w:r>
          </w:p>
        </w:tc>
        <w:tc>
          <w:tcPr>
            <w:tcW w:w="39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9C21E64">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状态/风险</w:t>
            </w:r>
          </w:p>
        </w:tc>
        <w:tc>
          <w:tcPr>
            <w:tcW w:w="33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A74BAF0">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处理建议</w:t>
            </w:r>
          </w:p>
        </w:tc>
      </w:tr>
      <w:tr w14:paraId="68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95046B7">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智眸字段命名</w:t>
            </w:r>
          </w:p>
        </w:tc>
        <w:tc>
          <w:tcPr>
            <w:tcW w:w="39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CC497FD">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 intake 按 ePortal 标准字段名匹配；智眸内部字段名可能不同。</w:t>
            </w:r>
          </w:p>
        </w:tc>
        <w:tc>
          <w:tcPr>
            <w:tcW w:w="33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6C1D8B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联调前确认字段映射表；将 tax_structure 等转换为 Tax Structure。</w:t>
            </w:r>
          </w:p>
        </w:tc>
      </w:tr>
      <w:tr w14:paraId="0BFF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EDD296E">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智眸重试</w:t>
            </w:r>
          </w:p>
        </w:tc>
        <w:tc>
          <w:tcPr>
            <w:tcW w:w="39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58B00F5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 task_id 尚未作为接口幂等键，网络重试可能产生重复预订单。</w:t>
            </w:r>
          </w:p>
        </w:tc>
        <w:tc>
          <w:tcPr>
            <w:tcW w:w="33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5285BF7F">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正式联调前增加 task_id 幂等控制。</w:t>
            </w:r>
          </w:p>
        </w:tc>
      </w:tr>
      <w:tr w14:paraId="23D7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5FBBF926">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真实 ePortal HTTP adapter</w:t>
            </w:r>
          </w:p>
        </w:tc>
        <w:tc>
          <w:tcPr>
            <w:tcW w:w="39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7D17BF10">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当前项目测试使用 mock 模式；真实模式需确认建单/更新的 items、attachments 报文。</w:t>
            </w:r>
          </w:p>
        </w:tc>
        <w:tc>
          <w:tcPr>
            <w:tcW w:w="33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3209213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先完成 ePortal 内部 API 契约联调，再切换 mode=http。</w:t>
            </w:r>
          </w:p>
        </w:tc>
      </w:tr>
      <w:tr w14:paraId="7CA0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475ED55">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内部大模型</w:t>
            </w:r>
          </w:p>
        </w:tc>
        <w:tc>
          <w:tcPr>
            <w:tcW w:w="39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658B360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需要内部 endpoint、认证方式、超时和重试策略。</w:t>
            </w:r>
          </w:p>
        </w:tc>
        <w:tc>
          <w:tcPr>
            <w:tcW w:w="33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69EC553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先以测试桩验证结构化 JSON 契约，再接入生产模型。</w:t>
            </w:r>
          </w:p>
        </w:tc>
      </w:tr>
      <w:tr w14:paraId="76D3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1B37CF87">
            <w:pPr>
              <w:spacing w:before="40" w:after="40"/>
              <w:jc w:val="center"/>
              <w:rPr>
                <w:rFonts w:hint="eastAsia" w:ascii="微软雅黑" w:hAnsi="微软雅黑" w:eastAsia="微软雅黑" w:cs="微软雅黑"/>
                <w:b w:val="0"/>
                <w:color w:val="1F2937"/>
                <w:sz w:val="17"/>
              </w:rPr>
            </w:pPr>
            <w:r>
              <w:rPr>
                <w:rFonts w:hint="eastAsia" w:ascii="微软雅黑" w:hAnsi="微软雅黑" w:eastAsia="微软雅黑" w:cs="微软雅黑"/>
              </w:rPr>
              <w:t>历史数据质量</w:t>
            </w:r>
          </w:p>
        </w:tc>
        <w:tc>
          <w:tcPr>
            <w:tcW w:w="39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C574DF9">
            <w:pPr>
              <w:spacing w:before="40" w:after="40"/>
              <w:jc w:val="left"/>
              <w:rPr>
                <w:rFonts w:hint="eastAsia" w:ascii="微软雅黑" w:hAnsi="微软雅黑" w:eastAsia="微软雅黑" w:cs="微软雅黑"/>
                <w:b w:val="0"/>
                <w:color w:val="1F2937"/>
                <w:sz w:val="17"/>
              </w:rPr>
            </w:pPr>
            <w:r>
              <w:rPr>
                <w:rFonts w:hint="eastAsia" w:ascii="微软雅黑" w:hAnsi="微软雅黑" w:eastAsia="微软雅黑" w:cs="微软雅黑"/>
              </w:rPr>
              <w:t>历史订单中存在空值、错误值或未确认修改，直接导入会形成错误规则。</w:t>
            </w:r>
          </w:p>
        </w:tc>
        <w:tc>
          <w:tcPr>
            <w:tcW w:w="33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2068B089">
            <w:pPr>
              <w:spacing w:before="40" w:after="40"/>
              <w:jc w:val="left"/>
              <w:rPr>
                <w:rFonts w:hint="eastAsia" w:ascii="微软雅黑" w:hAnsi="微软雅黑" w:eastAsia="微软雅黑" w:cs="微软雅黑"/>
                <w:b w:val="0"/>
                <w:color w:val="1F2937"/>
                <w:sz w:val="17"/>
              </w:rPr>
            </w:pPr>
            <w:r>
              <w:rPr>
                <w:rFonts w:hint="eastAsia" w:ascii="微软雅黑" w:hAnsi="微软雅黑" w:eastAsia="微软雅黑" w:cs="微软雅黑"/>
              </w:rPr>
              <w:t>仅导入 ePortal 标记为已确认的数据；先预校验、抽样复核，再启用规则；保留批次号和回滚能力。</w:t>
            </w:r>
          </w:p>
        </w:tc>
      </w:tr>
    </w:tbl>
    <w:p w14:paraId="37E62A02">
      <w:pPr>
        <w:widowControl/>
        <w:spacing w:after="40"/>
        <w:rPr>
          <w:rFonts w:hint="eastAsia" w:ascii="微软雅黑" w:hAnsi="微软雅黑" w:eastAsia="微软雅黑" w:cs="微软雅黑"/>
        </w:rPr>
      </w:pPr>
    </w:p>
    <w:p w14:paraId="0B238B8C">
      <w:pPr>
        <w:pStyle w:val="3"/>
        <w:keepNext/>
        <w:widowControl/>
        <w:pBdr>
          <w:bottom w:val="single" w:color="2F75B5" w:sz="12" w:space="6"/>
        </w:pBdr>
        <w:rPr>
          <w:rFonts w:hint="eastAsia" w:ascii="微软雅黑" w:hAnsi="微软雅黑" w:eastAsia="微软雅黑" w:cs="微软雅黑"/>
        </w:rPr>
      </w:pPr>
      <w:r>
        <w:rPr>
          <w:rFonts w:hint="eastAsia" w:ascii="微软雅黑" w:hAnsi="微软雅黑" w:eastAsia="微软雅黑" w:cs="微软雅黑"/>
        </w:rPr>
        <w:t>10. 参考文档与附件</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200"/>
        <w:gridCol w:w="3060"/>
        <w:gridCol w:w="1400"/>
      </w:tblGrid>
      <w:tr w14:paraId="138C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FB9C7B2">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资料类型</w:t>
            </w:r>
          </w:p>
        </w:tc>
        <w:tc>
          <w:tcPr>
            <w:tcW w:w="32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2E63C7A">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文档名称</w:t>
            </w:r>
          </w:p>
        </w:tc>
        <w:tc>
          <w:tcPr>
            <w:tcW w:w="30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F750A1A">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用途</w:t>
            </w:r>
          </w:p>
        </w:tc>
        <w:tc>
          <w:tcPr>
            <w:tcW w:w="1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1784770">
            <w:pPr>
              <w:keepNext/>
              <w:spacing w:before="40" w:after="40"/>
              <w:jc w:val="center"/>
              <w:rPr>
                <w:rFonts w:hint="eastAsia" w:ascii="微软雅黑" w:hAnsi="微软雅黑" w:eastAsia="微软雅黑" w:cs="微软雅黑"/>
              </w:rPr>
            </w:pPr>
            <w:r>
              <w:rPr>
                <w:rFonts w:hint="eastAsia" w:ascii="微软雅黑" w:hAnsi="微软雅黑" w:eastAsia="微软雅黑" w:cs="微软雅黑"/>
                <w:b/>
                <w:color w:val="FFFFFF"/>
                <w:sz w:val="17"/>
              </w:rPr>
              <w:t>版本/状态</w:t>
            </w:r>
          </w:p>
        </w:tc>
      </w:tr>
      <w:tr w14:paraId="4812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6B46A548">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系统设计</w:t>
            </w:r>
          </w:p>
        </w:tc>
        <w:tc>
          <w:tcPr>
            <w:tcW w:w="32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67B6B81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集成 T 系统设计</w:t>
            </w:r>
          </w:p>
        </w:tc>
        <w:tc>
          <w:tcPr>
            <w:tcW w:w="30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DF99937">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ticket、订单拉取、版本化回写与 Agent 学习设计依据</w:t>
            </w:r>
          </w:p>
        </w:tc>
        <w:tc>
          <w:tcPr>
            <w:tcW w:w="14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2A5EAFF">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当前版本</w:t>
            </w:r>
          </w:p>
        </w:tc>
      </w:tr>
      <w:tr w14:paraId="5E20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0B24889D">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实施计划</w:t>
            </w:r>
          </w:p>
        </w:tc>
        <w:tc>
          <w:tcPr>
            <w:tcW w:w="32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1410DB2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ePortal 集成 T 系统实施计划</w:t>
            </w:r>
          </w:p>
        </w:tc>
        <w:tc>
          <w:tcPr>
            <w:tcW w:w="306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462D4253">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测试先行的改造任务依据</w:t>
            </w:r>
          </w:p>
        </w:tc>
        <w:tc>
          <w:tcPr>
            <w:tcW w:w="1400" w:type="dxa"/>
            <w:tcBorders>
              <w:top w:val="single" w:color="D9E2F3" w:sz="4" w:space="0"/>
              <w:left w:val="single" w:color="D9E2F3" w:sz="4" w:space="0"/>
              <w:bottom w:val="single" w:color="D9E2F3" w:sz="4" w:space="0"/>
              <w:right w:val="single" w:color="D9E2F3" w:sz="4" w:space="0"/>
            </w:tcBorders>
            <w:shd w:val="clear" w:color="auto" w:fill="FFFFFF"/>
            <w:tcMar>
              <w:top w:w="80" w:type="dxa"/>
              <w:left w:w="120" w:type="dxa"/>
              <w:bottom w:w="80" w:type="dxa"/>
              <w:right w:w="120" w:type="dxa"/>
            </w:tcMar>
            <w:vAlign w:val="center"/>
          </w:tcPr>
          <w:p w14:paraId="65619736">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当前版本</w:t>
            </w:r>
          </w:p>
        </w:tc>
      </w:tr>
      <w:tr w14:paraId="5846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025FE12">
            <w:pPr>
              <w:spacing w:before="40" w:after="40"/>
              <w:jc w:val="center"/>
              <w:rPr>
                <w:rFonts w:hint="eastAsia" w:ascii="微软雅黑" w:hAnsi="微软雅黑" w:eastAsia="微软雅黑" w:cs="微软雅黑"/>
              </w:rPr>
            </w:pPr>
            <w:r>
              <w:rPr>
                <w:rFonts w:hint="eastAsia" w:ascii="微软雅黑" w:hAnsi="微软雅黑" w:eastAsia="微软雅黑" w:cs="微软雅黑"/>
                <w:b w:val="0"/>
                <w:color w:val="1F2937"/>
                <w:sz w:val="17"/>
              </w:rPr>
              <w:t>接口资料</w:t>
            </w:r>
          </w:p>
        </w:tc>
        <w:tc>
          <w:tcPr>
            <w:tcW w:w="32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79856C0A">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智眸识别字段与 ePortal 内部 API 契约</w:t>
            </w:r>
          </w:p>
        </w:tc>
        <w:tc>
          <w:tcPr>
            <w:tcW w:w="306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4C79AFAB">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待双方联调确认</w:t>
            </w:r>
          </w:p>
        </w:tc>
        <w:tc>
          <w:tcPr>
            <w:tcW w:w="1400" w:type="dxa"/>
            <w:tcBorders>
              <w:top w:val="single" w:color="D9E2F3" w:sz="4" w:space="0"/>
              <w:left w:val="single" w:color="D9E2F3" w:sz="4" w:space="0"/>
              <w:bottom w:val="single" w:color="D9E2F3" w:sz="4" w:space="0"/>
              <w:right w:val="single" w:color="D9E2F3" w:sz="4" w:space="0"/>
            </w:tcBorders>
            <w:shd w:val="clear" w:color="auto" w:fill="EEF5FB"/>
            <w:tcMar>
              <w:top w:w="80" w:type="dxa"/>
              <w:left w:w="120" w:type="dxa"/>
              <w:bottom w:w="80" w:type="dxa"/>
              <w:right w:w="120" w:type="dxa"/>
            </w:tcMar>
            <w:vAlign w:val="center"/>
          </w:tcPr>
          <w:p w14:paraId="35F07F9C">
            <w:pPr>
              <w:spacing w:before="40" w:after="40"/>
              <w:jc w:val="left"/>
              <w:rPr>
                <w:rFonts w:hint="eastAsia" w:ascii="微软雅黑" w:hAnsi="微软雅黑" w:eastAsia="微软雅黑" w:cs="微软雅黑"/>
              </w:rPr>
            </w:pPr>
            <w:r>
              <w:rPr>
                <w:rFonts w:hint="eastAsia" w:ascii="微软雅黑" w:hAnsi="微软雅黑" w:eastAsia="微软雅黑" w:cs="微软雅黑"/>
                <w:b w:val="0"/>
                <w:color w:val="1F2937"/>
                <w:sz w:val="17"/>
              </w:rPr>
              <w:t>待确认</w:t>
            </w:r>
          </w:p>
        </w:tc>
      </w:tr>
    </w:tbl>
    <w:p w14:paraId="75899660">
      <w:pPr>
        <w:widowControl/>
        <w:spacing w:after="40"/>
        <w:rPr>
          <w:rFonts w:hint="eastAsia" w:ascii="微软雅黑" w:hAnsi="微软雅黑" w:eastAsia="微软雅黑" w:cs="微软雅黑"/>
        </w:rPr>
      </w:pPr>
    </w:p>
    <w:sectPr>
      <w:headerReference r:id="rId6" w:type="first"/>
      <w:headerReference r:id="rId5" w:type="default"/>
      <w:footerReference r:id="rId7" w:type="default"/>
      <w:pgSz w:w="12240" w:h="15840"/>
      <w:pgMar w:top="1134" w:right="1219" w:bottom="1020" w:left="1219" w:header="181"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2138C">
    <w:pPr>
      <w:pStyle w:val="24"/>
      <w:jc w:val="center"/>
    </w:pPr>
    <w:r>
      <w:rPr>
        <w:rFonts w:ascii="微软雅黑" w:hAnsi="微软雅黑" w:eastAsia="微软雅黑"/>
        <w:color w:val="667085"/>
        <w:sz w:val="16"/>
      </w:rPr>
      <w:t xml:space="preserve">第 </w:t>
    </w:r>
    <w:r>
      <w:fldChar w:fldCharType="begin"/>
    </w:r>
    <w:r>
      <w:instrText xml:space="preserve">PAGE</w:instrText>
    </w:r>
    <w:r>
      <w:fldChar w:fldCharType="separate"/>
    </w:r>
    <w:r>
      <w:fldChar w:fldCharType="end"/>
    </w:r>
    <w:r>
      <w:rPr>
        <w:rFonts w:ascii="微软雅黑" w:hAnsi="微软雅黑" w:eastAsia="微软雅黑"/>
        <w:color w:val="667085"/>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83580">
    <w:pPr>
      <w:spacing w:before="0" w:after="0"/>
      <w:jc w:val="center"/>
    </w:pPr>
    <w:r>
      <w:drawing>
        <wp:inline distT="0" distB="0" distL="114300" distR="114300">
          <wp:extent cx="5849620" cy="804545"/>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5850000" cy="80495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A78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363476"/>
    <w:rsid w:val="1AEA1593"/>
    <w:rsid w:val="28DC32E3"/>
    <w:rsid w:val="30791506"/>
    <w:rsid w:val="4C913566"/>
    <w:rsid w:val="55A0213D"/>
    <w:rsid w:val="5B37388B"/>
    <w:rsid w:val="5F853112"/>
    <w:rsid w:val="63876992"/>
    <w:rsid w:val="799D49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7" w:lineRule="auto"/>
    </w:pPr>
    <w:rPr>
      <w:rFonts w:ascii="微软雅黑" w:hAnsi="微软雅黑" w:eastAsia="微软雅黑" w:cstheme="minorBidi"/>
      <w:color w:val="1F2937"/>
      <w:sz w:val="21"/>
      <w:szCs w:val="22"/>
      <w:lang w:val="en-US" w:eastAsia="en-US" w:bidi="ar-SA"/>
    </w:rPr>
  </w:style>
  <w:style w:type="paragraph" w:styleId="3">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17365D"/>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F75B5"/>
      <w:sz w:val="25"/>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17365D"/>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5004</Words>
  <Characters>7611</Characters>
  <Lines>0</Lines>
  <Paragraphs>0</Paragraphs>
  <TotalTime>80</TotalTime>
  <ScaleCrop>false</ScaleCrop>
  <LinksUpToDate>false</LinksUpToDate>
  <CharactersWithSpaces>7963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 系统项目组</dc:creator>
  <dc:description>History data initialization and no-cold-start requirements added.</dc:description>
  <cp:lastModifiedBy>（recollect 回忆</cp:lastModifiedBy>
  <dcterms:modified xsi:type="dcterms:W3CDTF">2026-09-03T08:06:10Z</dcterms:modified>
  <dc:subject>智眸、T 系统与 ePortal 订单协同</dc:subject>
  <dc:title>T 系统需求规格说明书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eyJoZGlkIjoiNTRjZDdiOTlmNmE1YTBiMjhhNjUyZDQxNjk1YTg1NzUiLCJ1c2VySWQiOiI4NTgwMzU3MjkifQ==</vt:lpwstr>
  </property>
  <property fmtid="{D5CDD505-2E9C-101B-9397-08002B2CF9AE}" pid="3" name="KSOProductBuildVer">
    <vt:lpwstr>2052-12.1.0.28043</vt:lpwstr>
  </property>
  <property fmtid="{D5CDD505-2E9C-101B-9397-08002B2CF9AE}" pid="4" name="ICV">
    <vt:lpwstr>3B614C2D852C4B4AB65DE2C6AFC08E7C_12</vt:lpwstr>
  </property>
</Properties>
</file>