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53314" w14:textId="77777777" w:rsidR="00E637EB" w:rsidRDefault="00E637EB" w:rsidP="00E637EB">
      <w:r w:rsidRPr="00E637EB">
        <w:t>NGS is broad and very sensitive, but turning it into a validated, GMP-</w:t>
      </w:r>
      <w:proofErr w:type="gramStart"/>
      <w:r w:rsidRPr="00E637EB">
        <w:t>ready limit</w:t>
      </w:r>
      <w:proofErr w:type="gramEnd"/>
      <w:r w:rsidRPr="00E637EB">
        <w:t xml:space="preserve"> test for complex manufacturing samples is hard. That is why recent standards focus so heavily on validation, controls, and product-specific suitability: FDA finalized ICH Q5A(R2) in January 2024, and the new Ph. Eur. chapter 2.6.41 entered into force on April 1, 2026. </w:t>
      </w:r>
    </w:p>
    <w:p w14:paraId="78BCC36B" w14:textId="7C507B7F" w:rsidR="00E637EB" w:rsidRDefault="00E637EB" w:rsidP="00E637EB">
      <w:hyperlink r:id="rId5" w:history="1">
        <w:r w:rsidRPr="00E637EB">
          <w:rPr>
            <w:rStyle w:val="Hyperlink"/>
          </w:rPr>
          <w:t>Q5A(R2) Viral Safety Evaluation of Biotechnology Products Derived from Cell Lines of Human or Animal Origin | FDA</w:t>
        </w:r>
      </w:hyperlink>
    </w:p>
    <w:p w14:paraId="2A1B9E5C" w14:textId="71630FE0" w:rsidR="00E637EB" w:rsidRDefault="00E637EB" w:rsidP="00E637EB">
      <w:hyperlink r:id="rId6" w:history="1">
        <w:r w:rsidRPr="00E637EB">
          <w:rPr>
            <w:rStyle w:val="Hyperlink"/>
          </w:rPr>
          <w:t>EPC adopts cutting-edge HTS chapter to enhance viral contaminant detection in biological products - European Directorate for the Quality of Medicines &amp; HealthCare</w:t>
        </w:r>
      </w:hyperlink>
    </w:p>
    <w:p w14:paraId="27A5BEC4" w14:textId="77DF4945" w:rsidR="00E637EB" w:rsidRPr="00E637EB" w:rsidRDefault="00E637EB" w:rsidP="00E637EB">
      <w:hyperlink r:id="rId7" w:history="1">
        <w:r w:rsidRPr="00E637EB">
          <w:rPr>
            <w:rStyle w:val="Hyperlink"/>
          </w:rPr>
          <w:t xml:space="preserve">Report </w:t>
        </w:r>
        <w:proofErr w:type="gramStart"/>
        <w:r w:rsidRPr="00E637EB">
          <w:rPr>
            <w:rStyle w:val="Hyperlink"/>
          </w:rPr>
          <w:t>of</w:t>
        </w:r>
        <w:proofErr w:type="gramEnd"/>
        <w:r w:rsidRPr="00E637EB">
          <w:rPr>
            <w:rStyle w:val="Hyperlink"/>
          </w:rPr>
          <w:t xml:space="preserve"> the fourth conference on next-generation sequencing (NGS) for adventitious virus detection in biologics for humans and animals: Validation and implementation of NGS - PMC</w:t>
        </w:r>
      </w:hyperlink>
    </w:p>
    <w:p w14:paraId="195531BA" w14:textId="77777777" w:rsidR="00E637EB" w:rsidRDefault="00E637EB" w:rsidP="00E637EB">
      <w:r w:rsidRPr="00E637EB">
        <w:rPr>
          <w:b/>
          <w:bCs/>
        </w:rPr>
        <w:t>Matrix/background interference</w:t>
      </w:r>
      <w:r w:rsidRPr="00E637EB">
        <w:rPr>
          <w:b/>
          <w:bCs/>
        </w:rPr>
        <w:br/>
      </w:r>
      <w:r w:rsidRPr="00E637EB">
        <w:t xml:space="preserve">Host-cell nucleic acid, product nucleic acid, serum/raw-material carryover, and other background can swamp low-level adventitious-agent signal. Recent discussions frame specificity in NGS as the ability to detect viral nucleic acid within a complex matrix and discriminate it from background. In practice, this is addressed with matrix-specific extraction, sometimes host/background reduction or viral-enrichment steps, separate DNA/RNA coverage where needed, and validation in the actual sample type and process stage rather than in a clean surrogate alone. </w:t>
      </w:r>
    </w:p>
    <w:p w14:paraId="20CFA432" w14:textId="57378659" w:rsidR="00E637EB" w:rsidRDefault="00E637EB" w:rsidP="00E637EB">
      <w:hyperlink r:id="rId8" w:history="1">
        <w:r w:rsidRPr="00E637EB">
          <w:rPr>
            <w:rStyle w:val="Hyperlink"/>
          </w:rPr>
          <w:t xml:space="preserve">Report </w:t>
        </w:r>
        <w:proofErr w:type="gramStart"/>
        <w:r w:rsidRPr="00E637EB">
          <w:rPr>
            <w:rStyle w:val="Hyperlink"/>
          </w:rPr>
          <w:t>of</w:t>
        </w:r>
        <w:proofErr w:type="gramEnd"/>
        <w:r w:rsidRPr="00E637EB">
          <w:rPr>
            <w:rStyle w:val="Hyperlink"/>
          </w:rPr>
          <w:t xml:space="preserve"> the fourth conference on next-generation sequencing (NGS) for adventitious virus detection in biologics for humans and animals: Validation and implementation of NGS - PMC</w:t>
        </w:r>
      </w:hyperlink>
    </w:p>
    <w:p w14:paraId="552CC4F4" w14:textId="77777777" w:rsidR="00E637EB" w:rsidRDefault="00E637EB" w:rsidP="00E637EB">
      <w:hyperlink r:id="rId9" w:history="1">
        <w:r w:rsidRPr="00E637EB">
          <w:rPr>
            <w:rStyle w:val="Hyperlink"/>
          </w:rPr>
          <w:t>EPC adopts cutting-edge HTS chapter to enhance viral contaminant detection in biological products - European Directorate for the Quality of Medicines &amp; HealthCare</w:t>
        </w:r>
      </w:hyperlink>
    </w:p>
    <w:p w14:paraId="0F4FDBE7" w14:textId="1CC20A1B" w:rsidR="00E637EB" w:rsidRPr="00E637EB" w:rsidRDefault="00E637EB" w:rsidP="00E637EB">
      <w:hyperlink r:id="rId10" w:history="1">
        <w:r w:rsidRPr="00E637EB">
          <w:rPr>
            <w:rStyle w:val="Hyperlink"/>
          </w:rPr>
          <w:t xml:space="preserve">Sensitivity and breadth of detection of high-throughput sequencing for adventitious virus detection | </w:t>
        </w:r>
        <w:proofErr w:type="spellStart"/>
        <w:r w:rsidRPr="00E637EB">
          <w:rPr>
            <w:rStyle w:val="Hyperlink"/>
          </w:rPr>
          <w:t>npj</w:t>
        </w:r>
        <w:proofErr w:type="spellEnd"/>
        <w:r w:rsidRPr="00E637EB">
          <w:rPr>
            <w:rStyle w:val="Hyperlink"/>
          </w:rPr>
          <w:t xml:space="preserve"> Vaccines</w:t>
        </w:r>
      </w:hyperlink>
    </w:p>
    <w:p w14:paraId="74616D88" w14:textId="77777777" w:rsidR="00E637EB" w:rsidRDefault="00E637EB" w:rsidP="00E637EB">
      <w:r w:rsidRPr="00E637EB">
        <w:rPr>
          <w:b/>
          <w:bCs/>
        </w:rPr>
        <w:t>Sensitivity is not uniform across agents</w:t>
      </w:r>
      <w:r w:rsidRPr="00E637EB">
        <w:rPr>
          <w:b/>
          <w:bCs/>
        </w:rPr>
        <w:br/>
      </w:r>
      <w:r w:rsidRPr="00E637EB">
        <w:t xml:space="preserve">NGS does not have one universal limit of detection. Performance varies by genome type, genome size, replication state, enrichment strategy, and matrix. Recent validation studies reported LODs around 10^3 to 10^4 genome copies in some cell-based contexts, while broader HTS studies also showed that sensitivity depends on the virus and matrix, with some viruses detected better than others. The fix is to validate with a representative spike panel spanning RNA and DNA viruses, enveloped and non-enveloped agents, small and </w:t>
      </w:r>
      <w:r w:rsidRPr="00E637EB">
        <w:lastRenderedPageBreak/>
        <w:t xml:space="preserve">large genomes, and relevant matrices, then set matrix-specific acceptance criteria instead of claiming a single platform-wide LOD. </w:t>
      </w:r>
    </w:p>
    <w:p w14:paraId="2FF991D0" w14:textId="3505CCD9" w:rsidR="00E637EB" w:rsidRDefault="00E637EB" w:rsidP="00E637EB">
      <w:hyperlink r:id="rId11" w:history="1">
        <w:r w:rsidRPr="00E637EB">
          <w:rPr>
            <w:rStyle w:val="Hyperlink"/>
          </w:rPr>
          <w:t>Validation of a next generation sequencing method for adventitious virus detection: Demonstration of sensitivity in multiple cell lines - ScienceDirect</w:t>
        </w:r>
      </w:hyperlink>
    </w:p>
    <w:p w14:paraId="21D46F45" w14:textId="02CEB9F6" w:rsidR="00E637EB" w:rsidRPr="00E637EB" w:rsidRDefault="00E637EB" w:rsidP="00E637EB">
      <w:hyperlink r:id="rId12" w:history="1">
        <w:r w:rsidRPr="00E637EB">
          <w:rPr>
            <w:rStyle w:val="Hyperlink"/>
          </w:rPr>
          <w:t xml:space="preserve">Sensitivity and breadth of detection of high-throughput sequencing for adventitious virus detection | </w:t>
        </w:r>
        <w:proofErr w:type="spellStart"/>
        <w:r w:rsidRPr="00E637EB">
          <w:rPr>
            <w:rStyle w:val="Hyperlink"/>
          </w:rPr>
          <w:t>npj</w:t>
        </w:r>
        <w:proofErr w:type="spellEnd"/>
        <w:r w:rsidRPr="00E637EB">
          <w:rPr>
            <w:rStyle w:val="Hyperlink"/>
          </w:rPr>
          <w:t xml:space="preserve"> Vaccines</w:t>
        </w:r>
      </w:hyperlink>
    </w:p>
    <w:p w14:paraId="58B3E6C0" w14:textId="77777777" w:rsidR="00E637EB" w:rsidRDefault="00E637EB" w:rsidP="00E637EB">
      <w:r w:rsidRPr="00E637EB">
        <w:rPr>
          <w:b/>
          <w:bCs/>
        </w:rPr>
        <w:t xml:space="preserve">False positives from contamination and </w:t>
      </w:r>
      <w:proofErr w:type="gramStart"/>
      <w:r w:rsidRPr="00E637EB">
        <w:rPr>
          <w:b/>
          <w:bCs/>
        </w:rPr>
        <w:t>cross-talk</w:t>
      </w:r>
      <w:proofErr w:type="gramEnd"/>
      <w:r w:rsidRPr="00E637EB">
        <w:rPr>
          <w:b/>
          <w:bCs/>
        </w:rPr>
        <w:br/>
      </w:r>
      <w:r w:rsidRPr="00E637EB">
        <w:t xml:space="preserve">Because NGS is so sensitive, it can detect reagent contaminants, environmental carryover, and cross-contaminating nucleic acid that are not true sample positives. Nature’s HTS study explicitly notes that the method can be “overly sensitive” to background and cross-contaminating viral nucleic acids, and contamination reviews emphasize that this is especially severe in low-biomass samples. The practical response is strong contamination control: physical segregation, batch-aware review, process blanks and no-template controls, negative extraction controls sequenced alongside samples, careful index/sample-sheet design, and predefined contamination-review rules. </w:t>
      </w:r>
    </w:p>
    <w:p w14:paraId="603AB50E" w14:textId="77777777" w:rsidR="00E637EB" w:rsidRPr="00E637EB" w:rsidRDefault="00E637EB" w:rsidP="00E637EB">
      <w:hyperlink r:id="rId13" w:history="1">
        <w:r w:rsidRPr="00E637EB">
          <w:rPr>
            <w:rStyle w:val="Hyperlink"/>
          </w:rPr>
          <w:t xml:space="preserve">Sensitivity and breadth of detection of high-throughput sequencing for adventitious virus detection | </w:t>
        </w:r>
        <w:proofErr w:type="spellStart"/>
        <w:r w:rsidRPr="00E637EB">
          <w:rPr>
            <w:rStyle w:val="Hyperlink"/>
          </w:rPr>
          <w:t>npj</w:t>
        </w:r>
        <w:proofErr w:type="spellEnd"/>
        <w:r w:rsidRPr="00E637EB">
          <w:rPr>
            <w:rStyle w:val="Hyperlink"/>
          </w:rPr>
          <w:t xml:space="preserve"> Vaccines</w:t>
        </w:r>
      </w:hyperlink>
    </w:p>
    <w:p w14:paraId="5F88E96C" w14:textId="491C1E15" w:rsidR="00E637EB" w:rsidRDefault="0053088F" w:rsidP="00E637EB">
      <w:hyperlink r:id="rId14" w:history="1">
        <w:r w:rsidRPr="0053088F">
          <w:rPr>
            <w:rStyle w:val="Hyperlink"/>
          </w:rPr>
          <w:t>Contamination Issue in Viral Metagenomics: Problems, Solutions, and Clinical Perspectives - PMC</w:t>
        </w:r>
      </w:hyperlink>
    </w:p>
    <w:p w14:paraId="32ABDE4D" w14:textId="397B7394" w:rsidR="0053088F" w:rsidRDefault="0053088F" w:rsidP="00E637EB">
      <w:hyperlink r:id="rId15" w:history="1">
        <w:r w:rsidRPr="0053088F">
          <w:rPr>
            <w:rStyle w:val="Hyperlink"/>
          </w:rPr>
          <w:t>Guidelines for preventing and reporting contamination in low-biomass microbiome studies | Nature Microbiology</w:t>
        </w:r>
      </w:hyperlink>
    </w:p>
    <w:p w14:paraId="08A846C5" w14:textId="77777777" w:rsidR="00E637EB" w:rsidRDefault="00E637EB" w:rsidP="00E637EB">
      <w:r w:rsidRPr="00E637EB">
        <w:rPr>
          <w:b/>
          <w:bCs/>
        </w:rPr>
        <w:t>Bioinformatics/database errors</w:t>
      </w:r>
      <w:r w:rsidRPr="00E637EB">
        <w:rPr>
          <w:b/>
          <w:bCs/>
        </w:rPr>
        <w:br/>
      </w:r>
      <w:r w:rsidRPr="00E637EB">
        <w:t xml:space="preserve">A major technical challenge is distinguishing real viral signal from host-derived, misannotated, adapter/vector, or low-complexity artifacts. FDA/CBER’s RVDB work and its recent refinement paper highlight that false calls can come from host fragments flanking viral entries, </w:t>
      </w:r>
      <w:proofErr w:type="spellStart"/>
      <w:r w:rsidRPr="00E637EB">
        <w:t>misannotation</w:t>
      </w:r>
      <w:proofErr w:type="spellEnd"/>
      <w:r w:rsidRPr="00E637EB">
        <w:t xml:space="preserve">, </w:t>
      </w:r>
      <w:proofErr w:type="spellStart"/>
      <w:r w:rsidRPr="00E637EB">
        <w:t>misassembly</w:t>
      </w:r>
      <w:proofErr w:type="spellEnd"/>
      <w:r w:rsidRPr="00E637EB">
        <w:t xml:space="preserve">, and adapter/vector leakage. The answer is not “better software” in the abstract; it is a locked, versioned, curated pipeline using curated viral references, explicit host subtraction, documented filters, and a second orthogonal analysis layer for divergent/novel-virus detection rather than a single classifier pass. </w:t>
      </w:r>
    </w:p>
    <w:p w14:paraId="6749C614" w14:textId="7F7085BB" w:rsidR="0053088F" w:rsidRDefault="0053088F" w:rsidP="00E637EB">
      <w:hyperlink r:id="rId16" w:history="1">
        <w:r w:rsidRPr="0053088F">
          <w:rPr>
            <w:rStyle w:val="Hyperlink"/>
          </w:rPr>
          <w:t>Refinement of the Reference Viral Database (RVDB) for improving bioinformatics analysis of virus detection by high-throughput sequencing (HTS) - PMC</w:t>
        </w:r>
      </w:hyperlink>
    </w:p>
    <w:p w14:paraId="5A0F193B" w14:textId="05E86586" w:rsidR="0053088F" w:rsidRDefault="0053088F" w:rsidP="00E637EB">
      <w:hyperlink r:id="rId17" w:history="1">
        <w:r w:rsidRPr="0053088F">
          <w:rPr>
            <w:rStyle w:val="Hyperlink"/>
          </w:rPr>
          <w:t>A Non-Redundant, Reference Virus Database (RVDB) for Adventitious Virus Detection in Biologics Using High-Throughput Sequencing (HTS) Technologies | FDA</w:t>
        </w:r>
      </w:hyperlink>
    </w:p>
    <w:p w14:paraId="70DEB9CC" w14:textId="29191050" w:rsidR="0053088F" w:rsidRPr="00E637EB" w:rsidRDefault="0053088F" w:rsidP="00E637EB">
      <w:hyperlink r:id="rId18" w:history="1">
        <w:r w:rsidRPr="0053088F">
          <w:rPr>
            <w:rStyle w:val="Hyperlink"/>
          </w:rPr>
          <w:t>Refinement of the Reference Viral Database (RVDB) for improving bioinformatics analysis of virus detection by high-throughput sequencing (HTS) - PubMed</w:t>
        </w:r>
      </w:hyperlink>
    </w:p>
    <w:p w14:paraId="3AAFA013" w14:textId="77777777" w:rsidR="00E637EB" w:rsidRDefault="00E637EB" w:rsidP="00E637EB">
      <w:r w:rsidRPr="00E637EB">
        <w:rPr>
          <w:b/>
          <w:bCs/>
        </w:rPr>
        <w:t>Calling thresholds are hard to set</w:t>
      </w:r>
      <w:r w:rsidRPr="00E637EB">
        <w:rPr>
          <w:b/>
          <w:bCs/>
        </w:rPr>
        <w:br/>
      </w:r>
      <w:r w:rsidRPr="00E637EB">
        <w:t xml:space="preserve">Recent conference reports say one of the main remaining gaps is how to set thresholds for bioinformatics algorithms and define the assay’s LOD and specificity as a limit test. A practical way forward is to predefine decision rules such as minimum read evidence, contig support, genome coverage expectations, replicate behavior, control normalization, and criteria for “detected,” “indeterminate,” and “not detected.” Positive NGS signals also need a planned follow-up strategy rather than ad hoc interpretation. </w:t>
      </w:r>
    </w:p>
    <w:p w14:paraId="75F4782B" w14:textId="2C880F64" w:rsidR="0053088F" w:rsidRDefault="0053088F" w:rsidP="00E637EB">
      <w:hyperlink r:id="rId19" w:history="1">
        <w:r w:rsidRPr="0053088F">
          <w:rPr>
            <w:rStyle w:val="Hyperlink"/>
          </w:rPr>
          <w:t xml:space="preserve">Report </w:t>
        </w:r>
        <w:proofErr w:type="gramStart"/>
        <w:r w:rsidRPr="0053088F">
          <w:rPr>
            <w:rStyle w:val="Hyperlink"/>
          </w:rPr>
          <w:t>of</w:t>
        </w:r>
        <w:proofErr w:type="gramEnd"/>
        <w:r w:rsidRPr="0053088F">
          <w:rPr>
            <w:rStyle w:val="Hyperlink"/>
          </w:rPr>
          <w:t xml:space="preserve"> the fourth conference on next-generation sequencing (NGS) for adventitious virus detection in biologics for humans and animals: Validation and implementation of NGS - PMC</w:t>
        </w:r>
      </w:hyperlink>
    </w:p>
    <w:p w14:paraId="393FB662" w14:textId="0D5FDB40" w:rsidR="0053088F" w:rsidRDefault="0053088F" w:rsidP="00E637EB">
      <w:hyperlink r:id="rId20" w:history="1">
        <w:r w:rsidRPr="0053088F">
          <w:rPr>
            <w:rStyle w:val="Hyperlink"/>
          </w:rPr>
          <w:t xml:space="preserve">Report </w:t>
        </w:r>
        <w:proofErr w:type="gramStart"/>
        <w:r w:rsidRPr="0053088F">
          <w:rPr>
            <w:rStyle w:val="Hyperlink"/>
          </w:rPr>
          <w:t>of</w:t>
        </w:r>
        <w:proofErr w:type="gramEnd"/>
        <w:r w:rsidRPr="0053088F">
          <w:rPr>
            <w:rStyle w:val="Hyperlink"/>
          </w:rPr>
          <w:t xml:space="preserve"> the fourth conference on next-generation sequencing (NGS) for adventitious virus detection in biologics for humans and animals: Validation and implementation of NGS - ScienceDirect</w:t>
        </w:r>
      </w:hyperlink>
    </w:p>
    <w:p w14:paraId="0DB7FA0C" w14:textId="1CCD3BD2" w:rsidR="0053088F" w:rsidRPr="00E637EB" w:rsidRDefault="0053088F" w:rsidP="00E637EB">
      <w:hyperlink r:id="rId21" w:history="1">
        <w:r w:rsidRPr="0053088F">
          <w:rPr>
            <w:rStyle w:val="Hyperlink"/>
          </w:rPr>
          <w:t xml:space="preserve">Report </w:t>
        </w:r>
        <w:proofErr w:type="gramStart"/>
        <w:r w:rsidRPr="0053088F">
          <w:rPr>
            <w:rStyle w:val="Hyperlink"/>
          </w:rPr>
          <w:t>of</w:t>
        </w:r>
        <w:proofErr w:type="gramEnd"/>
        <w:r w:rsidRPr="0053088F">
          <w:rPr>
            <w:rStyle w:val="Hyperlink"/>
          </w:rPr>
          <w:t xml:space="preserve"> the second international conference on next generation sequencing for adventitious virus detection in biologics for humans and animals - PMC</w:t>
        </w:r>
      </w:hyperlink>
    </w:p>
    <w:p w14:paraId="7E9CCEB1" w14:textId="77777777" w:rsidR="00E637EB" w:rsidRDefault="00E637EB" w:rsidP="00E637EB">
      <w:r w:rsidRPr="00E637EB">
        <w:rPr>
          <w:b/>
          <w:bCs/>
        </w:rPr>
        <w:t>Reproducibility across platforms and labs</w:t>
      </w:r>
      <w:r w:rsidRPr="00E637EB">
        <w:rPr>
          <w:b/>
          <w:bCs/>
        </w:rPr>
        <w:br/>
      </w:r>
      <w:r w:rsidRPr="00E637EB">
        <w:t xml:space="preserve">Different extraction methods, library-prep kits, instruments, and pipelines can all shift results. FDA’s multicenter work showed that comparability across laboratories is achievable, but only when the workflow is anchored by well-characterized reference materials and validation targets. WHO’s reference-standard effort was proposed for exactly this reason: to support sensitivity, specificity, and reproducibility across key NGS steps. </w:t>
      </w:r>
    </w:p>
    <w:p w14:paraId="6DDF8DED" w14:textId="37EE707E" w:rsidR="0053088F" w:rsidRDefault="0053088F" w:rsidP="00E637EB">
      <w:hyperlink r:id="rId22" w:history="1">
        <w:r w:rsidRPr="0053088F">
          <w:rPr>
            <w:rStyle w:val="Hyperlink"/>
          </w:rPr>
          <w:t>Results of FDA study support development of high throughput sequencing for viral safety evaluation of biologic materials | FDA</w:t>
        </w:r>
      </w:hyperlink>
    </w:p>
    <w:p w14:paraId="62ADC817" w14:textId="4B5600B0" w:rsidR="0053088F" w:rsidRDefault="0053088F" w:rsidP="00E637EB">
      <w:hyperlink r:id="rId23" w:history="1">
        <w:r w:rsidRPr="0053088F">
          <w:rPr>
            <w:rStyle w:val="Hyperlink"/>
          </w:rPr>
          <w:t>EPC adopts cutting-edge HTS chapter to enhance viral contaminant detection in biological products - European Directorate for the Quality of Medicines &amp; HealthCare</w:t>
        </w:r>
      </w:hyperlink>
    </w:p>
    <w:p w14:paraId="0355A13D" w14:textId="3F066C28" w:rsidR="00354F73" w:rsidRDefault="00354F73" w:rsidP="00E637EB">
      <w:hyperlink r:id="rId24" w:history="1">
        <w:r w:rsidRPr="00354F73">
          <w:rPr>
            <w:rStyle w:val="Hyperlink"/>
          </w:rPr>
          <w:t>WHO/BS/2023.2464 Requests to initiate new WHO reference material projects for biologicals</w:t>
        </w:r>
      </w:hyperlink>
    </w:p>
    <w:p w14:paraId="0F911009" w14:textId="34E86195" w:rsidR="00354F73" w:rsidRPr="00E637EB" w:rsidRDefault="00354F73" w:rsidP="00E637EB">
      <w:hyperlink r:id="rId25" w:history="1">
        <w:r w:rsidRPr="00354F73">
          <w:rPr>
            <w:rStyle w:val="Hyperlink"/>
          </w:rPr>
          <w:t>WHO/BS/2020.2383 Requests to initiate new WHO reference material projects for biologicals</w:t>
        </w:r>
      </w:hyperlink>
    </w:p>
    <w:p w14:paraId="60B25BAD" w14:textId="77777777" w:rsidR="00E637EB" w:rsidRDefault="00E637EB" w:rsidP="00E637EB">
      <w:r w:rsidRPr="00E637EB">
        <w:rPr>
          <w:b/>
          <w:bCs/>
        </w:rPr>
        <w:t>Product-specific validation burden</w:t>
      </w:r>
      <w:r w:rsidRPr="00E637EB">
        <w:rPr>
          <w:b/>
          <w:bCs/>
        </w:rPr>
        <w:br/>
      </w:r>
      <w:r w:rsidRPr="00E637EB">
        <w:t xml:space="preserve">A method that works for a cell bank may not be fit for a live viral vaccine, a gene-therapy </w:t>
      </w:r>
      <w:r w:rsidRPr="00E637EB">
        <w:lastRenderedPageBreak/>
        <w:t xml:space="preserve">vector, or a cell-therapy matrix. Recent validation work in a live vaccine matrix makes the point directly: suitability </w:t>
      </w:r>
      <w:proofErr w:type="gramStart"/>
      <w:r w:rsidRPr="00E637EB">
        <w:t>has to</w:t>
      </w:r>
      <w:proofErr w:type="gramEnd"/>
      <w:r w:rsidRPr="00E637EB">
        <w:t xml:space="preserve"> be shown in the product context, not assumed from generic platform performance. That means product- and stage-specific studies for extraction recovery, matrix inhibition, spike recovery, interference, robustness, and reporting thresholds. </w:t>
      </w:r>
    </w:p>
    <w:p w14:paraId="2E6EF3AC" w14:textId="2A6C91A8" w:rsidR="00EF4EF5" w:rsidRDefault="00EF4EF5" w:rsidP="00E637EB">
      <w:hyperlink r:id="rId26" w:history="1">
        <w:r w:rsidRPr="00EF4EF5">
          <w:rPr>
            <w:rStyle w:val="Hyperlink"/>
          </w:rPr>
          <w:t xml:space="preserve">Validation of a Next Generation Sequencing Method for adventitious </w:t>
        </w:r>
        <w:proofErr w:type="gramStart"/>
        <w:r w:rsidRPr="00EF4EF5">
          <w:rPr>
            <w:rStyle w:val="Hyperlink"/>
          </w:rPr>
          <w:t>agents</w:t>
        </w:r>
        <w:proofErr w:type="gramEnd"/>
        <w:r w:rsidRPr="00EF4EF5">
          <w:rPr>
            <w:rStyle w:val="Hyperlink"/>
          </w:rPr>
          <w:t xml:space="preserve"> detection in a live vaccine matrix - ScienceDirect</w:t>
        </w:r>
      </w:hyperlink>
    </w:p>
    <w:p w14:paraId="68229E1A" w14:textId="1370497D" w:rsidR="00EF4EF5" w:rsidRPr="00E637EB" w:rsidRDefault="007F786E" w:rsidP="00E637EB">
      <w:hyperlink r:id="rId27" w:history="1">
        <w:r w:rsidRPr="007F786E">
          <w:rPr>
            <w:rStyle w:val="Hyperlink"/>
          </w:rPr>
          <w:t>EPC adopts cutting-edge HTS chapter to enhance viral contaminant detection in biological products - European Directorate for the Quality of Medicines &amp; HealthCare</w:t>
        </w:r>
      </w:hyperlink>
    </w:p>
    <w:p w14:paraId="3573F3F5" w14:textId="77777777" w:rsidR="00E637EB" w:rsidRDefault="00E637EB" w:rsidP="00E637EB">
      <w:r w:rsidRPr="00E637EB">
        <w:rPr>
          <w:b/>
          <w:bCs/>
        </w:rPr>
        <w:t xml:space="preserve">Operationalization under </w:t>
      </w:r>
      <w:proofErr w:type="spellStart"/>
      <w:r w:rsidRPr="00E637EB">
        <w:rPr>
          <w:b/>
          <w:bCs/>
        </w:rPr>
        <w:t>GxP</w:t>
      </w:r>
      <w:proofErr w:type="spellEnd"/>
      <w:r w:rsidRPr="00E637EB">
        <w:rPr>
          <w:b/>
          <w:bCs/>
        </w:rPr>
        <w:br/>
      </w:r>
      <w:r w:rsidRPr="00E637EB">
        <w:t xml:space="preserve">Even when the science works, implementation can stall because assay development takes time, bioinformatics expertise is scarce, and analysis time may be too long for some modalities. The way to address this is with a validated end-to-end workflow: frozen software/database versions, audit trails, sample-to-report traceability, predefined QC gates, and a </w:t>
      </w:r>
      <w:proofErr w:type="gramStart"/>
      <w:r w:rsidRPr="00E637EB">
        <w:t>narrow intended</w:t>
      </w:r>
      <w:proofErr w:type="gramEnd"/>
      <w:r w:rsidRPr="00E637EB">
        <w:t xml:space="preserve"> use at first rather than trying to make one assay cover every matrix and decision point. </w:t>
      </w:r>
    </w:p>
    <w:p w14:paraId="616F9789" w14:textId="6DACCE80" w:rsidR="001F179A" w:rsidRDefault="001F179A" w:rsidP="00E637EB">
      <w:hyperlink r:id="rId28" w:history="1">
        <w:r w:rsidRPr="001F179A">
          <w:rPr>
            <w:rStyle w:val="Hyperlink"/>
          </w:rPr>
          <w:t xml:space="preserve">Report </w:t>
        </w:r>
        <w:proofErr w:type="gramStart"/>
        <w:r w:rsidRPr="001F179A">
          <w:rPr>
            <w:rStyle w:val="Hyperlink"/>
          </w:rPr>
          <w:t>of</w:t>
        </w:r>
        <w:proofErr w:type="gramEnd"/>
        <w:r w:rsidRPr="001F179A">
          <w:rPr>
            <w:rStyle w:val="Hyperlink"/>
          </w:rPr>
          <w:t xml:space="preserve"> the fourth conference on next-generation sequencing (NGS) for adventitious virus detection in biologics for humans and animals: Validation and implementation of NGS - PMC</w:t>
        </w:r>
      </w:hyperlink>
    </w:p>
    <w:p w14:paraId="2A172C8C" w14:textId="17234407" w:rsidR="001F179A" w:rsidRPr="00E637EB" w:rsidRDefault="001F179A" w:rsidP="00E637EB">
      <w:hyperlink r:id="rId29" w:history="1">
        <w:r w:rsidRPr="001F179A">
          <w:rPr>
            <w:rStyle w:val="Hyperlink"/>
          </w:rPr>
          <w:t>EPC adopts cutting-edge HTS chapter to enhance viral contaminant detection in biological products - European Directorate for the Quality of Medicines &amp; HealthCare</w:t>
        </w:r>
      </w:hyperlink>
    </w:p>
    <w:p w14:paraId="1D6C0C8C" w14:textId="77777777" w:rsidR="00957B6D" w:rsidRPr="00E637EB" w:rsidRDefault="00957B6D" w:rsidP="00E637EB"/>
    <w:sectPr w:rsidR="00957B6D" w:rsidRPr="00E637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D55DE7"/>
    <w:multiLevelType w:val="multilevel"/>
    <w:tmpl w:val="5F940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7823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7EB"/>
    <w:rsid w:val="001F179A"/>
    <w:rsid w:val="00354F73"/>
    <w:rsid w:val="0053088F"/>
    <w:rsid w:val="005B21E5"/>
    <w:rsid w:val="006E0270"/>
    <w:rsid w:val="007F786E"/>
    <w:rsid w:val="00957B6D"/>
    <w:rsid w:val="00973E10"/>
    <w:rsid w:val="009F4B84"/>
    <w:rsid w:val="00E637EB"/>
    <w:rsid w:val="00EF4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241F0"/>
  <w15:chartTrackingRefBased/>
  <w15:docId w15:val="{6CFA3151-9D44-43D1-B9EF-9C53F7387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7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37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37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37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37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37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37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37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37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7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37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37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37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37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37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37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37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37EB"/>
    <w:rPr>
      <w:rFonts w:eastAsiaTheme="majorEastAsia" w:cstheme="majorBidi"/>
      <w:color w:val="272727" w:themeColor="text1" w:themeTint="D8"/>
    </w:rPr>
  </w:style>
  <w:style w:type="paragraph" w:styleId="Title">
    <w:name w:val="Title"/>
    <w:basedOn w:val="Normal"/>
    <w:next w:val="Normal"/>
    <w:link w:val="TitleChar"/>
    <w:uiPriority w:val="10"/>
    <w:qFormat/>
    <w:rsid w:val="00E637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37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37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37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37EB"/>
    <w:pPr>
      <w:spacing w:before="160"/>
      <w:jc w:val="center"/>
    </w:pPr>
    <w:rPr>
      <w:i/>
      <w:iCs/>
      <w:color w:val="404040" w:themeColor="text1" w:themeTint="BF"/>
    </w:rPr>
  </w:style>
  <w:style w:type="character" w:customStyle="1" w:styleId="QuoteChar">
    <w:name w:val="Quote Char"/>
    <w:basedOn w:val="DefaultParagraphFont"/>
    <w:link w:val="Quote"/>
    <w:uiPriority w:val="29"/>
    <w:rsid w:val="00E637EB"/>
    <w:rPr>
      <w:i/>
      <w:iCs/>
      <w:color w:val="404040" w:themeColor="text1" w:themeTint="BF"/>
    </w:rPr>
  </w:style>
  <w:style w:type="paragraph" w:styleId="ListParagraph">
    <w:name w:val="List Paragraph"/>
    <w:basedOn w:val="Normal"/>
    <w:uiPriority w:val="34"/>
    <w:qFormat/>
    <w:rsid w:val="00E637EB"/>
    <w:pPr>
      <w:ind w:left="720"/>
      <w:contextualSpacing/>
    </w:pPr>
  </w:style>
  <w:style w:type="character" w:styleId="IntenseEmphasis">
    <w:name w:val="Intense Emphasis"/>
    <w:basedOn w:val="DefaultParagraphFont"/>
    <w:uiPriority w:val="21"/>
    <w:qFormat/>
    <w:rsid w:val="00E637EB"/>
    <w:rPr>
      <w:i/>
      <w:iCs/>
      <w:color w:val="0F4761" w:themeColor="accent1" w:themeShade="BF"/>
    </w:rPr>
  </w:style>
  <w:style w:type="paragraph" w:styleId="IntenseQuote">
    <w:name w:val="Intense Quote"/>
    <w:basedOn w:val="Normal"/>
    <w:next w:val="Normal"/>
    <w:link w:val="IntenseQuoteChar"/>
    <w:uiPriority w:val="30"/>
    <w:qFormat/>
    <w:rsid w:val="00E637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37EB"/>
    <w:rPr>
      <w:i/>
      <w:iCs/>
      <w:color w:val="0F4761" w:themeColor="accent1" w:themeShade="BF"/>
    </w:rPr>
  </w:style>
  <w:style w:type="character" w:styleId="IntenseReference">
    <w:name w:val="Intense Reference"/>
    <w:basedOn w:val="DefaultParagraphFont"/>
    <w:uiPriority w:val="32"/>
    <w:qFormat/>
    <w:rsid w:val="00E637EB"/>
    <w:rPr>
      <w:b/>
      <w:bCs/>
      <w:smallCaps/>
      <w:color w:val="0F4761" w:themeColor="accent1" w:themeShade="BF"/>
      <w:spacing w:val="5"/>
    </w:rPr>
  </w:style>
  <w:style w:type="character" w:styleId="Hyperlink">
    <w:name w:val="Hyperlink"/>
    <w:basedOn w:val="DefaultParagraphFont"/>
    <w:uiPriority w:val="99"/>
    <w:unhideWhenUsed/>
    <w:rsid w:val="00E637EB"/>
    <w:rPr>
      <w:color w:val="467886" w:themeColor="hyperlink"/>
      <w:u w:val="single"/>
    </w:rPr>
  </w:style>
  <w:style w:type="character" w:styleId="UnresolvedMention">
    <w:name w:val="Unresolved Mention"/>
    <w:basedOn w:val="DefaultParagraphFont"/>
    <w:uiPriority w:val="99"/>
    <w:semiHidden/>
    <w:unhideWhenUsed/>
    <w:rsid w:val="00E637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318835">
      <w:bodyDiv w:val="1"/>
      <w:marLeft w:val="0"/>
      <w:marRight w:val="0"/>
      <w:marTop w:val="0"/>
      <w:marBottom w:val="0"/>
      <w:divBdr>
        <w:top w:val="none" w:sz="0" w:space="0" w:color="auto"/>
        <w:left w:val="none" w:sz="0" w:space="0" w:color="auto"/>
        <w:bottom w:val="none" w:sz="0" w:space="0" w:color="auto"/>
        <w:right w:val="none" w:sz="0" w:space="0" w:color="auto"/>
      </w:divBdr>
    </w:div>
    <w:div w:id="1838223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12720287/" TargetMode="External"/><Relationship Id="rId13" Type="http://schemas.openxmlformats.org/officeDocument/2006/relationships/hyperlink" Target="https://www.nature.com/articles/s41541-020-0207-4" TargetMode="External"/><Relationship Id="rId18" Type="http://schemas.openxmlformats.org/officeDocument/2006/relationships/hyperlink" Target="https://pubmed.ncbi.nlm.nih.gov/40548747/" TargetMode="External"/><Relationship Id="rId26" Type="http://schemas.openxmlformats.org/officeDocument/2006/relationships/hyperlink" Target="https://www.sciencedirect.com/science/article/pii/S1045105625000193" TargetMode="External"/><Relationship Id="rId3" Type="http://schemas.openxmlformats.org/officeDocument/2006/relationships/settings" Target="settings.xml"/><Relationship Id="rId21" Type="http://schemas.openxmlformats.org/officeDocument/2006/relationships/hyperlink" Target="https://pmc.ncbi.nlm.nih.gov/articles/PMC7351673/" TargetMode="External"/><Relationship Id="rId7" Type="http://schemas.openxmlformats.org/officeDocument/2006/relationships/hyperlink" Target="https://pmc.ncbi.nlm.nih.gov/articles/PMC12720287/" TargetMode="External"/><Relationship Id="rId12" Type="http://schemas.openxmlformats.org/officeDocument/2006/relationships/hyperlink" Target="https://www.nature.com/articles/s41541-020-0207-4" TargetMode="External"/><Relationship Id="rId17" Type="http://schemas.openxmlformats.org/officeDocument/2006/relationships/hyperlink" Target="https://www.fda.gov/science-research/fda-science-forum/non-redundant-reference-virus-database-rvdb-adventitious-virus-detection-biologics-using-high" TargetMode="External"/><Relationship Id="rId25" Type="http://schemas.openxmlformats.org/officeDocument/2006/relationships/hyperlink" Target="https://www.who.int/publications/m/item/WHOBS2383" TargetMode="External"/><Relationship Id="rId2" Type="http://schemas.openxmlformats.org/officeDocument/2006/relationships/styles" Target="styles.xml"/><Relationship Id="rId16" Type="http://schemas.openxmlformats.org/officeDocument/2006/relationships/hyperlink" Target="https://pmc.ncbi.nlm.nih.gov/articles/PMC12306153/" TargetMode="External"/><Relationship Id="rId20" Type="http://schemas.openxmlformats.org/officeDocument/2006/relationships/hyperlink" Target="https://www.sciencedirect.com/science/article/pii/S1045105625000508" TargetMode="External"/><Relationship Id="rId29" Type="http://schemas.openxmlformats.org/officeDocument/2006/relationships/hyperlink" Target="https://www.edqm.eu/en/-/epc-adopts-cutting-edge-hts-chapter-to-enhance-viral-contaminant-detection-in-biological-products" TargetMode="External"/><Relationship Id="rId1" Type="http://schemas.openxmlformats.org/officeDocument/2006/relationships/numbering" Target="numbering.xml"/><Relationship Id="rId6" Type="http://schemas.openxmlformats.org/officeDocument/2006/relationships/hyperlink" Target="https://www.edqm.eu/en/-/epc-adopts-cutting-edge-hts-chapter-to-enhance-viral-contaminant-detection-in-biological-products" TargetMode="External"/><Relationship Id="rId11" Type="http://schemas.openxmlformats.org/officeDocument/2006/relationships/hyperlink" Target="https://www.sciencedirect.com/science/article/pii/S1045105624000289" TargetMode="External"/><Relationship Id="rId24" Type="http://schemas.openxmlformats.org/officeDocument/2006/relationships/hyperlink" Target="https://www.who.int/publications/m/item/who-bs-2023.2464" TargetMode="External"/><Relationship Id="rId5" Type="http://schemas.openxmlformats.org/officeDocument/2006/relationships/hyperlink" Target="https://www.fda.gov/regulatory-information/search-fda-guidance-documents/q5ar2-viral-safety-evaluation-biotechnology-products-derived-cell-lines-human-or-animal-origin" TargetMode="External"/><Relationship Id="rId15" Type="http://schemas.openxmlformats.org/officeDocument/2006/relationships/hyperlink" Target="https://www.nature.com/articles/s41564-025-02035-2" TargetMode="External"/><Relationship Id="rId23" Type="http://schemas.openxmlformats.org/officeDocument/2006/relationships/hyperlink" Target="https://www.edqm.eu/en/-/epc-adopts-cutting-edge-hts-chapter-to-enhance-viral-contaminant-detection-in-biological-products" TargetMode="External"/><Relationship Id="rId28" Type="http://schemas.openxmlformats.org/officeDocument/2006/relationships/hyperlink" Target="https://pmc.ncbi.nlm.nih.gov/articles/PMC12720287/" TargetMode="External"/><Relationship Id="rId10" Type="http://schemas.openxmlformats.org/officeDocument/2006/relationships/hyperlink" Target="https://www.nature.com/articles/s41541-020-0207-4" TargetMode="External"/><Relationship Id="rId19" Type="http://schemas.openxmlformats.org/officeDocument/2006/relationships/hyperlink" Target="https://pmc.ncbi.nlm.nih.gov/articles/PMC12720287/"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edqm.eu/en/-/epc-adopts-cutting-edge-hts-chapter-to-enhance-viral-contaminant-detection-in-biological-products" TargetMode="External"/><Relationship Id="rId14" Type="http://schemas.openxmlformats.org/officeDocument/2006/relationships/hyperlink" Target="https://pmc.ncbi.nlm.nih.gov/articles/PMC8564396" TargetMode="External"/><Relationship Id="rId22" Type="http://schemas.openxmlformats.org/officeDocument/2006/relationships/hyperlink" Target="https://www.fda.gov/vaccines-blood-biologics/science-research-biologics/results-fda-study-support-development-high-throughput-sequencing-viral-safety-evaluation-biologic" TargetMode="External"/><Relationship Id="rId27" Type="http://schemas.openxmlformats.org/officeDocument/2006/relationships/hyperlink" Target="https://www.edqm.eu/en/-/epc-adopts-cutting-edge-hts-chapter-to-enhance-viral-contaminant-detection-in-biological-product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28</TotalTime>
  <Pages>4</Pages>
  <Words>1640</Words>
  <Characters>9350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Gong, Binsheng</cp:lastModifiedBy>
  <cp:revision>4</cp:revision>
  <dcterms:created xsi:type="dcterms:W3CDTF">2026-04-10T14:11:00Z</dcterms:created>
  <dcterms:modified xsi:type="dcterms:W3CDTF">2026-04-10T14:39:00Z</dcterms:modified>
</cp:coreProperties>
</file>