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2D62" w14:textId="77777777" w:rsidR="00401922" w:rsidRPr="00401922" w:rsidRDefault="00401922" w:rsidP="00401922">
      <w:pPr>
        <w:rPr>
          <w:b/>
          <w:bCs/>
        </w:rPr>
      </w:pPr>
      <w:r w:rsidRPr="00401922">
        <w:rPr>
          <w:b/>
          <w:bCs/>
        </w:rPr>
        <w:t>AdVentSeq: A Comprehensive Bioinformatics Pipeline for Detection of Adventitious Viral Agents with RNA-seq</w:t>
      </w:r>
    </w:p>
    <w:p w14:paraId="2E1FC0DC" w14:textId="2773F734" w:rsidR="00401922" w:rsidRPr="00401922" w:rsidRDefault="00401922" w:rsidP="00401922">
      <w:r w:rsidRPr="00401922">
        <w:t>Binsheng Gong</w:t>
      </w:r>
      <w:r w:rsidRPr="00401922">
        <w:rPr>
          <w:vertAlign w:val="superscript"/>
        </w:rPr>
        <w:t>1</w:t>
      </w:r>
      <w:r w:rsidRPr="00401922">
        <w:t>, Sayma Afroj</w:t>
      </w:r>
      <w:r w:rsidRPr="00401922">
        <w:rPr>
          <w:vertAlign w:val="superscript"/>
        </w:rPr>
        <w:t>2</w:t>
      </w:r>
      <w:r w:rsidRPr="00401922">
        <w:t>, Aaron Scholl</w:t>
      </w:r>
      <w:r w:rsidRPr="00401922">
        <w:rPr>
          <w:vertAlign w:val="superscript"/>
        </w:rPr>
        <w:t>2</w:t>
      </w:r>
      <w:r w:rsidRPr="00401922">
        <w:t>, Sandip De</w:t>
      </w:r>
      <w:r w:rsidRPr="00401922">
        <w:rPr>
          <w:vertAlign w:val="superscript"/>
        </w:rPr>
        <w:t>2</w:t>
      </w:r>
      <w:r w:rsidRPr="00401922">
        <w:t>, Joshua Xu</w:t>
      </w:r>
      <w:r w:rsidRPr="00401922">
        <w:rPr>
          <w:vertAlign w:val="superscript"/>
        </w:rPr>
        <w:t>1</w:t>
      </w:r>
    </w:p>
    <w:p w14:paraId="2CA8985D" w14:textId="77777777" w:rsidR="00401922" w:rsidRPr="00401922" w:rsidRDefault="00401922" w:rsidP="00401922">
      <w:r w:rsidRPr="00401922">
        <w:rPr>
          <w:vertAlign w:val="superscript"/>
        </w:rPr>
        <w:t>1</w:t>
      </w:r>
      <w:r w:rsidRPr="00401922">
        <w:t xml:space="preserve"> Division of Bioinformatics and Biostatistics, National Center for Toxicological Research, US Food and Drug Administration, Jefferson, AR, 72079, USA</w:t>
      </w:r>
    </w:p>
    <w:p w14:paraId="5AE9E5C0" w14:textId="77777777" w:rsidR="00401922" w:rsidRPr="00401922" w:rsidRDefault="00401922" w:rsidP="00401922">
      <w:r w:rsidRPr="00401922">
        <w:rPr>
          <w:vertAlign w:val="superscript"/>
        </w:rPr>
        <w:t>2</w:t>
      </w:r>
      <w:r w:rsidRPr="00401922">
        <w:t xml:space="preserve"> Tumor Vaccine and Biotechnology Branch, Division of Cellular Therapy 2, Office of Cellular Therapy and Human Tissue, Center for Biologics Evaluation and Research, U.S. Food and Drug Administration, Silver Spring, MD 20993, USA</w:t>
      </w:r>
    </w:p>
    <w:p w14:paraId="12D1142D" w14:textId="77777777" w:rsidR="00401922" w:rsidRPr="00401922" w:rsidRDefault="00401922" w:rsidP="00401922"/>
    <w:p w14:paraId="79FFB84B" w14:textId="77777777" w:rsidR="00401922" w:rsidRPr="00401922" w:rsidRDefault="00401922" w:rsidP="00401922">
      <w:pPr>
        <w:rPr>
          <w:b/>
          <w:bCs/>
        </w:rPr>
      </w:pPr>
      <w:r w:rsidRPr="00401922">
        <w:rPr>
          <w:b/>
          <w:bCs/>
        </w:rPr>
        <w:t>Abstract</w:t>
      </w:r>
    </w:p>
    <w:p w14:paraId="624E0D0E" w14:textId="77777777" w:rsidR="00401922" w:rsidRPr="00401922" w:rsidRDefault="00401922" w:rsidP="00401922">
      <w:r w:rsidRPr="00401922">
        <w:t>Next-generation sequencing (NGS) is emerging as a powerful agnostic tool for detecting adventitious viral agents in biologics. NGS of virus-infected host samples provides powerful insights into host–pathogen interactions. However, NGS requires advanced computational methodologies for accurate interpretation. Existing bioinformatics tools often lack the ability to simultaneously achieve comprehensive pathogen characterization and precise quantification, presenting a critical gap for regulatory science applications where systematic evaluation of NGS methods is essential to define best practices.</w:t>
      </w:r>
    </w:p>
    <w:p w14:paraId="6757BD02" w14:textId="77777777" w:rsidR="00401922" w:rsidRPr="00401922" w:rsidRDefault="00401922" w:rsidP="00401922">
      <w:r w:rsidRPr="00401922">
        <w:t xml:space="preserve">We present AdVentSeq, a robust bioinformatics pipeline designed for paired-end short-read RNA sequencing data from virus-infected host systems. AdVentSeq enables integrated analysis of both host transcriptional responses and viral genomic features. The pipeline incorporates rigorous quality control, adapter trimming and read filtering, followed by host genome alignment to support host expression profiling and removal of host-derived reads. Non-host reads undergo alignment against FDA’s Reference Viral Database (RVDB), enabling genome coverage analysis to identify candidate viral infections. A subsequent refinement step performs </w:t>
      </w:r>
      <w:proofErr w:type="gramStart"/>
      <w:r w:rsidRPr="00401922">
        <w:t>combined</w:t>
      </w:r>
      <w:proofErr w:type="gramEnd"/>
      <w:r w:rsidRPr="00401922">
        <w:t xml:space="preserve"> viral genome remapping with coverage-adjusted quantification, improving accuracy of pathogen detection. Viral genomic features are further characterized through variant calling and phylogenetic analyses, facilitating investigation of viral evolution, adaptation, and potential drug resistance.</w:t>
      </w:r>
    </w:p>
    <w:p w14:paraId="46586119" w14:textId="0E1A7129" w:rsidR="00C006A0" w:rsidRDefault="00401922">
      <w:r w:rsidRPr="00401922">
        <w:t>By integrating host transcriptomic profiling with pathogen detection, quantification, and genomic characterization, AdVentSeq offers a comprehensive solution tailored to regulatory science needs. Its application is particularly relevant for FDA safety evaluations of biological products, supporting systematic identification and characterization of adventitious viral agents.</w:t>
      </w:r>
    </w:p>
    <w:sectPr w:rsidR="00C00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1A8"/>
    <w:rsid w:val="00401922"/>
    <w:rsid w:val="007269BE"/>
    <w:rsid w:val="009141A8"/>
    <w:rsid w:val="00C006A0"/>
    <w:rsid w:val="00D60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5173"/>
  <w15:chartTrackingRefBased/>
  <w15:docId w15:val="{6C2DC190-78DB-4FAC-9088-E500A8CE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1A8"/>
    <w:rPr>
      <w:rFonts w:eastAsiaTheme="majorEastAsia" w:cstheme="majorBidi"/>
      <w:color w:val="272727" w:themeColor="text1" w:themeTint="D8"/>
    </w:rPr>
  </w:style>
  <w:style w:type="paragraph" w:styleId="Title">
    <w:name w:val="Title"/>
    <w:basedOn w:val="Normal"/>
    <w:next w:val="Normal"/>
    <w:link w:val="TitleChar"/>
    <w:uiPriority w:val="10"/>
    <w:qFormat/>
    <w:rsid w:val="0091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1A8"/>
    <w:pPr>
      <w:spacing w:before="160"/>
      <w:jc w:val="center"/>
    </w:pPr>
    <w:rPr>
      <w:i/>
      <w:iCs/>
      <w:color w:val="404040" w:themeColor="text1" w:themeTint="BF"/>
    </w:rPr>
  </w:style>
  <w:style w:type="character" w:customStyle="1" w:styleId="QuoteChar">
    <w:name w:val="Quote Char"/>
    <w:basedOn w:val="DefaultParagraphFont"/>
    <w:link w:val="Quote"/>
    <w:uiPriority w:val="29"/>
    <w:rsid w:val="009141A8"/>
    <w:rPr>
      <w:i/>
      <w:iCs/>
      <w:color w:val="404040" w:themeColor="text1" w:themeTint="BF"/>
    </w:rPr>
  </w:style>
  <w:style w:type="paragraph" w:styleId="ListParagraph">
    <w:name w:val="List Paragraph"/>
    <w:basedOn w:val="Normal"/>
    <w:uiPriority w:val="34"/>
    <w:qFormat/>
    <w:rsid w:val="009141A8"/>
    <w:pPr>
      <w:ind w:left="720"/>
      <w:contextualSpacing/>
    </w:pPr>
  </w:style>
  <w:style w:type="character" w:styleId="IntenseEmphasis">
    <w:name w:val="Intense Emphasis"/>
    <w:basedOn w:val="DefaultParagraphFont"/>
    <w:uiPriority w:val="21"/>
    <w:qFormat/>
    <w:rsid w:val="009141A8"/>
    <w:rPr>
      <w:i/>
      <w:iCs/>
      <w:color w:val="0F4761" w:themeColor="accent1" w:themeShade="BF"/>
    </w:rPr>
  </w:style>
  <w:style w:type="paragraph" w:styleId="IntenseQuote">
    <w:name w:val="Intense Quote"/>
    <w:basedOn w:val="Normal"/>
    <w:next w:val="Normal"/>
    <w:link w:val="IntenseQuoteChar"/>
    <w:uiPriority w:val="30"/>
    <w:qFormat/>
    <w:rsid w:val="00914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1A8"/>
    <w:rPr>
      <w:i/>
      <w:iCs/>
      <w:color w:val="0F4761" w:themeColor="accent1" w:themeShade="BF"/>
    </w:rPr>
  </w:style>
  <w:style w:type="character" w:styleId="IntenseReference">
    <w:name w:val="Intense Reference"/>
    <w:basedOn w:val="DefaultParagraphFont"/>
    <w:uiPriority w:val="32"/>
    <w:qFormat/>
    <w:rsid w:val="009141A8"/>
    <w:rPr>
      <w:b/>
      <w:bCs/>
      <w:smallCaps/>
      <w:color w:val="0F4761" w:themeColor="accent1" w:themeShade="BF"/>
      <w:spacing w:val="5"/>
    </w:rPr>
  </w:style>
  <w:style w:type="character" w:styleId="Hyperlink">
    <w:name w:val="Hyperlink"/>
    <w:basedOn w:val="DefaultParagraphFont"/>
    <w:uiPriority w:val="99"/>
    <w:unhideWhenUsed/>
    <w:rsid w:val="00401922"/>
    <w:rPr>
      <w:color w:val="467886" w:themeColor="hyperlink"/>
      <w:u w:val="single"/>
    </w:rPr>
  </w:style>
  <w:style w:type="character" w:styleId="UnresolvedMention">
    <w:name w:val="Unresolved Mention"/>
    <w:basedOn w:val="DefaultParagraphFont"/>
    <w:uiPriority w:val="99"/>
    <w:semiHidden/>
    <w:unhideWhenUsed/>
    <w:rsid w:val="004019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8311">
      <w:bodyDiv w:val="1"/>
      <w:marLeft w:val="0"/>
      <w:marRight w:val="0"/>
      <w:marTop w:val="0"/>
      <w:marBottom w:val="0"/>
      <w:divBdr>
        <w:top w:val="none" w:sz="0" w:space="0" w:color="auto"/>
        <w:left w:val="none" w:sz="0" w:space="0" w:color="auto"/>
        <w:bottom w:val="none" w:sz="0" w:space="0" w:color="auto"/>
        <w:right w:val="none" w:sz="0" w:space="0" w:color="auto"/>
      </w:divBdr>
    </w:div>
    <w:div w:id="53943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370</Words>
  <Characters>2111</Characters>
  <Application>Microsoft Office Word</Application>
  <DocSecurity>0</DocSecurity>
  <Lines>17</Lines>
  <Paragraphs>4</Paragraphs>
  <ScaleCrop>false</ScaleCrop>
  <Company>FDA Scientific Computing</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 Binsheng</dc:creator>
  <cp:keywords/>
  <dc:description/>
  <cp:lastModifiedBy>Gong, Binsheng</cp:lastModifiedBy>
  <cp:revision>2</cp:revision>
  <dcterms:created xsi:type="dcterms:W3CDTF">2026-06-11T19:32:00Z</dcterms:created>
  <dcterms:modified xsi:type="dcterms:W3CDTF">2026-06-11T19:33:00Z</dcterms:modified>
</cp:coreProperties>
</file>