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Synthetic respiratory outcome table</w:t>
      </w:r>
    </w:p>
    <w:p>
      <w:r>
        <w:t>This public synthetic fixture tests whether a table-formatting workflow stops safely when a merged cell crosses the declared header boundary.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t>Treatment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t>Day 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t>Day 28</w:t>
            </w:r>
          </w:p>
        </w:tc>
      </w:tr>
      <w:tr>
        <w:tc>
          <w:tcPr>
            <w:tcW w:type="dxa" w:w="3264"/>
            <w:vMerge w:val="restart"/>
          </w:tcPr>
          <w:p>
            <w:pPr>
              <w:spacing w:after="0"/>
            </w:pPr>
            <w:r>
              <w:t>Treatment</w:t>
            </w:r>
          </w:p>
          <w:p>
            <w:pPr>
              <w:spacing w:after="0"/>
            </w:pPr>
            <w:r>
              <w:t>Treatment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t>Mean (SD)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t>Mean (SD)</w:t>
            </w:r>
          </w:p>
        </w:tc>
      </w:tr>
      <w:tr>
        <w:tc>
          <w:tcPr>
            <w:tcW w:type="dxa" w:w="3264"/>
            <w:vMerge/>
          </w:tcPr>
          <w:p/>
        </w:tc>
        <w:tc>
          <w:tcPr>
            <w:tcW w:type="dxa" w:w="3264"/>
          </w:tcPr>
          <w:p>
            <w:pPr>
              <w:spacing w:after="0"/>
            </w:pPr>
            <w:r>
              <w:t>68.0 (7.4)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t>72.1 (6.9)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t>Comparator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t>67.5 (7.2)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t>69.0 (7.0)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t>Control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t>66.9 (7.7)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t>67.1 (7.5)</w:t>
            </w:r>
          </w:p>
        </w:tc>
      </w:tr>
    </w:tbl>
    <w:p>
      <w:r>
        <w:t>Values are synthetic. SD, standard deviation.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