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52FE" w14:textId="77777777" w:rsidR="00F3160A" w:rsidRPr="00CA791E" w:rsidRDefault="00B3632E">
      <w:pPr>
        <w:pStyle w:val="Title"/>
        <w:rPr>
          <w:lang w:val="en-US"/>
        </w:rPr>
      </w:pPr>
      <w:r w:rsidRPr="00CA791E">
        <w:rPr>
          <w:lang w:val="en-US"/>
        </w:rPr>
        <w:t>Methods (HPP3)</w:t>
      </w:r>
    </w:p>
    <w:p w14:paraId="3A87AF51" w14:textId="77777777" w:rsidR="00F3160A" w:rsidRPr="00CA791E" w:rsidRDefault="00B3632E">
      <w:pPr>
        <w:pStyle w:val="Heading2"/>
        <w:rPr>
          <w:lang w:val="en-US"/>
        </w:rPr>
      </w:pPr>
      <w:bookmarkStart w:id="0" w:name="participants"/>
      <w:r w:rsidRPr="00CA791E">
        <w:rPr>
          <w:lang w:val="en-US"/>
        </w:rPr>
        <w:t>Participants</w:t>
      </w:r>
      <w:bookmarkEnd w:id="0"/>
    </w:p>
    <w:p w14:paraId="025D967D" w14:textId="77777777" w:rsidR="00F3160A" w:rsidRPr="00CA791E" w:rsidRDefault="00B3632E">
      <w:pPr>
        <w:rPr>
          <w:lang w:val="en-US"/>
        </w:rPr>
      </w:pPr>
      <w:r w:rsidRPr="00CA791E">
        <w:rPr>
          <w:lang w:val="en-US"/>
        </w:rPr>
        <w:t xml:space="preserve">We retrieved data from 85 participants: 37 from Santolin et al. (2019), 24 tested in Wisconsin, 37 tested in the replication study in Barcelona (Santolin &amp; Saffran, 2019), and 24 from </w:t>
      </w:r>
      <w:r w:rsidRPr="00CA791E">
        <w:rPr>
          <w:lang w:val="en-US"/>
        </w:rPr>
        <w:t>Saffran &amp; Wilson (2003), tested in Wisconsin. Two datapoints were available for each participant: one for the mean looking time in “familiar” trials, and one for the mean looking time in “novel” trials. A total of 170 datapoints were included in the analys</w:t>
      </w:r>
      <w:r w:rsidRPr="00CA791E">
        <w:rPr>
          <w:lang w:val="en-US"/>
        </w:rPr>
        <w:t>is. Participants included in our analysis were those included in the final version of both studies.</w:t>
      </w:r>
    </w:p>
    <w:p w14:paraId="5B62E7A4" w14:textId="77777777" w:rsidR="00F3160A" w:rsidRPr="00CA791E" w:rsidRDefault="00B3632E">
      <w:pPr>
        <w:pStyle w:val="Heading2"/>
        <w:rPr>
          <w:lang w:val="en-US"/>
        </w:rPr>
      </w:pPr>
      <w:bookmarkStart w:id="1" w:name="studies"/>
      <w:r w:rsidRPr="00CA791E">
        <w:rPr>
          <w:lang w:val="en-US"/>
        </w:rPr>
        <w:t>Studies</w:t>
      </w:r>
      <w:bookmarkEnd w:id="1"/>
    </w:p>
    <w:p w14:paraId="7C5D5B30" w14:textId="77777777" w:rsidR="00F3160A" w:rsidRPr="00CA791E" w:rsidRDefault="00B3632E">
      <w:pPr>
        <w:rPr>
          <w:lang w:val="en-US"/>
        </w:rPr>
      </w:pPr>
      <w:r w:rsidRPr="00CA791E">
        <w:rPr>
          <w:lang w:val="en-US"/>
        </w:rPr>
        <w:t xml:space="preserve">The two studies conducted by Santolin and </w:t>
      </w:r>
      <w:proofErr w:type="spellStart"/>
      <w:r w:rsidRPr="00CA791E">
        <w:rPr>
          <w:lang w:val="en-US"/>
        </w:rPr>
        <w:t>colleages</w:t>
      </w:r>
      <w:proofErr w:type="spellEnd"/>
      <w:r w:rsidRPr="00CA791E">
        <w:rPr>
          <w:lang w:val="en-US"/>
        </w:rPr>
        <w:t xml:space="preserve"> compared looking times in novel and familiar </w:t>
      </w:r>
      <w:proofErr w:type="gramStart"/>
      <w:r w:rsidRPr="00CA791E">
        <w:rPr>
          <w:lang w:val="en-US"/>
        </w:rPr>
        <w:t>trials, and</w:t>
      </w:r>
      <w:proofErr w:type="gramEnd"/>
      <w:r w:rsidRPr="00CA791E">
        <w:rPr>
          <w:lang w:val="en-US"/>
        </w:rPr>
        <w:t xml:space="preserve"> revealed that infants displayed a prefe</w:t>
      </w:r>
      <w:r w:rsidRPr="00CA791E">
        <w:rPr>
          <w:lang w:val="en-US"/>
        </w:rPr>
        <w:t>rence toward one of the trial types. The direction of the preference, however, was different for the two studies.</w:t>
      </w:r>
    </w:p>
    <w:p w14:paraId="248044C3" w14:textId="77777777" w:rsidR="00F3160A" w:rsidRDefault="00B3632E">
      <w:r>
        <w:rPr>
          <w:noProof/>
        </w:rPr>
        <w:drawing>
          <wp:inline distT="0" distB="0" distL="0" distR="0" wp14:anchorId="459ADB1C" wp14:editId="60D492C4">
            <wp:extent cx="5384800" cy="2243666"/>
            <wp:effectExtent l="0" t="0" r="0" b="0"/>
            <wp:docPr id="1" name="Picture" descr="Looking time (ms) in familiar and novel trials split by Study and Location. Error bars indicate the standard error of the mean, respectively. Grey lines indicate participant level mean looking times."/>
            <wp:cNvGraphicFramePr/>
            <a:graphic xmlns:a="http://schemas.openxmlformats.org/drawingml/2006/main">
              <a:graphicData uri="http://schemas.openxmlformats.org/drawingml/2006/picture">
                <pic:pic xmlns:pic="http://schemas.openxmlformats.org/drawingml/2006/picture">
                  <pic:nvPicPr>
                    <pic:cNvPr id="0" name="Picture" descr="/Users/GonzaloGGC/projects/Flip/Figures/HPP3/01_lookingtimes-study.png"/>
                    <pic:cNvPicPr>
                      <a:picLocks noChangeAspect="1" noChangeArrowheads="1"/>
                    </pic:cNvPicPr>
                  </pic:nvPicPr>
                  <pic:blipFill>
                    <a:blip r:embed="rId7"/>
                    <a:stretch>
                      <a:fillRect/>
                    </a:stretch>
                  </pic:blipFill>
                  <pic:spPr bwMode="auto">
                    <a:xfrm>
                      <a:off x="0" y="0"/>
                      <a:ext cx="5384800" cy="2243666"/>
                    </a:xfrm>
                    <a:prstGeom prst="rect">
                      <a:avLst/>
                    </a:prstGeom>
                    <a:noFill/>
                    <a:ln w="9525">
                      <a:noFill/>
                      <a:headEnd/>
                      <a:tailEnd/>
                    </a:ln>
                  </pic:spPr>
                </pic:pic>
              </a:graphicData>
            </a:graphic>
          </wp:inline>
        </w:drawing>
      </w:r>
    </w:p>
    <w:p w14:paraId="67DABE49" w14:textId="77777777" w:rsidR="00F3160A" w:rsidRPr="00CA791E" w:rsidRDefault="00B3632E">
      <w:pPr>
        <w:rPr>
          <w:lang w:val="en-US"/>
        </w:rPr>
      </w:pPr>
      <w:r w:rsidRPr="00CA791E">
        <w:rPr>
          <w:lang w:val="en-US"/>
        </w:rPr>
        <w:t>Looking time (ms) in familiar and novel trials split by Study and Location. Error bars indicate the standard error of the mean, respectively</w:t>
      </w:r>
      <w:r w:rsidRPr="00CA791E">
        <w:rPr>
          <w:lang w:val="en-US"/>
        </w:rPr>
        <w:t>. Grey lines indicate participant level mean looking times.</w:t>
      </w:r>
    </w:p>
    <w:p w14:paraId="4DC2E15E" w14:textId="77777777" w:rsidR="00F3160A" w:rsidRPr="00CA791E" w:rsidRDefault="00B3632E">
      <w:pPr>
        <w:pStyle w:val="Heading2"/>
        <w:rPr>
          <w:lang w:val="en-US"/>
        </w:rPr>
      </w:pPr>
      <w:bookmarkStart w:id="2" w:name="data-analysis"/>
      <w:r w:rsidRPr="00CA791E">
        <w:rPr>
          <w:lang w:val="en-US"/>
        </w:rPr>
        <w:t>Data analysis</w:t>
      </w:r>
      <w:bookmarkEnd w:id="2"/>
    </w:p>
    <w:p w14:paraId="484CADBD" w14:textId="77777777" w:rsidR="00F3160A" w:rsidRPr="00CA791E" w:rsidRDefault="00B3632E">
      <w:pPr>
        <w:rPr>
          <w:lang w:val="en-US"/>
        </w:rPr>
      </w:pPr>
      <w:r w:rsidRPr="00CA791E">
        <w:rPr>
          <w:lang w:val="en-US"/>
        </w:rPr>
        <w:t>We fit a model predicting looking time (</w:t>
      </w:r>
      <m:oMath>
        <m:r>
          <w:rPr>
            <w:rFonts w:ascii="Cambria Math" w:hAnsi="Cambria Math"/>
          </w:rPr>
          <m:t>LT</m:t>
        </m:r>
      </m:oMath>
      <w:r w:rsidRPr="00CA791E">
        <w:rPr>
          <w:lang w:val="en-US"/>
        </w:rPr>
        <w:t>) from the fixed effects of test item (</w:t>
      </w:r>
      <m:oMath>
        <m:r>
          <w:rPr>
            <w:rFonts w:ascii="Cambria Math" w:hAnsi="Cambria Math"/>
          </w:rPr>
          <m:t>Item</m:t>
        </m:r>
      </m:oMath>
      <w:r w:rsidRPr="00CA791E">
        <w:rPr>
          <w:lang w:val="en-US"/>
        </w:rPr>
        <w:t>, Familiar vs. Novel), the number of HeadTurn Preference Procedure experiments completed by</w:t>
      </w:r>
      <w:r w:rsidRPr="00CA791E">
        <w:rPr>
          <w:lang w:val="en-US"/>
        </w:rPr>
        <w:t xml:space="preserve"> infants (</w:t>
      </w:r>
      <m:oMath>
        <m:r>
          <w:rPr>
            <w:rFonts w:ascii="Cambria Math" w:hAnsi="Cambria Math"/>
          </w:rPr>
          <m:t>HPP</m:t>
        </m:r>
      </m:oMath>
      <w:r w:rsidRPr="00CA791E">
        <w:rPr>
          <w:lang w:val="en-US"/>
        </w:rPr>
        <w:t>), and their interaction (</w:t>
      </w:r>
      <m:oMath>
        <m:r>
          <w:rPr>
            <w:rFonts w:ascii="Cambria Math" w:hAnsi="Cambria Math"/>
          </w:rPr>
          <m:t>Item</m:t>
        </m:r>
        <m:r>
          <w:rPr>
            <w:rFonts w:ascii="Cambria Math" w:hAnsi="Cambria Math"/>
            <w:lang w:val="en-US"/>
          </w:rPr>
          <m:t>×</m:t>
        </m:r>
        <m:r>
          <w:rPr>
            <w:rFonts w:ascii="Cambria Math" w:hAnsi="Cambria Math"/>
          </w:rPr>
          <m:t>HPP</m:t>
        </m:r>
      </m:oMath>
      <w:r w:rsidRPr="00CA791E">
        <w:rPr>
          <w:lang w:val="en-US"/>
        </w:rPr>
        <w:t xml:space="preserve">) as </w:t>
      </w:r>
      <w:r w:rsidRPr="00CA791E">
        <w:rPr>
          <w:lang w:val="en-US"/>
        </w:rPr>
        <w:lastRenderedPageBreak/>
        <w:t xml:space="preserve">fixed effects. </w:t>
      </w:r>
      <w:r w:rsidRPr="00CA791E">
        <w:rPr>
          <w:i/>
          <w:lang w:val="en-US"/>
        </w:rPr>
        <w:t>Familiar</w:t>
      </w:r>
      <w:r w:rsidRPr="00CA791E">
        <w:rPr>
          <w:lang w:val="en-US"/>
        </w:rPr>
        <w:t xml:space="preserve"> trials were set as the baseline. Participant (</w:t>
      </w:r>
      <m:oMath>
        <m:r>
          <w:rPr>
            <w:rFonts w:ascii="Cambria Math" w:hAnsi="Cambria Math"/>
          </w:rPr>
          <m:t>Participant</m:t>
        </m:r>
      </m:oMath>
      <w:r w:rsidRPr="00CA791E">
        <w:rPr>
          <w:lang w:val="en-US"/>
        </w:rPr>
        <w:t>) and study (</w:t>
      </w:r>
      <m:oMath>
        <m:r>
          <w:rPr>
            <w:rFonts w:ascii="Cambria Math" w:hAnsi="Cambria Math"/>
          </w:rPr>
          <m:t>Study</m:t>
        </m:r>
      </m:oMath>
      <w:r w:rsidRPr="00CA791E">
        <w:rPr>
          <w:lang w:val="en-US"/>
        </w:rPr>
        <w:t>) were included as random effects. Following Barr, Levy, Scheepers, &amp; Tily (201</w:t>
      </w:r>
      <w:r w:rsidRPr="00CA791E">
        <w:rPr>
          <w:lang w:val="en-US"/>
        </w:rPr>
        <w:t xml:space="preserve">3), we fit a model with the maximal random effects structure that allowed the model to converge. The maximal random effects structure included by-participant and by-study random intercepts and by-participant and by-study random slopes of </w:t>
      </w:r>
      <m:oMath>
        <m:r>
          <w:rPr>
            <w:rFonts w:ascii="Cambria Math" w:hAnsi="Cambria Math"/>
          </w:rPr>
          <m:t>HPP</m:t>
        </m:r>
      </m:oMath>
      <w:r w:rsidRPr="00CA791E">
        <w:rPr>
          <w:lang w:val="en-US"/>
        </w:rPr>
        <w:t>. Due to lac</w:t>
      </w:r>
      <w:r w:rsidRPr="00CA791E">
        <w:rPr>
          <w:lang w:val="en-US"/>
        </w:rPr>
        <w:t>k of convergence, we subsequently pruned the random effects structure until convergence was achieved. The final model included by-participant and by-study random intercepts. The particular random effects structure chosen does not qualitatively impact the e</w:t>
      </w:r>
      <w:r w:rsidRPr="00CA791E">
        <w:rPr>
          <w:lang w:val="en-US"/>
        </w:rPr>
        <w:t>stimates and conclusions from the model.</w:t>
      </w:r>
    </w:p>
    <w:p w14:paraId="40B1F64A" w14:textId="2A612509" w:rsidR="00F3160A" w:rsidRPr="00CA791E" w:rsidRDefault="00B3632E">
      <w:pPr>
        <w:rPr>
          <w:lang w:val="en-US"/>
        </w:rPr>
      </w:pPr>
      <w:r w:rsidRPr="00CA791E">
        <w:rPr>
          <w:lang w:val="en-US"/>
        </w:rPr>
        <w:t xml:space="preserve">This model accounts for </w:t>
      </w:r>
      <w:r w:rsidRPr="00CA791E">
        <w:rPr>
          <w:lang w:val="en-US"/>
        </w:rPr>
        <w:t xml:space="preserve">cross-participants variability in overall looking time (i.e. some infants are long lookers, some are short lookers), and for </w:t>
      </w:r>
      <w:bookmarkStart w:id="3" w:name="_GoBack"/>
      <w:bookmarkEnd w:id="3"/>
      <w:r w:rsidRPr="00CA791E">
        <w:rPr>
          <w:lang w:val="en-US"/>
        </w:rPr>
        <w:t>cross-studies differences in overall looking time, and allows th</w:t>
      </w:r>
      <w:r w:rsidRPr="00CA791E">
        <w:rPr>
          <w:lang w:val="en-US"/>
        </w:rPr>
        <w:t xml:space="preserve">e effect of </w:t>
      </w:r>
      <m:oMath>
        <m:r>
          <w:rPr>
            <w:rFonts w:ascii="Cambria Math" w:hAnsi="Cambria Math"/>
          </w:rPr>
          <m:t>HPP</m:t>
        </m:r>
      </m:oMath>
      <w:r w:rsidRPr="00CA791E">
        <w:rPr>
          <w:lang w:val="en-US"/>
        </w:rPr>
        <w:t xml:space="preserve"> to vary across studies. We specifiyied by-study random effects for two strong reasons. First, participants from different linguistic/cultural environments were included in both studies. This may have led to participants in one of the loc</w:t>
      </w:r>
      <w:proofErr w:type="spellStart"/>
      <w:r w:rsidRPr="00CA791E">
        <w:rPr>
          <w:lang w:val="en-US"/>
        </w:rPr>
        <w:t>ations</w:t>
      </w:r>
      <w:proofErr w:type="spellEnd"/>
      <w:r w:rsidRPr="00CA791E">
        <w:rPr>
          <w:lang w:val="en-US"/>
        </w:rPr>
        <w:t xml:space="preserve"> to looking longer in average than those from the other location. Second, in spite of their similarity both studies were not identical, which could also have led to differences in overall looking time.</w:t>
      </w:r>
    </w:p>
    <w:p w14:paraId="06424B6E" w14:textId="77777777" w:rsidR="00F3160A" w:rsidRDefault="00B3632E">
      <w:r w:rsidRPr="00CA791E">
        <w:rPr>
          <w:lang w:val="en-US"/>
        </w:rPr>
        <w:t xml:space="preserve">Estimates of the linear mixed-effects model and </w:t>
      </w:r>
      <w:r w:rsidRPr="00CA791E">
        <w:rPr>
          <w:lang w:val="en-US"/>
        </w:rPr>
        <w:t xml:space="preserve">outcomes of the Kenward-Roger F-tests performed on fixed effects. </w:t>
      </w:r>
      <w:r>
        <w:t xml:space="preserve">95% </w:t>
      </w:r>
      <w:proofErr w:type="spellStart"/>
      <w:r>
        <w:t>confidence</w:t>
      </w:r>
      <w:proofErr w:type="spellEnd"/>
      <w:r>
        <w:t xml:space="preserve"> </w:t>
      </w:r>
      <w:proofErr w:type="spellStart"/>
      <w:r>
        <w:t>intervals</w:t>
      </w:r>
      <w:proofErr w:type="spellEnd"/>
      <w:r>
        <w:t xml:space="preserve"> </w:t>
      </w:r>
      <w:proofErr w:type="spellStart"/>
      <w:r>
        <w:t>were</w:t>
      </w:r>
      <w:proofErr w:type="spellEnd"/>
      <w:r>
        <w:t xml:space="preserve"> bootstrapped.</w:t>
      </w:r>
    </w:p>
    <w:tbl>
      <w:tblPr>
        <w:tblW w:w="0" w:type="pct"/>
        <w:tblLook w:val="07E0" w:firstRow="1" w:lastRow="1" w:firstColumn="1" w:lastColumn="1" w:noHBand="1" w:noVBand="1"/>
        <w:tblCaption w:val="Estimates of the linear mixed-effects model and outcomes of the Kenward-Roger F-tests performed on fixed effects. 95% confidence intervals were bootstrapped."/>
      </w:tblPr>
      <w:tblGrid>
        <w:gridCol w:w="1385"/>
        <w:gridCol w:w="1350"/>
        <w:gridCol w:w="1084"/>
        <w:gridCol w:w="2043"/>
        <w:gridCol w:w="951"/>
        <w:gridCol w:w="1084"/>
        <w:gridCol w:w="817"/>
      </w:tblGrid>
      <w:tr w:rsidR="00F3160A" w14:paraId="6583DFAA" w14:textId="77777777">
        <w:tc>
          <w:tcPr>
            <w:tcW w:w="0" w:type="auto"/>
            <w:tcBorders>
              <w:bottom w:val="single" w:sz="0" w:space="0" w:color="auto"/>
            </w:tcBorders>
            <w:vAlign w:val="bottom"/>
          </w:tcPr>
          <w:p w14:paraId="38546692" w14:textId="77777777" w:rsidR="00F3160A" w:rsidRDefault="00B3632E">
            <w:pPr>
              <w:jc w:val="center"/>
            </w:pPr>
            <w:r>
              <w:t>Term</w:t>
            </w:r>
          </w:p>
        </w:tc>
        <w:tc>
          <w:tcPr>
            <w:tcW w:w="0" w:type="auto"/>
            <w:tcBorders>
              <w:bottom w:val="single" w:sz="0" w:space="0" w:color="auto"/>
            </w:tcBorders>
            <w:vAlign w:val="bottom"/>
          </w:tcPr>
          <w:p w14:paraId="18EFBDF1" w14:textId="77777777" w:rsidR="00F3160A" w:rsidRDefault="00B3632E">
            <w:pPr>
              <w:jc w:val="center"/>
            </w:pPr>
            <w:r>
              <w:t>Coefficient</w:t>
            </w:r>
          </w:p>
        </w:tc>
        <w:tc>
          <w:tcPr>
            <w:tcW w:w="0" w:type="auto"/>
            <w:tcBorders>
              <w:bottom w:val="single" w:sz="0" w:space="0" w:color="auto"/>
            </w:tcBorders>
            <w:vAlign w:val="bottom"/>
          </w:tcPr>
          <w:p w14:paraId="4056844B" w14:textId="77777777" w:rsidR="00F3160A" w:rsidRDefault="00B3632E">
            <w:pPr>
              <w:jc w:val="center"/>
            </w:pPr>
            <w:r>
              <w:t>SEM</w:t>
            </w:r>
          </w:p>
        </w:tc>
        <w:tc>
          <w:tcPr>
            <w:tcW w:w="0" w:type="auto"/>
            <w:tcBorders>
              <w:bottom w:val="single" w:sz="0" w:space="0" w:color="auto"/>
            </w:tcBorders>
            <w:vAlign w:val="bottom"/>
          </w:tcPr>
          <w:p w14:paraId="521DFE7F" w14:textId="77777777" w:rsidR="00F3160A" w:rsidRDefault="00B3632E">
            <w:pPr>
              <w:jc w:val="center"/>
            </w:pPr>
            <w:r>
              <w:t>95% CI</w:t>
            </w:r>
          </w:p>
        </w:tc>
        <w:tc>
          <w:tcPr>
            <w:tcW w:w="0" w:type="auto"/>
            <w:tcBorders>
              <w:bottom w:val="single" w:sz="0" w:space="0" w:color="auto"/>
            </w:tcBorders>
            <w:vAlign w:val="bottom"/>
          </w:tcPr>
          <w:p w14:paraId="63B93264" w14:textId="77777777" w:rsidR="00F3160A" w:rsidRDefault="00B3632E">
            <w:pPr>
              <w:jc w:val="center"/>
            </w:pPr>
            <w:r>
              <w:t>F</w:t>
            </w:r>
          </w:p>
        </w:tc>
        <w:tc>
          <w:tcPr>
            <w:tcW w:w="0" w:type="auto"/>
            <w:tcBorders>
              <w:bottom w:val="single" w:sz="0" w:space="0" w:color="auto"/>
            </w:tcBorders>
            <w:vAlign w:val="bottom"/>
          </w:tcPr>
          <w:p w14:paraId="52CF0184" w14:textId="77777777" w:rsidR="00F3160A" w:rsidRDefault="00B3632E">
            <w:pPr>
              <w:jc w:val="center"/>
            </w:pPr>
            <w:r>
              <w:t>Den. df</w:t>
            </w:r>
          </w:p>
        </w:tc>
        <w:tc>
          <w:tcPr>
            <w:tcW w:w="0" w:type="auto"/>
            <w:tcBorders>
              <w:bottom w:val="single" w:sz="0" w:space="0" w:color="auto"/>
            </w:tcBorders>
            <w:vAlign w:val="bottom"/>
          </w:tcPr>
          <w:p w14:paraId="6A7A00F6" w14:textId="77777777" w:rsidR="00F3160A" w:rsidRDefault="00B3632E">
            <w:pPr>
              <w:jc w:val="center"/>
            </w:pPr>
            <w:r>
              <w:t>p</w:t>
            </w:r>
          </w:p>
        </w:tc>
      </w:tr>
      <w:tr w:rsidR="00F3160A" w14:paraId="4564435D" w14:textId="77777777">
        <w:tc>
          <w:tcPr>
            <w:tcW w:w="0" w:type="auto"/>
          </w:tcPr>
          <w:p w14:paraId="0F287818" w14:textId="77777777" w:rsidR="00F3160A" w:rsidRDefault="00B3632E">
            <w:pPr>
              <w:jc w:val="center"/>
            </w:pPr>
            <w:r>
              <w:t>Intercept</w:t>
            </w:r>
          </w:p>
        </w:tc>
        <w:tc>
          <w:tcPr>
            <w:tcW w:w="0" w:type="auto"/>
          </w:tcPr>
          <w:p w14:paraId="1E93E373" w14:textId="77777777" w:rsidR="00F3160A" w:rsidRDefault="00B3632E">
            <w:pPr>
              <w:jc w:val="center"/>
            </w:pPr>
            <w:r>
              <w:t>8192.662</w:t>
            </w:r>
          </w:p>
        </w:tc>
        <w:tc>
          <w:tcPr>
            <w:tcW w:w="0" w:type="auto"/>
          </w:tcPr>
          <w:p w14:paraId="2A896521" w14:textId="77777777" w:rsidR="00F3160A" w:rsidRDefault="00B3632E">
            <w:pPr>
              <w:jc w:val="center"/>
            </w:pPr>
            <w:r>
              <w:t>818.840</w:t>
            </w:r>
          </w:p>
        </w:tc>
        <w:tc>
          <w:tcPr>
            <w:tcW w:w="0" w:type="auto"/>
          </w:tcPr>
          <w:p w14:paraId="73F97F39" w14:textId="77777777" w:rsidR="00F3160A" w:rsidRDefault="00B3632E">
            <w:pPr>
              <w:jc w:val="center"/>
            </w:pPr>
            <w:r>
              <w:t>6590.87, 9902.66</w:t>
            </w:r>
          </w:p>
        </w:tc>
        <w:tc>
          <w:tcPr>
            <w:tcW w:w="0" w:type="auto"/>
          </w:tcPr>
          <w:p w14:paraId="45929E8D" w14:textId="77777777" w:rsidR="00F3160A" w:rsidRDefault="00B3632E">
            <w:pPr>
              <w:jc w:val="center"/>
            </w:pPr>
            <w:r>
              <w:t>87.890</w:t>
            </w:r>
          </w:p>
        </w:tc>
        <w:tc>
          <w:tcPr>
            <w:tcW w:w="0" w:type="auto"/>
          </w:tcPr>
          <w:p w14:paraId="24D94FFB" w14:textId="77777777" w:rsidR="00F3160A" w:rsidRDefault="00B3632E">
            <w:pPr>
              <w:jc w:val="center"/>
            </w:pPr>
            <w:r>
              <w:t>5.683</w:t>
            </w:r>
          </w:p>
        </w:tc>
        <w:tc>
          <w:tcPr>
            <w:tcW w:w="0" w:type="auto"/>
          </w:tcPr>
          <w:p w14:paraId="3FDE11F9" w14:textId="77777777" w:rsidR="00F3160A" w:rsidRDefault="00B3632E">
            <w:pPr>
              <w:jc w:val="center"/>
            </w:pPr>
            <w:r>
              <w:t>0.000</w:t>
            </w:r>
          </w:p>
        </w:tc>
      </w:tr>
      <w:tr w:rsidR="00F3160A" w14:paraId="62818784" w14:textId="77777777">
        <w:tc>
          <w:tcPr>
            <w:tcW w:w="0" w:type="auto"/>
          </w:tcPr>
          <w:p w14:paraId="327932AF" w14:textId="77777777" w:rsidR="00F3160A" w:rsidRDefault="00B3632E">
            <w:pPr>
              <w:jc w:val="center"/>
            </w:pPr>
            <w:r>
              <w:t>Item</w:t>
            </w:r>
          </w:p>
        </w:tc>
        <w:tc>
          <w:tcPr>
            <w:tcW w:w="0" w:type="auto"/>
          </w:tcPr>
          <w:p w14:paraId="6E9A2CA0" w14:textId="77777777" w:rsidR="00F3160A" w:rsidRDefault="00B3632E">
            <w:pPr>
              <w:jc w:val="center"/>
            </w:pPr>
            <w:r>
              <w:t>-1487.614</w:t>
            </w:r>
          </w:p>
        </w:tc>
        <w:tc>
          <w:tcPr>
            <w:tcW w:w="0" w:type="auto"/>
          </w:tcPr>
          <w:p w14:paraId="2BAEFA26" w14:textId="77777777" w:rsidR="00F3160A" w:rsidRDefault="00B3632E">
            <w:pPr>
              <w:jc w:val="center"/>
            </w:pPr>
            <w:r>
              <w:t>558.698</w:t>
            </w:r>
          </w:p>
        </w:tc>
        <w:tc>
          <w:tcPr>
            <w:tcW w:w="0" w:type="auto"/>
          </w:tcPr>
          <w:p w14:paraId="72BF5FBD" w14:textId="77777777" w:rsidR="00F3160A" w:rsidRDefault="00B3632E">
            <w:pPr>
              <w:jc w:val="center"/>
            </w:pPr>
            <w:r>
              <w:t>-2688.43, -376.81</w:t>
            </w:r>
          </w:p>
        </w:tc>
        <w:tc>
          <w:tcPr>
            <w:tcW w:w="0" w:type="auto"/>
          </w:tcPr>
          <w:p w14:paraId="32C8D0FE" w14:textId="77777777" w:rsidR="00F3160A" w:rsidRDefault="00B3632E">
            <w:pPr>
              <w:jc w:val="center"/>
            </w:pPr>
            <w:r>
              <w:t>7.090</w:t>
            </w:r>
          </w:p>
        </w:tc>
        <w:tc>
          <w:tcPr>
            <w:tcW w:w="0" w:type="auto"/>
          </w:tcPr>
          <w:p w14:paraId="5D067983" w14:textId="77777777" w:rsidR="00F3160A" w:rsidRDefault="00B3632E">
            <w:pPr>
              <w:jc w:val="center"/>
            </w:pPr>
            <w:r>
              <w:t>83.000</w:t>
            </w:r>
          </w:p>
        </w:tc>
        <w:tc>
          <w:tcPr>
            <w:tcW w:w="0" w:type="auto"/>
          </w:tcPr>
          <w:p w14:paraId="5C707D3D" w14:textId="77777777" w:rsidR="00F3160A" w:rsidRDefault="00B3632E">
            <w:pPr>
              <w:jc w:val="center"/>
            </w:pPr>
            <w:r>
              <w:t>0.009</w:t>
            </w:r>
          </w:p>
        </w:tc>
      </w:tr>
      <w:tr w:rsidR="00F3160A" w14:paraId="21564DEF" w14:textId="77777777">
        <w:tc>
          <w:tcPr>
            <w:tcW w:w="0" w:type="auto"/>
          </w:tcPr>
          <w:p w14:paraId="1E38C48C" w14:textId="77777777" w:rsidR="00F3160A" w:rsidRDefault="00B3632E">
            <w:pPr>
              <w:jc w:val="center"/>
            </w:pPr>
            <w:r>
              <w:t>HPP</w:t>
            </w:r>
          </w:p>
        </w:tc>
        <w:tc>
          <w:tcPr>
            <w:tcW w:w="0" w:type="auto"/>
          </w:tcPr>
          <w:p w14:paraId="02D8F06D" w14:textId="77777777" w:rsidR="00F3160A" w:rsidRDefault="00B3632E">
            <w:pPr>
              <w:jc w:val="center"/>
            </w:pPr>
            <w:r>
              <w:t>-535.325</w:t>
            </w:r>
          </w:p>
        </w:tc>
        <w:tc>
          <w:tcPr>
            <w:tcW w:w="0" w:type="auto"/>
          </w:tcPr>
          <w:p w14:paraId="578C369A" w14:textId="77777777" w:rsidR="00F3160A" w:rsidRDefault="00B3632E">
            <w:pPr>
              <w:jc w:val="center"/>
            </w:pPr>
            <w:r>
              <w:t>390.562</w:t>
            </w:r>
          </w:p>
        </w:tc>
        <w:tc>
          <w:tcPr>
            <w:tcW w:w="0" w:type="auto"/>
          </w:tcPr>
          <w:p w14:paraId="391783D8" w14:textId="77777777" w:rsidR="00F3160A" w:rsidRDefault="00B3632E">
            <w:pPr>
              <w:jc w:val="center"/>
            </w:pPr>
            <w:r>
              <w:t>-1408.99, 227.97</w:t>
            </w:r>
          </w:p>
        </w:tc>
        <w:tc>
          <w:tcPr>
            <w:tcW w:w="0" w:type="auto"/>
          </w:tcPr>
          <w:p w14:paraId="5629D467" w14:textId="77777777" w:rsidR="00F3160A" w:rsidRDefault="00B3632E">
            <w:pPr>
              <w:jc w:val="center"/>
            </w:pPr>
            <w:r>
              <w:t>1.592</w:t>
            </w:r>
          </w:p>
        </w:tc>
        <w:tc>
          <w:tcPr>
            <w:tcW w:w="0" w:type="auto"/>
          </w:tcPr>
          <w:p w14:paraId="1DC65294" w14:textId="77777777" w:rsidR="00F3160A" w:rsidRDefault="00B3632E">
            <w:pPr>
              <w:jc w:val="center"/>
            </w:pPr>
            <w:r>
              <w:t>100.365</w:t>
            </w:r>
          </w:p>
        </w:tc>
        <w:tc>
          <w:tcPr>
            <w:tcW w:w="0" w:type="auto"/>
          </w:tcPr>
          <w:p w14:paraId="5C5AC577" w14:textId="77777777" w:rsidR="00F3160A" w:rsidRDefault="00B3632E">
            <w:pPr>
              <w:jc w:val="center"/>
            </w:pPr>
            <w:r>
              <w:t>0.210</w:t>
            </w:r>
          </w:p>
        </w:tc>
      </w:tr>
      <w:tr w:rsidR="00F3160A" w14:paraId="3ABC5BD8" w14:textId="77777777">
        <w:tc>
          <w:tcPr>
            <w:tcW w:w="0" w:type="auto"/>
          </w:tcPr>
          <w:p w14:paraId="06F88C4A" w14:textId="77777777" w:rsidR="00F3160A" w:rsidRDefault="00B3632E">
            <w:pPr>
              <w:jc w:val="center"/>
            </w:pPr>
            <w:r>
              <w:t xml:space="preserve">Item * </w:t>
            </w:r>
            <w:r>
              <w:lastRenderedPageBreak/>
              <w:t>HPP</w:t>
            </w:r>
          </w:p>
        </w:tc>
        <w:tc>
          <w:tcPr>
            <w:tcW w:w="0" w:type="auto"/>
          </w:tcPr>
          <w:p w14:paraId="082AAAC8" w14:textId="77777777" w:rsidR="00F3160A" w:rsidRDefault="00B3632E">
            <w:pPr>
              <w:jc w:val="center"/>
            </w:pPr>
            <w:r>
              <w:lastRenderedPageBreak/>
              <w:t>657.089</w:t>
            </w:r>
          </w:p>
        </w:tc>
        <w:tc>
          <w:tcPr>
            <w:tcW w:w="0" w:type="auto"/>
          </w:tcPr>
          <w:p w14:paraId="67E68176" w14:textId="77777777" w:rsidR="00F3160A" w:rsidRDefault="00B3632E">
            <w:pPr>
              <w:jc w:val="center"/>
            </w:pPr>
            <w:r>
              <w:t>314.644</w:t>
            </w:r>
          </w:p>
        </w:tc>
        <w:tc>
          <w:tcPr>
            <w:tcW w:w="0" w:type="auto"/>
          </w:tcPr>
          <w:p w14:paraId="11017EA9" w14:textId="77777777" w:rsidR="00F3160A" w:rsidRDefault="00B3632E">
            <w:pPr>
              <w:jc w:val="center"/>
            </w:pPr>
            <w:r>
              <w:t>0.26, 1328.39</w:t>
            </w:r>
          </w:p>
        </w:tc>
        <w:tc>
          <w:tcPr>
            <w:tcW w:w="0" w:type="auto"/>
          </w:tcPr>
          <w:p w14:paraId="0164D75D" w14:textId="77777777" w:rsidR="00F3160A" w:rsidRDefault="00B3632E">
            <w:pPr>
              <w:jc w:val="center"/>
            </w:pPr>
            <w:r>
              <w:t>4.361</w:t>
            </w:r>
          </w:p>
        </w:tc>
        <w:tc>
          <w:tcPr>
            <w:tcW w:w="0" w:type="auto"/>
          </w:tcPr>
          <w:p w14:paraId="14A6C695" w14:textId="77777777" w:rsidR="00F3160A" w:rsidRDefault="00B3632E">
            <w:pPr>
              <w:jc w:val="center"/>
            </w:pPr>
            <w:r>
              <w:t>83.000</w:t>
            </w:r>
          </w:p>
        </w:tc>
        <w:tc>
          <w:tcPr>
            <w:tcW w:w="0" w:type="auto"/>
          </w:tcPr>
          <w:p w14:paraId="5D1CF3A8" w14:textId="77777777" w:rsidR="00F3160A" w:rsidRDefault="00B3632E">
            <w:pPr>
              <w:jc w:val="center"/>
            </w:pPr>
            <w:r>
              <w:t>0.040</w:t>
            </w:r>
          </w:p>
        </w:tc>
      </w:tr>
    </w:tbl>
    <w:p w14:paraId="671C4D86" w14:textId="77777777" w:rsidR="00F3160A" w:rsidRPr="00CA791E" w:rsidRDefault="00B3632E">
      <w:pPr>
        <w:rPr>
          <w:lang w:val="en-US"/>
        </w:rPr>
      </w:pPr>
      <w:r w:rsidRPr="00CA791E">
        <w:rPr>
          <w:lang w:val="en-US"/>
        </w:rPr>
        <w:t xml:space="preserve">We found a statistically significant interaction term, </w:t>
      </w:r>
      <w:proofErr w:type="gramStart"/>
      <w:r w:rsidRPr="00CA791E">
        <w:rPr>
          <w:i/>
          <w:lang w:val="en-US"/>
        </w:rPr>
        <w:t>F</w:t>
      </w:r>
      <w:r w:rsidRPr="00CA791E">
        <w:rPr>
          <w:lang w:val="en-US"/>
        </w:rPr>
        <w:t>(</w:t>
      </w:r>
      <w:proofErr w:type="gramEnd"/>
      <w:r w:rsidRPr="00CA791E">
        <w:rPr>
          <w:lang w:val="en-US"/>
        </w:rPr>
        <w:t xml:space="preserve">1, 83) = 4.36, </w:t>
      </w:r>
      <w:r w:rsidRPr="00CA791E">
        <w:rPr>
          <w:i/>
          <w:lang w:val="en-US"/>
        </w:rPr>
        <w:t>p</w:t>
      </w:r>
      <w:r w:rsidRPr="00CA791E">
        <w:rPr>
          <w:lang w:val="en-US"/>
        </w:rPr>
        <w:t xml:space="preserve"> = 0.04, 95% CI = [0.26, 1328.39], suggesting that the effect of trial type on looking time was influenced by the number of HPP experiments each participant participated in. The inter</w:t>
      </w:r>
      <w:r w:rsidRPr="00CA791E">
        <w:rPr>
          <w:lang w:val="en-US"/>
        </w:rPr>
        <w:t>action shows that experience with a higher number of HPP experiments is associated with a stronger novelty preference.</w:t>
      </w:r>
    </w:p>
    <w:p w14:paraId="43D708A3" w14:textId="77777777" w:rsidR="00F3160A" w:rsidRDefault="00B3632E">
      <w:r>
        <w:rPr>
          <w:noProof/>
        </w:rPr>
        <w:drawing>
          <wp:inline distT="0" distB="0" distL="0" distR="0" wp14:anchorId="560F61FD" wp14:editId="272EF942">
            <wp:extent cx="5384800" cy="2243666"/>
            <wp:effectExtent l="0" t="0" r="0" b="0"/>
            <wp:docPr id="2" name="Picture" descr="Looking times of familiar and novel trials, split by number of HeadTurn Preference Procedure experiments. Black points and error bars represent the group-level mean looking time and SEM, respectively. Grey lines represent participant-level mean looking time."/>
            <wp:cNvGraphicFramePr/>
            <a:graphic xmlns:a="http://schemas.openxmlformats.org/drawingml/2006/main">
              <a:graphicData uri="http://schemas.openxmlformats.org/drawingml/2006/picture">
                <pic:pic xmlns:pic="http://schemas.openxmlformats.org/drawingml/2006/picture">
                  <pic:nvPicPr>
                    <pic:cNvPr id="0" name="Picture" descr="/Users/GonzaloGGC/projects/Flip/Figures/HPP3/02_lookingtimes-hpp.png"/>
                    <pic:cNvPicPr>
                      <a:picLocks noChangeAspect="1" noChangeArrowheads="1"/>
                    </pic:cNvPicPr>
                  </pic:nvPicPr>
                  <pic:blipFill>
                    <a:blip r:embed="rId8"/>
                    <a:stretch>
                      <a:fillRect/>
                    </a:stretch>
                  </pic:blipFill>
                  <pic:spPr bwMode="auto">
                    <a:xfrm>
                      <a:off x="0" y="0"/>
                      <a:ext cx="5384800" cy="2243666"/>
                    </a:xfrm>
                    <a:prstGeom prst="rect">
                      <a:avLst/>
                    </a:prstGeom>
                    <a:noFill/>
                    <a:ln w="9525">
                      <a:noFill/>
                      <a:headEnd/>
                      <a:tailEnd/>
                    </a:ln>
                  </pic:spPr>
                </pic:pic>
              </a:graphicData>
            </a:graphic>
          </wp:inline>
        </w:drawing>
      </w:r>
    </w:p>
    <w:p w14:paraId="2B7331D4" w14:textId="77777777" w:rsidR="00F3160A" w:rsidRDefault="00B3632E">
      <w:r w:rsidRPr="00CA791E">
        <w:rPr>
          <w:lang w:val="en-US"/>
        </w:rPr>
        <w:t xml:space="preserve">Looking times of familiar and novel trials, split by number of </w:t>
      </w:r>
      <w:proofErr w:type="spellStart"/>
      <w:r w:rsidRPr="00CA791E">
        <w:rPr>
          <w:lang w:val="en-US"/>
        </w:rPr>
        <w:t>HeadTurn</w:t>
      </w:r>
      <w:proofErr w:type="spellEnd"/>
      <w:r w:rsidRPr="00CA791E">
        <w:rPr>
          <w:lang w:val="en-US"/>
        </w:rPr>
        <w:t xml:space="preserve"> Preference Procedure experiments. Black points and error bars r</w:t>
      </w:r>
      <w:r w:rsidRPr="00CA791E">
        <w:rPr>
          <w:lang w:val="en-US"/>
        </w:rPr>
        <w:t xml:space="preserve">epresent the group-level mean looking time and SEM, respectively. </w:t>
      </w:r>
      <w:r>
        <w:t xml:space="preserve">Grey </w:t>
      </w:r>
      <w:proofErr w:type="spellStart"/>
      <w:r>
        <w:t>lines</w:t>
      </w:r>
      <w:proofErr w:type="spellEnd"/>
      <w:r>
        <w:t xml:space="preserve"> </w:t>
      </w:r>
      <w:proofErr w:type="spellStart"/>
      <w:r>
        <w:t>represent</w:t>
      </w:r>
      <w:proofErr w:type="spellEnd"/>
      <w:r>
        <w:t xml:space="preserve"> </w:t>
      </w:r>
      <w:proofErr w:type="spellStart"/>
      <w:r>
        <w:t>participant-level</w:t>
      </w:r>
      <w:proofErr w:type="spellEnd"/>
      <w:r>
        <w:t xml:space="preserve"> mean looking time.</w:t>
      </w:r>
    </w:p>
    <w:p w14:paraId="7D4B58F8" w14:textId="77777777" w:rsidR="00F3160A" w:rsidRDefault="00B3632E">
      <w:r>
        <w:rPr>
          <w:noProof/>
        </w:rPr>
        <w:drawing>
          <wp:inline distT="0" distB="0" distL="0" distR="0" wp14:anchorId="501D245B" wp14:editId="09088690">
            <wp:extent cx="5384800" cy="2692400"/>
            <wp:effectExtent l="0" t="0" r="0" b="0"/>
            <wp:docPr id="3" name="Picture" descr="Predicted looking times plotted against HPP, split by test item."/>
            <wp:cNvGraphicFramePr/>
            <a:graphic xmlns:a="http://schemas.openxmlformats.org/drawingml/2006/main">
              <a:graphicData uri="http://schemas.openxmlformats.org/drawingml/2006/picture">
                <pic:pic xmlns:pic="http://schemas.openxmlformats.org/drawingml/2006/picture">
                  <pic:nvPicPr>
                    <pic:cNvPr id="0" name="Picture" descr="/Users/GonzaloGGC/projects/Flip/Figures/HPP3/03_interaction.png"/>
                    <pic:cNvPicPr>
                      <a:picLocks noChangeAspect="1" noChangeArrowheads="1"/>
                    </pic:cNvPicPr>
                  </pic:nvPicPr>
                  <pic:blipFill>
                    <a:blip r:embed="rId9"/>
                    <a:stretch>
                      <a:fillRect/>
                    </a:stretch>
                  </pic:blipFill>
                  <pic:spPr bwMode="auto">
                    <a:xfrm>
                      <a:off x="0" y="0"/>
                      <a:ext cx="5384800" cy="2692400"/>
                    </a:xfrm>
                    <a:prstGeom prst="rect">
                      <a:avLst/>
                    </a:prstGeom>
                    <a:noFill/>
                    <a:ln w="9525">
                      <a:noFill/>
                      <a:headEnd/>
                      <a:tailEnd/>
                    </a:ln>
                  </pic:spPr>
                </pic:pic>
              </a:graphicData>
            </a:graphic>
          </wp:inline>
        </w:drawing>
      </w:r>
    </w:p>
    <w:p w14:paraId="4EA122D2" w14:textId="77777777" w:rsidR="00F3160A" w:rsidRPr="00CA791E" w:rsidRDefault="00B3632E">
      <w:pPr>
        <w:rPr>
          <w:lang w:val="en-US"/>
        </w:rPr>
      </w:pPr>
      <w:r w:rsidRPr="00CA791E">
        <w:rPr>
          <w:lang w:val="en-US"/>
        </w:rPr>
        <w:t>Predicted looking times plotted against HPP, split by test item.</w:t>
      </w:r>
    </w:p>
    <w:p w14:paraId="16C1AE87" w14:textId="77777777" w:rsidR="00F3160A" w:rsidRPr="00CA791E" w:rsidRDefault="00B3632E">
      <w:pPr>
        <w:pStyle w:val="Heading1"/>
        <w:rPr>
          <w:lang w:val="en-US"/>
        </w:rPr>
      </w:pPr>
      <w:bookmarkStart w:id="4" w:name="appendices"/>
      <w:r w:rsidRPr="00CA791E">
        <w:rPr>
          <w:lang w:val="en-US"/>
        </w:rPr>
        <w:lastRenderedPageBreak/>
        <w:t>Appendices</w:t>
      </w:r>
      <w:bookmarkEnd w:id="4"/>
    </w:p>
    <w:p w14:paraId="1F513B86" w14:textId="77777777" w:rsidR="00F3160A" w:rsidRPr="00CA791E" w:rsidRDefault="00B3632E">
      <w:pPr>
        <w:pStyle w:val="Heading3"/>
        <w:rPr>
          <w:lang w:val="en-US"/>
        </w:rPr>
      </w:pPr>
      <w:bookmarkStart w:id="5" w:name="appendix-1-linear-mixed-model"/>
      <w:r w:rsidRPr="00CA791E">
        <w:rPr>
          <w:lang w:val="en-US"/>
        </w:rPr>
        <w:t>Appendix 1: Linear Mixed Model</w:t>
      </w:r>
      <w:bookmarkEnd w:id="5"/>
    </w:p>
    <w:p w14:paraId="0A654C4A" w14:textId="77777777" w:rsidR="00F3160A" w:rsidRPr="00CA791E" w:rsidRDefault="00B3632E">
      <w:pPr>
        <w:rPr>
          <w:lang w:val="en-US"/>
        </w:rPr>
      </w:pPr>
      <w:r w:rsidRPr="00CA791E">
        <w:rPr>
          <w:lang w:val="en-US"/>
        </w:rPr>
        <w:t>Following Barr et al. (</w:t>
      </w:r>
      <w:r w:rsidRPr="00CA791E">
        <w:rPr>
          <w:lang w:val="en-US"/>
        </w:rPr>
        <w:t xml:space="preserve">2013) guidelines, we initially specified a maximal random structure, including random intercepts for </w:t>
      </w:r>
      <m:oMath>
        <m:r>
          <w:rPr>
            <w:rFonts w:ascii="Cambria Math" w:hAnsi="Cambria Math"/>
          </w:rPr>
          <m:t>Participant</m:t>
        </m:r>
      </m:oMath>
      <w:r w:rsidRPr="00CA791E">
        <w:rPr>
          <w:lang w:val="en-US"/>
        </w:rPr>
        <w:t xml:space="preserve"> and </w:t>
      </w:r>
      <m:oMath>
        <m:r>
          <w:rPr>
            <w:rFonts w:ascii="Cambria Math" w:hAnsi="Cambria Math"/>
          </w:rPr>
          <m:t>Study</m:t>
        </m:r>
      </m:oMath>
      <w:r w:rsidRPr="00CA791E">
        <w:rPr>
          <w:lang w:val="en-US"/>
        </w:rPr>
        <w:t xml:space="preserve">, and random slopes for </w:t>
      </w:r>
      <m:oMath>
        <m:r>
          <w:rPr>
            <w:rFonts w:ascii="Cambria Math" w:hAnsi="Cambria Math"/>
          </w:rPr>
          <m:t>Item</m:t>
        </m:r>
      </m:oMath>
      <w:r w:rsidRPr="00CA791E">
        <w:rPr>
          <w:lang w:val="en-US"/>
        </w:rPr>
        <w:t xml:space="preserve">, </w:t>
      </w:r>
      <m:oMath>
        <m:r>
          <w:rPr>
            <w:rFonts w:ascii="Cambria Math" w:hAnsi="Cambria Math"/>
          </w:rPr>
          <m:t>HPP</m:t>
        </m:r>
      </m:oMath>
      <w:r w:rsidRPr="00CA791E">
        <w:rPr>
          <w:lang w:val="en-US"/>
        </w:rPr>
        <w:t xml:space="preserve">, and </w:t>
      </w:r>
      <m:oMath>
        <m:r>
          <w:rPr>
            <w:rFonts w:ascii="Cambria Math" w:hAnsi="Cambria Math"/>
          </w:rPr>
          <m:t>Item</m:t>
        </m:r>
        <m:r>
          <w:rPr>
            <w:rFonts w:ascii="Cambria Math" w:hAnsi="Cambria Math"/>
            <w:lang w:val="en-US"/>
          </w:rPr>
          <m:t>×</m:t>
        </m:r>
        <m:r>
          <w:rPr>
            <w:rFonts w:ascii="Cambria Math" w:hAnsi="Cambria Math"/>
          </w:rPr>
          <m:t>HPP</m:t>
        </m:r>
      </m:oMath>
      <w:r w:rsidRPr="00CA791E">
        <w:rPr>
          <w:lang w:val="en-US"/>
        </w:rPr>
        <w:t xml:space="preserve">, by </w:t>
      </w:r>
      <m:oMath>
        <m:r>
          <w:rPr>
            <w:rFonts w:ascii="Cambria Math" w:hAnsi="Cambria Math"/>
          </w:rPr>
          <m:t>Participant</m:t>
        </m:r>
      </m:oMath>
      <w:r w:rsidRPr="00CA791E">
        <w:rPr>
          <w:lang w:val="en-US"/>
        </w:rPr>
        <w:t xml:space="preserve"> and </w:t>
      </w:r>
      <m:oMath>
        <m:r>
          <w:rPr>
            <w:rFonts w:ascii="Cambria Math" w:hAnsi="Cambria Math"/>
          </w:rPr>
          <m:t>Study</m:t>
        </m:r>
      </m:oMath>
      <w:r w:rsidRPr="00CA791E">
        <w:rPr>
          <w:lang w:val="en-US"/>
        </w:rPr>
        <w:t>. Due to lack o</w:t>
      </w:r>
      <w:r w:rsidRPr="00CA791E">
        <w:rPr>
          <w:lang w:val="en-US"/>
        </w:rPr>
        <w:t xml:space="preserve">f convergence, the random structure was simplified until the model converged successfully and fit was no longer singular. The final model included only by-participant and by-study random intercepts. The code and formula of the resulting mode are presented </w:t>
      </w:r>
      <w:r w:rsidRPr="00CA791E">
        <w:rPr>
          <w:lang w:val="en-US"/>
        </w:rPr>
        <w:t>below:</w:t>
      </w:r>
    </w:p>
    <w:p w14:paraId="6B2C66BB" w14:textId="0895BB55" w:rsidR="00F3160A" w:rsidRPr="00CA791E" w:rsidRDefault="00CA791E">
      <w:pPr>
        <w:rPr>
          <w:lang w:val="en-US"/>
        </w:rPr>
      </w:pPr>
      <w:proofErr w:type="spellStart"/>
      <w:r>
        <w:rPr>
          <w:lang w:val="en-US"/>
        </w:rPr>
        <w:t>L</w:t>
      </w:r>
      <w:r w:rsidR="00B3632E" w:rsidRPr="00CA791E">
        <w:rPr>
          <w:lang w:val="en-US"/>
        </w:rPr>
        <w:t>ookingTime</w:t>
      </w:r>
      <w:proofErr w:type="spellEnd"/>
      <w:r w:rsidR="00B3632E" w:rsidRPr="00CA791E">
        <w:rPr>
          <w:lang w:val="en-US"/>
        </w:rPr>
        <w:t xml:space="preserve"> ~ Item * HPP + (1 | Participant) + (1 | Study)</w:t>
      </w:r>
    </w:p>
    <w:p w14:paraId="4250021D" w14:textId="77777777" w:rsidR="00CA791E" w:rsidRPr="00CA791E" w:rsidRDefault="00CA791E">
      <w:pPr>
        <w:rPr>
          <w:rFonts w:eastAsiaTheme="minorEastAsia"/>
          <w:lang w:val="en-US"/>
        </w:rPr>
      </w:pPr>
      <m:oMathPara>
        <m:oMathParaPr>
          <m:jc m:val="left"/>
        </m:oMathParaPr>
        <m:oMath>
          <m:sSub>
            <m:sSubPr>
              <m:ctrlPr>
                <w:rPr>
                  <w:rFonts w:ascii="Cambria Math" w:hAnsi="Cambria Math"/>
                  <w:i/>
                  <w:sz w:val="22"/>
                  <w:szCs w:val="22"/>
                  <w:lang w:val="en-US"/>
                </w:rPr>
              </m:ctrlPr>
            </m:sSubPr>
            <m:e>
              <m:r>
                <w:rPr>
                  <w:rFonts w:ascii="Cambria Math" w:hAnsi="Cambria Math"/>
                  <w:sz w:val="22"/>
                  <w:szCs w:val="22"/>
                  <w:lang w:val="en-US"/>
                </w:rPr>
                <m:t>LT</m:t>
              </m:r>
            </m:e>
            <m:sub>
              <m:r>
                <w:rPr>
                  <w:rFonts w:ascii="Cambria Math" w:hAnsi="Cambria Math"/>
                  <w:sz w:val="22"/>
                  <w:szCs w:val="22"/>
                  <w:lang w:val="en-US"/>
                </w:rPr>
                <m:t>ips</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β</m:t>
              </m:r>
            </m:e>
            <m:sub>
              <m:r>
                <w:rPr>
                  <w:rFonts w:ascii="Cambria Math" w:hAnsi="Cambria Math"/>
                  <w:sz w:val="22"/>
                  <w:szCs w:val="22"/>
                  <w:lang w:val="en-US"/>
                </w:rPr>
                <m:t>0</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Participant</m:t>
              </m:r>
            </m:e>
            <m:sub>
              <m:r>
                <w:rPr>
                  <w:rFonts w:ascii="Cambria Math" w:hAnsi="Cambria Math"/>
                  <w:sz w:val="22"/>
                  <w:szCs w:val="22"/>
                  <w:lang w:val="en-US"/>
                </w:rPr>
                <m:t>0p</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Study</m:t>
              </m:r>
            </m:e>
            <m:sub>
              <m:r>
                <w:rPr>
                  <w:rFonts w:ascii="Cambria Math" w:hAnsi="Cambria Math"/>
                  <w:sz w:val="22"/>
                  <w:szCs w:val="22"/>
                  <w:lang w:val="en-US"/>
                </w:rPr>
                <m:t>0s</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β</m:t>
              </m:r>
            </m:e>
            <m:sub>
              <m:r>
                <w:rPr>
                  <w:rFonts w:ascii="Cambria Math" w:hAnsi="Cambria Math"/>
                  <w:sz w:val="22"/>
                  <w:szCs w:val="22"/>
                  <w:lang w:val="en-US"/>
                </w:rPr>
                <m:t>1</m:t>
              </m:r>
            </m:sub>
          </m:sSub>
          <m:r>
            <w:rPr>
              <w:rFonts w:ascii="Cambria Math" w:hAnsi="Cambria Math"/>
              <w:sz w:val="22"/>
              <w:szCs w:val="22"/>
              <w:lang w:val="en-US"/>
            </w:rPr>
            <m:t>HPP+</m:t>
          </m:r>
          <m:sSub>
            <m:sSubPr>
              <m:ctrlPr>
                <w:rPr>
                  <w:rFonts w:ascii="Cambria Math" w:hAnsi="Cambria Math"/>
                  <w:i/>
                  <w:sz w:val="22"/>
                  <w:szCs w:val="22"/>
                  <w:lang w:val="en-US"/>
                </w:rPr>
              </m:ctrlPr>
            </m:sSubPr>
            <m:e>
              <m:r>
                <w:rPr>
                  <w:rFonts w:ascii="Cambria Math" w:hAnsi="Cambria Math"/>
                  <w:sz w:val="22"/>
                  <w:szCs w:val="22"/>
                  <w:lang w:val="en-US"/>
                </w:rPr>
                <m:t>β</m:t>
              </m:r>
            </m:e>
            <m:sub>
              <m:r>
                <w:rPr>
                  <w:rFonts w:ascii="Cambria Math" w:hAnsi="Cambria Math"/>
                  <w:sz w:val="22"/>
                  <w:szCs w:val="22"/>
                  <w:lang w:val="en-US"/>
                </w:rPr>
                <m:t>2</m:t>
              </m:r>
            </m:sub>
          </m:sSub>
          <m:r>
            <w:rPr>
              <w:rFonts w:ascii="Cambria Math" w:hAnsi="Cambria Math"/>
              <w:sz w:val="22"/>
              <w:szCs w:val="22"/>
              <w:lang w:val="en-US"/>
            </w:rPr>
            <m:t>Item+</m:t>
          </m:r>
          <m:sSub>
            <m:sSubPr>
              <m:ctrlPr>
                <w:rPr>
                  <w:rFonts w:ascii="Cambria Math" w:hAnsi="Cambria Math"/>
                  <w:i/>
                  <w:sz w:val="22"/>
                  <w:szCs w:val="22"/>
                  <w:lang w:val="en-US"/>
                </w:rPr>
              </m:ctrlPr>
            </m:sSubPr>
            <m:e>
              <m:r>
                <w:rPr>
                  <w:rFonts w:ascii="Cambria Math" w:hAnsi="Cambria Math"/>
                  <w:sz w:val="22"/>
                  <w:szCs w:val="22"/>
                  <w:lang w:val="en-US"/>
                </w:rPr>
                <m:t>β</m:t>
              </m:r>
            </m:e>
            <m:sub>
              <m:r>
                <w:rPr>
                  <w:rFonts w:ascii="Cambria Math" w:hAnsi="Cambria Math"/>
                  <w:sz w:val="22"/>
                  <w:szCs w:val="22"/>
                  <w:lang w:val="en-US"/>
                </w:rPr>
                <m:t>3</m:t>
              </m:r>
            </m:sub>
          </m:sSub>
          <m:d>
            <m:dPr>
              <m:ctrlPr>
                <w:rPr>
                  <w:rFonts w:ascii="Cambria Math" w:hAnsi="Cambria Math"/>
                  <w:i/>
                  <w:sz w:val="22"/>
                  <w:szCs w:val="22"/>
                  <w:lang w:val="en-US"/>
                </w:rPr>
              </m:ctrlPr>
            </m:dPr>
            <m:e>
              <m:r>
                <w:rPr>
                  <w:rFonts w:ascii="Cambria Math" w:hAnsi="Cambria Math"/>
                  <w:sz w:val="22"/>
                  <w:szCs w:val="22"/>
                  <w:lang w:val="en-US"/>
                </w:rPr>
                <m:t>HPP×Item</m:t>
              </m:r>
            </m:e>
          </m:d>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ips</m:t>
              </m:r>
            </m:sub>
          </m:sSub>
        </m:oMath>
      </m:oMathPara>
    </w:p>
    <w:p w14:paraId="216E0873" w14:textId="3548BB8E" w:rsidR="00F3160A" w:rsidRPr="00CA791E" w:rsidRDefault="00CA791E">
      <w:pPr>
        <w:rPr>
          <w:lang w:val="en-US"/>
        </w:rPr>
      </w:pPr>
      <m:oMathPara>
        <m:oMathParaPr>
          <m:jc m:val="left"/>
        </m:oMathParaPr>
        <m:oMath>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ips</m:t>
              </m:r>
            </m:sub>
          </m:sSub>
          <m:r>
            <w:rPr>
              <w:rFonts w:ascii="Cambria Math" w:hAnsi="Cambria Math"/>
              <w:sz w:val="22"/>
              <w:szCs w:val="22"/>
              <w:lang w:val="en-US"/>
            </w:rPr>
            <m:t>~N</m:t>
          </m:r>
          <m:d>
            <m:dPr>
              <m:ctrlPr>
                <w:rPr>
                  <w:rFonts w:ascii="Cambria Math" w:hAnsi="Cambria Math"/>
                  <w:i/>
                  <w:sz w:val="22"/>
                  <w:szCs w:val="22"/>
                  <w:lang w:val="en-US"/>
                </w:rPr>
              </m:ctrlPr>
            </m:dPr>
            <m:e>
              <m:r>
                <w:rPr>
                  <w:rFonts w:ascii="Cambria Math" w:hAnsi="Cambria Math"/>
                  <w:sz w:val="22"/>
                  <w:szCs w:val="22"/>
                  <w:lang w:val="en-US"/>
                </w:rPr>
                <m:t>0,</m:t>
              </m:r>
              <m:sSup>
                <m:sSupPr>
                  <m:ctrlPr>
                    <w:rPr>
                      <w:rFonts w:ascii="Cambria Math" w:hAnsi="Cambria Math"/>
                      <w:i/>
                      <w:sz w:val="22"/>
                      <w:szCs w:val="22"/>
                      <w:lang w:val="en-US"/>
                    </w:rPr>
                  </m:ctrlPr>
                </m:sSupPr>
                <m:e>
                  <m:r>
                    <w:rPr>
                      <w:rFonts w:ascii="Cambria Math" w:hAnsi="Cambria Math"/>
                      <w:sz w:val="22"/>
                      <w:szCs w:val="22"/>
                      <w:lang w:val="en-US"/>
                    </w:rPr>
                    <m:t>σ</m:t>
                  </m:r>
                </m:e>
                <m:sup>
                  <m:r>
                    <w:rPr>
                      <w:rFonts w:ascii="Cambria Math" w:hAnsi="Cambria Math"/>
                      <w:sz w:val="22"/>
                      <w:szCs w:val="22"/>
                      <w:lang w:val="en-US"/>
                    </w:rPr>
                    <m:t>2</m:t>
                  </m:r>
                </m:sup>
              </m:sSup>
            </m:e>
          </m:d>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Participant</m:t>
              </m:r>
            </m:e>
            <m:sub>
              <m:r>
                <w:rPr>
                  <w:rFonts w:ascii="Cambria Math" w:hAnsi="Cambria Math"/>
                  <w:sz w:val="22"/>
                  <w:szCs w:val="22"/>
                  <w:lang w:val="en-US"/>
                </w:rPr>
                <m:t>0p</m:t>
              </m:r>
            </m:sub>
          </m:sSub>
          <m:r>
            <w:rPr>
              <w:rFonts w:ascii="Cambria Math" w:hAnsi="Cambria Math"/>
              <w:sz w:val="22"/>
              <w:szCs w:val="22"/>
              <w:lang w:val="en-US"/>
            </w:rPr>
            <m:t xml:space="preserve">~N(0, </m:t>
          </m:r>
          <m:sSubSup>
            <m:sSubSupPr>
              <m:ctrlPr>
                <w:rPr>
                  <w:rFonts w:ascii="Cambria Math" w:hAnsi="Cambria Math"/>
                  <w:i/>
                  <w:sz w:val="22"/>
                  <w:szCs w:val="22"/>
                  <w:lang w:val="en-US"/>
                </w:rPr>
              </m:ctrlPr>
            </m:sSubSupPr>
            <m:e>
              <m:r>
                <w:rPr>
                  <w:rFonts w:ascii="Cambria Math" w:hAnsi="Cambria Math"/>
                  <w:sz w:val="22"/>
                  <w:szCs w:val="22"/>
                  <w:lang w:val="en-US"/>
                </w:rPr>
                <m:t>τ</m:t>
              </m:r>
            </m:e>
            <m:sub>
              <m:r>
                <w:rPr>
                  <w:rFonts w:ascii="Cambria Math" w:hAnsi="Cambria Math"/>
                  <w:sz w:val="22"/>
                  <w:szCs w:val="22"/>
                  <w:lang w:val="en-US"/>
                </w:rPr>
                <m:t>00</m:t>
              </m:r>
            </m:sub>
            <m:sup>
              <m:r>
                <w:rPr>
                  <w:rFonts w:ascii="Cambria Math" w:hAnsi="Cambria Math"/>
                  <w:sz w:val="22"/>
                  <w:szCs w:val="22"/>
                  <w:lang w:val="en-US"/>
                </w:rPr>
                <m:t>2</m:t>
              </m:r>
            </m:sup>
          </m:sSubSup>
          <m:r>
            <w:rPr>
              <w:rFonts w:ascii="Cambria Math" w:hAnsi="Cambria Math"/>
              <w:sz w:val="22"/>
              <w:szCs w:val="22"/>
              <w:lang w:val="en-US"/>
            </w:rPr>
            <m:t xml:space="preserve">), </m:t>
          </m:r>
          <m:sSub>
            <m:sSubPr>
              <m:ctrlPr>
                <w:rPr>
                  <w:rFonts w:ascii="Cambria Math" w:hAnsi="Cambria Math"/>
                  <w:i/>
                  <w:sz w:val="22"/>
                  <w:szCs w:val="22"/>
                  <w:lang w:val="en-US"/>
                </w:rPr>
              </m:ctrlPr>
            </m:sSubPr>
            <m:e>
              <m:r>
                <w:rPr>
                  <w:rFonts w:ascii="Cambria Math" w:hAnsi="Cambria Math"/>
                  <w:sz w:val="22"/>
                  <w:szCs w:val="22"/>
                  <w:lang w:val="en-US"/>
                </w:rPr>
                <m:t>Study</m:t>
              </m:r>
            </m:e>
            <m:sub>
              <m:r>
                <w:rPr>
                  <w:rFonts w:ascii="Cambria Math" w:hAnsi="Cambria Math"/>
                  <w:sz w:val="22"/>
                  <w:szCs w:val="22"/>
                  <w:lang w:val="en-US"/>
                </w:rPr>
                <m:t>0p</m:t>
              </m:r>
            </m:sub>
          </m:sSub>
          <m:r>
            <w:rPr>
              <w:rFonts w:ascii="Cambria Math" w:hAnsi="Cambria Math"/>
              <w:sz w:val="22"/>
              <w:szCs w:val="22"/>
              <w:lang w:val="en-US"/>
            </w:rPr>
            <m:t xml:space="preserve">~N(0, </m:t>
          </m:r>
          <m:sSubSup>
            <m:sSubSupPr>
              <m:ctrlPr>
                <w:rPr>
                  <w:rFonts w:ascii="Cambria Math" w:hAnsi="Cambria Math"/>
                  <w:i/>
                  <w:sz w:val="22"/>
                  <w:szCs w:val="22"/>
                  <w:lang w:val="en-US"/>
                </w:rPr>
              </m:ctrlPr>
            </m:sSubSupPr>
            <m:e>
              <m:r>
                <w:rPr>
                  <w:rFonts w:ascii="Cambria Math" w:hAnsi="Cambria Math"/>
                  <w:sz w:val="22"/>
                  <w:szCs w:val="22"/>
                  <w:lang w:val="en-US"/>
                </w:rPr>
                <m:t>ω</m:t>
              </m:r>
            </m:e>
            <m:sub>
              <m:r>
                <w:rPr>
                  <w:rFonts w:ascii="Cambria Math" w:hAnsi="Cambria Math"/>
                  <w:sz w:val="22"/>
                  <w:szCs w:val="22"/>
                  <w:lang w:val="en-US"/>
                </w:rPr>
                <m:t>00</m:t>
              </m:r>
            </m:sub>
            <m:sup>
              <m:r>
                <w:rPr>
                  <w:rFonts w:ascii="Cambria Math" w:hAnsi="Cambria Math"/>
                  <w:sz w:val="22"/>
                  <w:szCs w:val="22"/>
                  <w:lang w:val="en-US"/>
                </w:rPr>
                <m:t>2</m:t>
              </m:r>
            </m:sup>
          </m:sSubSup>
          <m:r>
            <w:rPr>
              <w:rFonts w:ascii="Cambria Math" w:hAnsi="Cambria Math"/>
              <w:sz w:val="22"/>
              <w:szCs w:val="22"/>
              <w:lang w:val="en-US"/>
            </w:rPr>
            <m:t>)</m:t>
          </m:r>
        </m:oMath>
      </m:oMathPara>
    </w:p>
    <w:p w14:paraId="1546E8A4" w14:textId="77777777" w:rsidR="00F3160A" w:rsidRDefault="00B3632E">
      <w:proofErr w:type="spellStart"/>
      <w:r>
        <w:t>Where</w:t>
      </w:r>
      <w:proofErr w:type="spellEnd"/>
      <w:r>
        <w:t>:</w:t>
      </w:r>
    </w:p>
    <w:p w14:paraId="5C578C48" w14:textId="77777777" w:rsidR="00F3160A" w:rsidRPr="00CA791E" w:rsidRDefault="00B3632E">
      <w:pPr>
        <w:numPr>
          <w:ilvl w:val="0"/>
          <w:numId w:val="9"/>
        </w:numPr>
        <w:rPr>
          <w:lang w:val="en-US"/>
        </w:rPr>
      </w:pPr>
      <m:oMath>
        <m:r>
          <w:rPr>
            <w:rFonts w:ascii="Cambria Math" w:hAnsi="Cambria Math"/>
          </w:rPr>
          <m:t>L</m:t>
        </m:r>
        <m:sSub>
          <m:sSubPr>
            <m:ctrlPr>
              <w:rPr>
                <w:rFonts w:ascii="Cambria Math" w:hAnsi="Cambria Math"/>
              </w:rPr>
            </m:ctrlPr>
          </m:sSubPr>
          <m:e>
            <m:r>
              <w:rPr>
                <w:rFonts w:ascii="Cambria Math" w:hAnsi="Cambria Math"/>
              </w:rPr>
              <m:t>T</m:t>
            </m:r>
          </m:e>
          <m:sub>
            <m:r>
              <w:rPr>
                <w:rFonts w:ascii="Cambria Math" w:hAnsi="Cambria Math"/>
              </w:rPr>
              <m:t>ips</m:t>
            </m:r>
          </m:sub>
        </m:sSub>
      </m:oMath>
      <w:r w:rsidRPr="00CA791E">
        <w:rPr>
          <w:lang w:val="en-US"/>
        </w:rPr>
        <w:t xml:space="preserve"> is the looking time in trial </w:t>
      </w:r>
      <m:oMath>
        <m:r>
          <w:rPr>
            <w:rFonts w:ascii="Cambria Math" w:hAnsi="Cambria Math"/>
          </w:rPr>
          <m:t>i</m:t>
        </m:r>
      </m:oMath>
      <w:r w:rsidRPr="00CA791E">
        <w:rPr>
          <w:lang w:val="en-US"/>
        </w:rPr>
        <w:t xml:space="preserve">, in participant </w:t>
      </w:r>
      <m:oMath>
        <m:r>
          <w:rPr>
            <w:rFonts w:ascii="Cambria Math" w:hAnsi="Cambria Math"/>
          </w:rPr>
          <m:t>p</m:t>
        </m:r>
      </m:oMath>
      <w:r w:rsidRPr="00CA791E">
        <w:rPr>
          <w:lang w:val="en-US"/>
        </w:rPr>
        <w:t xml:space="preserve"> from study </w:t>
      </w:r>
      <m:oMath>
        <m:r>
          <w:rPr>
            <w:rFonts w:ascii="Cambria Math" w:hAnsi="Cambria Math"/>
          </w:rPr>
          <m:t>s</m:t>
        </m:r>
      </m:oMath>
      <w:r w:rsidRPr="00CA791E">
        <w:rPr>
          <w:lang w:val="en-US"/>
        </w:rPr>
        <w:t>.</w:t>
      </w:r>
    </w:p>
    <w:p w14:paraId="25AD828B" w14:textId="77777777" w:rsidR="00F3160A" w:rsidRPr="00CA791E" w:rsidRDefault="00B3632E">
      <w:pPr>
        <w:numPr>
          <w:ilvl w:val="0"/>
          <w:numId w:val="9"/>
        </w:numPr>
        <w:rPr>
          <w:lang w:val="en-US"/>
        </w:rPr>
      </w:pPr>
      <m:oMath>
        <m:sSub>
          <m:sSubPr>
            <m:ctrlPr>
              <w:rPr>
                <w:rFonts w:ascii="Cambria Math" w:hAnsi="Cambria Math"/>
              </w:rPr>
            </m:ctrlPr>
          </m:sSubPr>
          <m:e>
            <m:r>
              <w:rPr>
                <w:rFonts w:ascii="Cambria Math" w:hAnsi="Cambria Math"/>
              </w:rPr>
              <m:t>β</m:t>
            </m:r>
          </m:e>
          <m:sub>
            <m:r>
              <w:rPr>
                <w:rFonts w:ascii="Cambria Math" w:hAnsi="Cambria Math"/>
                <w:lang w:val="en-US"/>
              </w:rPr>
              <m:t>0</m:t>
            </m:r>
          </m:sub>
        </m:sSub>
      </m:oMath>
      <w:r w:rsidRPr="00CA791E">
        <w:rPr>
          <w:lang w:val="en-US"/>
        </w:rPr>
        <w:t xml:space="preserve"> is the fixed intercept (the grand mean of all looking times from all trials</w:t>
      </w:r>
      <w:proofErr w:type="gramStart"/>
      <w:r w:rsidRPr="00CA791E">
        <w:rPr>
          <w:lang w:val="en-US"/>
        </w:rPr>
        <w:t>).</w:t>
      </w:r>
      <w:proofErr w:type="gramEnd"/>
    </w:p>
    <w:p w14:paraId="0C75E6EA" w14:textId="77777777" w:rsidR="00F3160A" w:rsidRPr="00CA791E" w:rsidRDefault="00B3632E">
      <w:pPr>
        <w:numPr>
          <w:ilvl w:val="0"/>
          <w:numId w:val="9"/>
        </w:numPr>
        <w:rPr>
          <w:lang w:val="en-US"/>
        </w:rPr>
      </w:pPr>
      <m:oMath>
        <m:r>
          <w:rPr>
            <w:rFonts w:ascii="Cambria Math" w:hAnsi="Cambria Math"/>
          </w:rPr>
          <m:t>Participan</m:t>
        </m:r>
        <m:sSub>
          <m:sSubPr>
            <m:ctrlPr>
              <w:rPr>
                <w:rFonts w:ascii="Cambria Math" w:hAnsi="Cambria Math"/>
              </w:rPr>
            </m:ctrlPr>
          </m:sSubPr>
          <m:e>
            <m:r>
              <w:rPr>
                <w:rFonts w:ascii="Cambria Math" w:hAnsi="Cambria Math"/>
              </w:rPr>
              <m:t>t</m:t>
            </m:r>
          </m:e>
          <m:sub>
            <m:r>
              <w:rPr>
                <w:rFonts w:ascii="Cambria Math" w:hAnsi="Cambria Math"/>
                <w:lang w:val="en-US"/>
              </w:rPr>
              <m:t>0</m:t>
            </m:r>
            <m:r>
              <w:rPr>
                <w:rFonts w:ascii="Cambria Math" w:hAnsi="Cambria Math"/>
              </w:rPr>
              <m:t>p</m:t>
            </m:r>
          </m:sub>
        </m:sSub>
      </m:oMath>
      <w:r w:rsidRPr="00CA791E">
        <w:rPr>
          <w:lang w:val="en-US"/>
        </w:rPr>
        <w:t xml:space="preserve"> is the by-participant random intercept (the overall loo</w:t>
      </w:r>
      <w:r w:rsidRPr="00CA791E">
        <w:rPr>
          <w:lang w:val="en-US"/>
        </w:rPr>
        <w:t xml:space="preserve">king time of participant </w:t>
      </w:r>
      <m:oMath>
        <m:r>
          <w:rPr>
            <w:rFonts w:ascii="Cambria Math" w:hAnsi="Cambria Math"/>
          </w:rPr>
          <m:t>p</m:t>
        </m:r>
      </m:oMath>
      <w:r w:rsidRPr="00CA791E">
        <w:rPr>
          <w:lang w:val="en-US"/>
        </w:rPr>
        <w:t xml:space="preserve">, assumed to have been sampled from a normal distribution with mean 0 and variance </w:t>
      </w:r>
      <m:oMath>
        <m:sSubSup>
          <m:sSubSupPr>
            <m:ctrlPr>
              <w:rPr>
                <w:rFonts w:ascii="Cambria Math" w:hAnsi="Cambria Math"/>
              </w:rPr>
            </m:ctrlPr>
          </m:sSubSupPr>
          <m:e>
            <m:r>
              <w:rPr>
                <w:rFonts w:ascii="Cambria Math" w:hAnsi="Cambria Math"/>
              </w:rPr>
              <m:t>τ</m:t>
            </m:r>
          </m:e>
          <m:sub>
            <m:r>
              <w:rPr>
                <w:rFonts w:ascii="Cambria Math" w:hAnsi="Cambria Math"/>
                <w:lang w:val="en-US"/>
              </w:rPr>
              <m:t>00</m:t>
            </m:r>
          </m:sub>
          <m:sup>
            <m:r>
              <w:rPr>
                <w:rFonts w:ascii="Cambria Math" w:hAnsi="Cambria Math"/>
                <w:lang w:val="en-US"/>
              </w:rPr>
              <m:t>2</m:t>
            </m:r>
          </m:sup>
        </m:sSubSup>
      </m:oMath>
      <w:r w:rsidRPr="00CA791E">
        <w:rPr>
          <w:lang w:val="en-US"/>
        </w:rPr>
        <w:t>.</w:t>
      </w:r>
    </w:p>
    <w:p w14:paraId="22285F60" w14:textId="77777777" w:rsidR="00F3160A" w:rsidRPr="00CA791E" w:rsidRDefault="00B3632E">
      <w:pPr>
        <w:numPr>
          <w:ilvl w:val="0"/>
          <w:numId w:val="9"/>
        </w:numPr>
        <w:rPr>
          <w:lang w:val="en-US"/>
        </w:rPr>
      </w:pPr>
      <m:oMath>
        <m:r>
          <w:rPr>
            <w:rFonts w:ascii="Cambria Math" w:hAnsi="Cambria Math"/>
          </w:rPr>
          <m:t>Stud</m:t>
        </m:r>
        <m:sSub>
          <m:sSubPr>
            <m:ctrlPr>
              <w:rPr>
                <w:rFonts w:ascii="Cambria Math" w:hAnsi="Cambria Math"/>
              </w:rPr>
            </m:ctrlPr>
          </m:sSubPr>
          <m:e>
            <m:r>
              <w:rPr>
                <w:rFonts w:ascii="Cambria Math" w:hAnsi="Cambria Math"/>
              </w:rPr>
              <m:t>y</m:t>
            </m:r>
          </m:e>
          <m:sub>
            <m:r>
              <w:rPr>
                <w:rFonts w:ascii="Cambria Math" w:hAnsi="Cambria Math"/>
                <w:lang w:val="en-US"/>
              </w:rPr>
              <m:t>0</m:t>
            </m:r>
            <m:r>
              <w:rPr>
                <w:rFonts w:ascii="Cambria Math" w:hAnsi="Cambria Math"/>
              </w:rPr>
              <m:t>s</m:t>
            </m:r>
          </m:sub>
        </m:sSub>
      </m:oMath>
      <w:r w:rsidRPr="00CA791E">
        <w:rPr>
          <w:lang w:val="en-US"/>
        </w:rPr>
        <w:t xml:space="preserve"> is the by-study random intercept (the overall looking time in study </w:t>
      </w:r>
      <m:oMath>
        <m:r>
          <w:rPr>
            <w:rFonts w:ascii="Cambria Math" w:hAnsi="Cambria Math"/>
          </w:rPr>
          <m:t>s</m:t>
        </m:r>
      </m:oMath>
      <w:r w:rsidRPr="00CA791E">
        <w:rPr>
          <w:lang w:val="en-US"/>
        </w:rPr>
        <w:t>, assumed to have been sampled from a normal distributi</w:t>
      </w:r>
      <w:r w:rsidRPr="00CA791E">
        <w:rPr>
          <w:lang w:val="en-US"/>
        </w:rPr>
        <w:t xml:space="preserve">on with mean 0 and variance </w:t>
      </w:r>
      <m:oMath>
        <m:sSubSup>
          <m:sSubSupPr>
            <m:ctrlPr>
              <w:rPr>
                <w:rFonts w:ascii="Cambria Math" w:hAnsi="Cambria Math"/>
              </w:rPr>
            </m:ctrlPr>
          </m:sSubSupPr>
          <m:e>
            <m:r>
              <w:rPr>
                <w:rFonts w:ascii="Cambria Math" w:hAnsi="Cambria Math"/>
              </w:rPr>
              <m:t>ω</m:t>
            </m:r>
          </m:e>
          <m:sub>
            <m:r>
              <w:rPr>
                <w:rFonts w:ascii="Cambria Math" w:hAnsi="Cambria Math"/>
                <w:lang w:val="en-US"/>
              </w:rPr>
              <m:t>00</m:t>
            </m:r>
          </m:sub>
          <m:sup>
            <m:r>
              <w:rPr>
                <w:rFonts w:ascii="Cambria Math" w:hAnsi="Cambria Math"/>
                <w:lang w:val="en-US"/>
              </w:rPr>
              <m:t>2</m:t>
            </m:r>
          </m:sup>
        </m:sSubSup>
      </m:oMath>
      <w:r w:rsidRPr="00CA791E">
        <w:rPr>
          <w:lang w:val="en-US"/>
        </w:rPr>
        <w:t>.</w:t>
      </w:r>
    </w:p>
    <w:p w14:paraId="01DF9A7B" w14:textId="126DEFF9" w:rsidR="00F3160A" w:rsidRPr="00CA791E" w:rsidRDefault="00B3632E">
      <w:pPr>
        <w:numPr>
          <w:ilvl w:val="0"/>
          <w:numId w:val="9"/>
        </w:numPr>
        <w:rPr>
          <w:lang w:val="en-US"/>
        </w:rPr>
      </w:pPr>
      <m:oMath>
        <m:sSub>
          <m:sSubPr>
            <m:ctrlPr>
              <w:rPr>
                <w:rFonts w:ascii="Cambria Math" w:hAnsi="Cambria Math"/>
              </w:rPr>
            </m:ctrlPr>
          </m:sSubPr>
          <m:e>
            <m:r>
              <w:rPr>
                <w:rFonts w:ascii="Cambria Math" w:hAnsi="Cambria Math"/>
              </w:rPr>
              <m:t>β</m:t>
            </m:r>
          </m:e>
          <m:sub>
            <m:r>
              <w:rPr>
                <w:rFonts w:ascii="Cambria Math" w:hAnsi="Cambria Math"/>
                <w:lang w:val="en-US"/>
              </w:rPr>
              <m:t>1</m:t>
            </m:r>
          </m:sub>
        </m:sSub>
      </m:oMath>
      <w:r w:rsidRPr="00CA791E">
        <w:rPr>
          <w:lang w:val="en-US"/>
        </w:rPr>
        <w:t xml:space="preserve"> is the coefficient of the fixed effect of the </w:t>
      </w:r>
      <m:oMath>
        <m:r>
          <w:rPr>
            <w:rFonts w:ascii="Cambria Math" w:hAnsi="Cambria Math"/>
          </w:rPr>
          <m:t>HPP</m:t>
        </m:r>
      </m:oMath>
      <w:r w:rsidRPr="00CA791E">
        <w:rPr>
          <w:lang w:val="en-US"/>
        </w:rPr>
        <w:t xml:space="preserve"> </w:t>
      </w:r>
      <w:proofErr w:type="gramStart"/>
      <w:r w:rsidRPr="00CA791E">
        <w:rPr>
          <w:lang w:val="en-US"/>
        </w:rPr>
        <w:t>predictor</w:t>
      </w:r>
      <w:proofErr w:type="gramEnd"/>
    </w:p>
    <w:p w14:paraId="7A36016D" w14:textId="1E9BEA57" w:rsidR="00F3160A" w:rsidRPr="00CA791E" w:rsidRDefault="00B3632E">
      <w:pPr>
        <w:numPr>
          <w:ilvl w:val="0"/>
          <w:numId w:val="9"/>
        </w:numPr>
        <w:rPr>
          <w:lang w:val="en-US"/>
        </w:rPr>
      </w:pPr>
      <m:oMath>
        <m:sSub>
          <m:sSubPr>
            <m:ctrlPr>
              <w:rPr>
                <w:rFonts w:ascii="Cambria Math" w:hAnsi="Cambria Math"/>
              </w:rPr>
            </m:ctrlPr>
          </m:sSubPr>
          <m:e>
            <m:r>
              <w:rPr>
                <w:rFonts w:ascii="Cambria Math" w:hAnsi="Cambria Math"/>
              </w:rPr>
              <m:t>β</m:t>
            </m:r>
          </m:e>
          <m:sub>
            <m:r>
              <w:rPr>
                <w:rFonts w:ascii="Cambria Math" w:hAnsi="Cambria Math"/>
                <w:lang w:val="en-US"/>
              </w:rPr>
              <m:t>2</m:t>
            </m:r>
          </m:sub>
        </m:sSub>
      </m:oMath>
      <w:r w:rsidRPr="00CA791E">
        <w:rPr>
          <w:lang w:val="en-US"/>
        </w:rPr>
        <w:t xml:space="preserve"> is the coefficient of the fixed effect of the </w:t>
      </w:r>
      <m:oMath>
        <m:r>
          <w:rPr>
            <w:rFonts w:ascii="Cambria Math" w:hAnsi="Cambria Math"/>
          </w:rPr>
          <m:t>Item</m:t>
        </m:r>
      </m:oMath>
      <w:r w:rsidRPr="00CA791E">
        <w:rPr>
          <w:lang w:val="en-US"/>
        </w:rPr>
        <w:t xml:space="preserve"> </w:t>
      </w:r>
      <w:proofErr w:type="gramStart"/>
      <w:r w:rsidRPr="00CA791E">
        <w:rPr>
          <w:lang w:val="en-US"/>
        </w:rPr>
        <w:t>predictor</w:t>
      </w:r>
      <w:proofErr w:type="gramEnd"/>
    </w:p>
    <w:p w14:paraId="04E19AE7" w14:textId="5E79DF00" w:rsidR="00F3160A" w:rsidRPr="00CA791E" w:rsidRDefault="00B3632E">
      <w:pPr>
        <w:numPr>
          <w:ilvl w:val="0"/>
          <w:numId w:val="9"/>
        </w:numPr>
        <w:rPr>
          <w:lang w:val="en-US"/>
        </w:rPr>
      </w:pPr>
      <m:oMath>
        <m:sSub>
          <m:sSubPr>
            <m:ctrlPr>
              <w:rPr>
                <w:rFonts w:ascii="Cambria Math" w:hAnsi="Cambria Math"/>
              </w:rPr>
            </m:ctrlPr>
          </m:sSubPr>
          <m:e>
            <m:r>
              <w:rPr>
                <w:rFonts w:ascii="Cambria Math" w:hAnsi="Cambria Math"/>
              </w:rPr>
              <m:t>β</m:t>
            </m:r>
          </m:e>
          <m:sub>
            <m:r>
              <w:rPr>
                <w:rFonts w:ascii="Cambria Math" w:hAnsi="Cambria Math"/>
                <w:lang w:val="en-US"/>
              </w:rPr>
              <m:t>3</m:t>
            </m:r>
          </m:sub>
        </m:sSub>
      </m:oMath>
      <w:r w:rsidRPr="00CA791E">
        <w:rPr>
          <w:lang w:val="en-US"/>
        </w:rPr>
        <w:t xml:space="preserve"> </w:t>
      </w:r>
      <w:r w:rsidRPr="00CA791E">
        <w:rPr>
          <w:lang w:val="en-US"/>
        </w:rPr>
        <w:t xml:space="preserve">is the coefficient of the fixed effect of the </w:t>
      </w:r>
      <m:oMath>
        <m:r>
          <w:rPr>
            <w:rFonts w:ascii="Cambria Math" w:hAnsi="Cambria Math"/>
          </w:rPr>
          <m:t>Item</m:t>
        </m:r>
        <m:r>
          <w:rPr>
            <w:rFonts w:ascii="Cambria Math" w:hAnsi="Cambria Math"/>
            <w:lang w:val="en-US"/>
          </w:rPr>
          <m:t>×</m:t>
        </m:r>
        <m:r>
          <w:rPr>
            <w:rFonts w:ascii="Cambria Math" w:hAnsi="Cambria Math"/>
          </w:rPr>
          <m:t>HPP</m:t>
        </m:r>
      </m:oMath>
      <w:r w:rsidRPr="00CA791E">
        <w:rPr>
          <w:lang w:val="en-US"/>
        </w:rPr>
        <w:t xml:space="preserve"> </w:t>
      </w:r>
      <w:proofErr w:type="gramStart"/>
      <w:r w:rsidRPr="00CA791E">
        <w:rPr>
          <w:lang w:val="en-US"/>
        </w:rPr>
        <w:t>interaction</w:t>
      </w:r>
      <w:proofErr w:type="gramEnd"/>
    </w:p>
    <w:p w14:paraId="5E00547A" w14:textId="77777777" w:rsidR="00F3160A" w:rsidRPr="00CA791E" w:rsidRDefault="00B3632E">
      <w:pPr>
        <w:numPr>
          <w:ilvl w:val="0"/>
          <w:numId w:val="9"/>
        </w:numPr>
        <w:rPr>
          <w:lang w:val="en-US"/>
        </w:rPr>
      </w:pPr>
      <m:oMath>
        <m:sSub>
          <m:sSubPr>
            <m:ctrlPr>
              <w:rPr>
                <w:rFonts w:ascii="Cambria Math" w:hAnsi="Cambria Math"/>
              </w:rPr>
            </m:ctrlPr>
          </m:sSubPr>
          <m:e>
            <m:r>
              <w:rPr>
                <w:rFonts w:ascii="Cambria Math" w:hAnsi="Cambria Math"/>
              </w:rPr>
              <m:t>e</m:t>
            </m:r>
          </m:e>
          <m:sub>
            <m:r>
              <w:rPr>
                <w:rFonts w:ascii="Cambria Math" w:hAnsi="Cambria Math"/>
              </w:rPr>
              <m:t>ips</m:t>
            </m:r>
          </m:sub>
        </m:sSub>
      </m:oMath>
      <w:r w:rsidRPr="00CA791E">
        <w:rPr>
          <w:lang w:val="en-US"/>
        </w:rPr>
        <w:t xml:space="preserve"> is the error of the model in trial </w:t>
      </w:r>
      <m:oMath>
        <m:r>
          <w:rPr>
            <w:rFonts w:ascii="Cambria Math" w:hAnsi="Cambria Math"/>
          </w:rPr>
          <m:t>i</m:t>
        </m:r>
      </m:oMath>
      <w:r w:rsidRPr="00CA791E">
        <w:rPr>
          <w:lang w:val="en-US"/>
        </w:rPr>
        <w:t xml:space="preserve">, of participant </w:t>
      </w:r>
      <m:oMath>
        <m:r>
          <w:rPr>
            <w:rFonts w:ascii="Cambria Math" w:hAnsi="Cambria Math"/>
          </w:rPr>
          <m:t>p</m:t>
        </m:r>
      </m:oMath>
      <w:r w:rsidRPr="00CA791E">
        <w:rPr>
          <w:lang w:val="en-US"/>
        </w:rPr>
        <w:t xml:space="preserve"> from study </w:t>
      </w:r>
      <m:oMath>
        <m:r>
          <w:rPr>
            <w:rFonts w:ascii="Cambria Math" w:hAnsi="Cambria Math"/>
          </w:rPr>
          <m:t>s</m:t>
        </m:r>
      </m:oMath>
      <w:r w:rsidRPr="00CA791E">
        <w:rPr>
          <w:lang w:val="en-US"/>
        </w:rPr>
        <w:t xml:space="preserve">, assumed to be normally distributed with mean 0 and variance </w:t>
      </w:r>
      <m:oMath>
        <m:sSup>
          <m:sSupPr>
            <m:ctrlPr>
              <w:rPr>
                <w:rFonts w:ascii="Cambria Math" w:hAnsi="Cambria Math"/>
              </w:rPr>
            </m:ctrlPr>
          </m:sSupPr>
          <m:e>
            <m:r>
              <w:rPr>
                <w:rFonts w:ascii="Cambria Math" w:hAnsi="Cambria Math"/>
              </w:rPr>
              <m:t>σ</m:t>
            </m:r>
          </m:e>
          <m:sup>
            <m:r>
              <w:rPr>
                <w:rFonts w:ascii="Cambria Math" w:hAnsi="Cambria Math"/>
                <w:lang w:val="en-US"/>
              </w:rPr>
              <m:t>2</m:t>
            </m:r>
          </m:sup>
        </m:sSup>
      </m:oMath>
      <w:r w:rsidRPr="00CA791E">
        <w:rPr>
          <w:lang w:val="en-US"/>
        </w:rPr>
        <w:t>.</w:t>
      </w:r>
    </w:p>
    <w:p w14:paraId="4DB5ADE0" w14:textId="60554AC8" w:rsidR="00F3160A" w:rsidRPr="00CA791E" w:rsidRDefault="00B3632E">
      <w:pPr>
        <w:rPr>
          <w:lang w:val="en-US"/>
        </w:rPr>
      </w:pPr>
      <w:r w:rsidRPr="00CA791E">
        <w:rPr>
          <w:lang w:val="en-US"/>
        </w:rPr>
        <w:t xml:space="preserve">The model was fit using the lme4 R package (Bates, Mächler, Bolker, &amp; Walker, 2015). We used the Anova function from the car R package (Fox &amp; Weisberg, </w:t>
      </w:r>
      <w:r w:rsidRPr="00CA791E">
        <w:rPr>
          <w:lang w:val="en-US"/>
        </w:rPr>
        <w:lastRenderedPageBreak/>
        <w:t xml:space="preserve">2019) to </w:t>
      </w:r>
      <w:r w:rsidRPr="00CA791E">
        <w:rPr>
          <w:i/>
          <w:lang w:val="en-US"/>
        </w:rPr>
        <w:t>F</w:t>
      </w:r>
      <w:r w:rsidRPr="00CA791E">
        <w:rPr>
          <w:lang w:val="en-US"/>
        </w:rPr>
        <w:t xml:space="preserve">-tests to fixed effects in the model using Kenward-Roger’s </w:t>
      </w:r>
      <w:r w:rsidRPr="00CA791E">
        <w:rPr>
          <w:lang w:val="en-US"/>
        </w:rPr>
        <w:t>(Kenward &amp; Roger, 2009) approximation to degrees of freedom.</w:t>
      </w:r>
    </w:p>
    <w:p w14:paraId="4DDC573F" w14:textId="77777777" w:rsidR="00F3160A" w:rsidRPr="00CA791E" w:rsidRDefault="00B3632E">
      <w:pPr>
        <w:rPr>
          <w:lang w:val="en-US"/>
        </w:rPr>
      </w:pPr>
      <w:r w:rsidRPr="00CA791E">
        <w:rPr>
          <w:lang w:val="en-US"/>
        </w:rPr>
        <w:t>Posterior predicted simulations (Gelman &amp; Hill, 2006) indicated that the coefficients obtained by our model are plausible: The observed inter-quartile range (IQR) of looking times lied within the</w:t>
      </w:r>
      <w:r w:rsidRPr="00CA791E">
        <w:rPr>
          <w:lang w:val="en-US"/>
        </w:rPr>
        <w:t xml:space="preserve"> IQR obtained from 1000 simulated datasets generated from the model in more than 95% of the simulations (</w:t>
      </w:r>
      <w:r w:rsidRPr="00CA791E">
        <w:rPr>
          <w:i/>
          <w:lang w:val="en-US"/>
        </w:rPr>
        <w:t>p</w:t>
      </w:r>
      <w:r w:rsidRPr="00CA791E">
        <w:rPr>
          <w:lang w:val="en-US"/>
        </w:rPr>
        <w:t xml:space="preserve"> = 0.587).</w:t>
      </w:r>
    </w:p>
    <w:p w14:paraId="190BE2CE" w14:textId="77777777" w:rsidR="00F3160A" w:rsidRPr="00CA791E" w:rsidRDefault="00B3632E">
      <w:pPr>
        <w:pStyle w:val="Heading3"/>
        <w:rPr>
          <w:lang w:val="en-US"/>
        </w:rPr>
      </w:pPr>
      <w:bookmarkStart w:id="6" w:name="appendix-2-checking-assumptions-of-the-l"/>
      <w:r w:rsidRPr="00CA791E">
        <w:rPr>
          <w:lang w:val="en-US"/>
        </w:rPr>
        <w:t>Appendix 2: Checking assumptions of the Linear Mixed Model</w:t>
      </w:r>
      <w:bookmarkEnd w:id="6"/>
    </w:p>
    <w:p w14:paraId="7808C748" w14:textId="77777777" w:rsidR="00F3160A" w:rsidRDefault="00B3632E">
      <w:r w:rsidRPr="00CA791E">
        <w:rPr>
          <w:lang w:val="en-US"/>
        </w:rPr>
        <w:t>Residuals seem to approximate a normal distribution, though the distributions in</w:t>
      </w:r>
      <w:r w:rsidRPr="00CA791E">
        <w:rPr>
          <w:lang w:val="en-US"/>
        </w:rPr>
        <w:t xml:space="preserve"> the Santolin et al. </w:t>
      </w:r>
      <w:r>
        <w:t>(2019) and Santolin &amp; Saffran (2019) studies seem to be somewhat skewed.</w:t>
      </w:r>
    </w:p>
    <w:p w14:paraId="03D21C2E" w14:textId="77777777" w:rsidR="00F3160A" w:rsidRDefault="00B3632E">
      <w:r>
        <w:rPr>
          <w:noProof/>
        </w:rPr>
        <w:drawing>
          <wp:inline distT="0" distB="0" distL="0" distR="0" wp14:anchorId="271EEB13" wp14:editId="682D0A8C">
            <wp:extent cx="5384800" cy="354499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GonzaloGGC/projects/Flip/Figures/HPP3/04_model-assumptions-normality.png"/>
                    <pic:cNvPicPr>
                      <a:picLocks noChangeAspect="1" noChangeArrowheads="1"/>
                    </pic:cNvPicPr>
                  </pic:nvPicPr>
                  <pic:blipFill>
                    <a:blip r:embed="rId10"/>
                    <a:stretch>
                      <a:fillRect/>
                    </a:stretch>
                  </pic:blipFill>
                  <pic:spPr bwMode="auto">
                    <a:xfrm>
                      <a:off x="0" y="0"/>
                      <a:ext cx="5384800" cy="3544993"/>
                    </a:xfrm>
                    <a:prstGeom prst="rect">
                      <a:avLst/>
                    </a:prstGeom>
                    <a:noFill/>
                    <a:ln w="9525">
                      <a:noFill/>
                      <a:headEnd/>
                      <a:tailEnd/>
                    </a:ln>
                  </pic:spPr>
                </pic:pic>
              </a:graphicData>
            </a:graphic>
          </wp:inline>
        </w:drawing>
      </w:r>
    </w:p>
    <w:p w14:paraId="2E8FD07A" w14:textId="77777777" w:rsidR="00F3160A" w:rsidRDefault="00B3632E">
      <w:r>
        <w:rPr>
          <w:noProof/>
        </w:rPr>
        <w:lastRenderedPageBreak/>
        <w:drawing>
          <wp:inline distT="0" distB="0" distL="0" distR="0" wp14:anchorId="22FA841D" wp14:editId="7FAB0B8C">
            <wp:extent cx="5384800" cy="354499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GonzaloGGC/projects/Flip/Figures/HPP3/04_model-assumptions-homoskedasticity.png"/>
                    <pic:cNvPicPr>
                      <a:picLocks noChangeAspect="1" noChangeArrowheads="1"/>
                    </pic:cNvPicPr>
                  </pic:nvPicPr>
                  <pic:blipFill>
                    <a:blip r:embed="rId11"/>
                    <a:stretch>
                      <a:fillRect/>
                    </a:stretch>
                  </pic:blipFill>
                  <pic:spPr bwMode="auto">
                    <a:xfrm>
                      <a:off x="0" y="0"/>
                      <a:ext cx="5384800" cy="3544993"/>
                    </a:xfrm>
                    <a:prstGeom prst="rect">
                      <a:avLst/>
                    </a:prstGeom>
                    <a:noFill/>
                    <a:ln w="9525">
                      <a:noFill/>
                      <a:headEnd/>
                      <a:tailEnd/>
                    </a:ln>
                  </pic:spPr>
                </pic:pic>
              </a:graphicData>
            </a:graphic>
          </wp:inline>
        </w:drawing>
      </w:r>
    </w:p>
    <w:p w14:paraId="5E3DA1E6" w14:textId="77777777" w:rsidR="00F3160A" w:rsidRPr="00CA791E" w:rsidRDefault="00B3632E">
      <w:pPr>
        <w:rPr>
          <w:lang w:val="en-US"/>
        </w:rPr>
      </w:pPr>
      <w:r w:rsidRPr="00CA791E">
        <w:rPr>
          <w:lang w:val="en-US"/>
        </w:rPr>
        <w:t>We observed little evidence of multicollinearity in the predictors we included in the model:</w:t>
      </w:r>
    </w:p>
    <w:tbl>
      <w:tblPr>
        <w:tblW w:w="0" w:type="pct"/>
        <w:tblLook w:val="07E0" w:firstRow="1" w:lastRow="1" w:firstColumn="1" w:lastColumn="1" w:noHBand="1" w:noVBand="1"/>
      </w:tblPr>
      <w:tblGrid>
        <w:gridCol w:w="1403"/>
        <w:gridCol w:w="684"/>
        <w:gridCol w:w="1284"/>
      </w:tblGrid>
      <w:tr w:rsidR="00F3160A" w14:paraId="76AAB218" w14:textId="77777777">
        <w:tc>
          <w:tcPr>
            <w:tcW w:w="0" w:type="auto"/>
            <w:tcBorders>
              <w:bottom w:val="single" w:sz="0" w:space="0" w:color="auto"/>
            </w:tcBorders>
            <w:vAlign w:val="bottom"/>
          </w:tcPr>
          <w:p w14:paraId="7D78DCA0" w14:textId="77777777" w:rsidR="00F3160A" w:rsidRDefault="00B3632E">
            <w:pPr>
              <w:jc w:val="center"/>
            </w:pPr>
            <w:proofErr w:type="spellStart"/>
            <w:r>
              <w:t>Term</w:t>
            </w:r>
            <w:proofErr w:type="spellEnd"/>
          </w:p>
        </w:tc>
        <w:tc>
          <w:tcPr>
            <w:tcW w:w="0" w:type="auto"/>
            <w:tcBorders>
              <w:bottom w:val="single" w:sz="0" w:space="0" w:color="auto"/>
            </w:tcBorders>
            <w:vAlign w:val="bottom"/>
          </w:tcPr>
          <w:p w14:paraId="20B4F1CB" w14:textId="77777777" w:rsidR="00F3160A" w:rsidRDefault="00B3632E">
            <w:pPr>
              <w:jc w:val="center"/>
            </w:pPr>
            <w:r>
              <w:t>VIF</w:t>
            </w:r>
          </w:p>
        </w:tc>
        <w:tc>
          <w:tcPr>
            <w:tcW w:w="0" w:type="auto"/>
            <w:tcBorders>
              <w:bottom w:val="single" w:sz="0" w:space="0" w:color="auto"/>
            </w:tcBorders>
            <w:vAlign w:val="bottom"/>
          </w:tcPr>
          <w:p w14:paraId="58ACC266" w14:textId="77777777" w:rsidR="00F3160A" w:rsidRDefault="00B3632E">
            <w:pPr>
              <w:jc w:val="center"/>
            </w:pPr>
            <w:r>
              <w:t>Tolerance</w:t>
            </w:r>
          </w:p>
        </w:tc>
      </w:tr>
      <w:tr w:rsidR="00F3160A" w14:paraId="6FF307F8" w14:textId="77777777">
        <w:tc>
          <w:tcPr>
            <w:tcW w:w="0" w:type="auto"/>
          </w:tcPr>
          <w:p w14:paraId="0D7F4A44" w14:textId="77777777" w:rsidR="00F3160A" w:rsidRDefault="00B3632E">
            <w:pPr>
              <w:jc w:val="center"/>
            </w:pPr>
            <w:r>
              <w:t>Item</w:t>
            </w:r>
          </w:p>
        </w:tc>
        <w:tc>
          <w:tcPr>
            <w:tcW w:w="0" w:type="auto"/>
          </w:tcPr>
          <w:p w14:paraId="6750DCCE" w14:textId="77777777" w:rsidR="00F3160A" w:rsidRDefault="00B3632E">
            <w:pPr>
              <w:jc w:val="center"/>
            </w:pPr>
            <w:r>
              <w:t>6.10</w:t>
            </w:r>
          </w:p>
        </w:tc>
        <w:tc>
          <w:tcPr>
            <w:tcW w:w="0" w:type="auto"/>
          </w:tcPr>
          <w:p w14:paraId="2433BD54" w14:textId="77777777" w:rsidR="00F3160A" w:rsidRDefault="00B3632E">
            <w:pPr>
              <w:jc w:val="center"/>
            </w:pPr>
            <w:r>
              <w:t>0.16</w:t>
            </w:r>
          </w:p>
        </w:tc>
      </w:tr>
      <w:tr w:rsidR="00F3160A" w14:paraId="10A94551" w14:textId="77777777">
        <w:tc>
          <w:tcPr>
            <w:tcW w:w="0" w:type="auto"/>
          </w:tcPr>
          <w:p w14:paraId="5985A7BC" w14:textId="77777777" w:rsidR="00F3160A" w:rsidRDefault="00B3632E">
            <w:pPr>
              <w:jc w:val="center"/>
            </w:pPr>
            <w:r>
              <w:t>HPP</w:t>
            </w:r>
          </w:p>
        </w:tc>
        <w:tc>
          <w:tcPr>
            <w:tcW w:w="0" w:type="auto"/>
          </w:tcPr>
          <w:p w14:paraId="7780ADD6" w14:textId="77777777" w:rsidR="00F3160A" w:rsidRDefault="00B3632E">
            <w:pPr>
              <w:jc w:val="center"/>
            </w:pPr>
            <w:r>
              <w:t>1.19</w:t>
            </w:r>
          </w:p>
        </w:tc>
        <w:tc>
          <w:tcPr>
            <w:tcW w:w="0" w:type="auto"/>
          </w:tcPr>
          <w:p w14:paraId="1E99E314" w14:textId="77777777" w:rsidR="00F3160A" w:rsidRDefault="00B3632E">
            <w:pPr>
              <w:jc w:val="center"/>
            </w:pPr>
            <w:r>
              <w:t>0.84</w:t>
            </w:r>
          </w:p>
        </w:tc>
      </w:tr>
      <w:tr w:rsidR="00F3160A" w14:paraId="38306C9B" w14:textId="77777777">
        <w:tc>
          <w:tcPr>
            <w:tcW w:w="0" w:type="auto"/>
          </w:tcPr>
          <w:p w14:paraId="48D5001A" w14:textId="77777777" w:rsidR="00F3160A" w:rsidRDefault="00B3632E">
            <w:pPr>
              <w:jc w:val="center"/>
            </w:pPr>
            <w:r>
              <w:t>Item * HPP</w:t>
            </w:r>
          </w:p>
        </w:tc>
        <w:tc>
          <w:tcPr>
            <w:tcW w:w="0" w:type="auto"/>
          </w:tcPr>
          <w:p w14:paraId="2E71D0D2" w14:textId="77777777" w:rsidR="00F3160A" w:rsidRDefault="00B3632E">
            <w:pPr>
              <w:jc w:val="center"/>
            </w:pPr>
            <w:r>
              <w:t>6.29</w:t>
            </w:r>
          </w:p>
        </w:tc>
        <w:tc>
          <w:tcPr>
            <w:tcW w:w="0" w:type="auto"/>
          </w:tcPr>
          <w:p w14:paraId="5F64C6ED" w14:textId="77777777" w:rsidR="00F3160A" w:rsidRDefault="00B3632E">
            <w:pPr>
              <w:jc w:val="center"/>
            </w:pPr>
            <w:r>
              <w:t>0.16</w:t>
            </w:r>
          </w:p>
        </w:tc>
      </w:tr>
    </w:tbl>
    <w:p w14:paraId="34C34F79" w14:textId="77777777" w:rsidR="00F3160A" w:rsidRDefault="00B3632E">
      <w:pPr>
        <w:pStyle w:val="Heading2"/>
      </w:pPr>
      <w:bookmarkStart w:id="7" w:name="references"/>
      <w:r>
        <w:t>References</w:t>
      </w:r>
      <w:bookmarkEnd w:id="7"/>
    </w:p>
    <w:p w14:paraId="43CCB4A4" w14:textId="77777777" w:rsidR="00F3160A" w:rsidRDefault="00F3160A"/>
    <w:p w14:paraId="1F3ACFB2" w14:textId="77777777" w:rsidR="00F3160A" w:rsidRPr="00CA791E" w:rsidRDefault="00B3632E">
      <w:pPr>
        <w:rPr>
          <w:lang w:val="en-US"/>
        </w:rPr>
      </w:pPr>
      <w:bookmarkStart w:id="8" w:name="ref-barr2013"/>
      <w:bookmarkStart w:id="9" w:name="refs"/>
      <w:r w:rsidRPr="00CA791E">
        <w:rPr>
          <w:lang w:val="en-US"/>
        </w:rPr>
        <w:t xml:space="preserve">Barr, D. J., Levy, R., Scheepers, C., &amp; </w:t>
      </w:r>
      <w:proofErr w:type="spellStart"/>
      <w:r w:rsidRPr="00CA791E">
        <w:rPr>
          <w:lang w:val="en-US"/>
        </w:rPr>
        <w:t>Tily</w:t>
      </w:r>
      <w:proofErr w:type="spellEnd"/>
      <w:r w:rsidRPr="00CA791E">
        <w:rPr>
          <w:lang w:val="en-US"/>
        </w:rPr>
        <w:t xml:space="preserve">, H. J. (2013). Random effects structure for confirmatory hypothesis testing: Keep it maximal. </w:t>
      </w:r>
      <w:r w:rsidRPr="00CA791E">
        <w:rPr>
          <w:i/>
          <w:lang w:val="en-US"/>
        </w:rPr>
        <w:t>Journal of Memory and Language</w:t>
      </w:r>
      <w:r w:rsidRPr="00CA791E">
        <w:rPr>
          <w:lang w:val="en-US"/>
        </w:rPr>
        <w:t xml:space="preserve">, </w:t>
      </w:r>
      <w:r w:rsidRPr="00CA791E">
        <w:rPr>
          <w:i/>
          <w:lang w:val="en-US"/>
        </w:rPr>
        <w:t>68</w:t>
      </w:r>
      <w:r w:rsidRPr="00CA791E">
        <w:rPr>
          <w:lang w:val="en-US"/>
        </w:rPr>
        <w:t xml:space="preserve">(3), 255–278. </w:t>
      </w:r>
      <w:hyperlink r:id="rId12">
        <w:r w:rsidRPr="00CA791E">
          <w:rPr>
            <w:lang w:val="en-US"/>
          </w:rPr>
          <w:t>https://doi.org/10.1016/j.jml.2012.11.001</w:t>
        </w:r>
      </w:hyperlink>
    </w:p>
    <w:p w14:paraId="2E3EAA85" w14:textId="77777777" w:rsidR="00F3160A" w:rsidRPr="00CA791E" w:rsidRDefault="00B3632E">
      <w:pPr>
        <w:rPr>
          <w:lang w:val="en-US"/>
        </w:rPr>
      </w:pPr>
      <w:bookmarkStart w:id="10" w:name="ref-lme4"/>
      <w:bookmarkEnd w:id="8"/>
      <w:r w:rsidRPr="00CA791E">
        <w:rPr>
          <w:lang w:val="en-US"/>
        </w:rPr>
        <w:t xml:space="preserve">Bates, D., </w:t>
      </w:r>
      <w:proofErr w:type="spellStart"/>
      <w:r w:rsidRPr="00CA791E">
        <w:rPr>
          <w:lang w:val="en-US"/>
        </w:rPr>
        <w:t>Mächler</w:t>
      </w:r>
      <w:proofErr w:type="spellEnd"/>
      <w:r w:rsidRPr="00CA791E">
        <w:rPr>
          <w:lang w:val="en-US"/>
        </w:rPr>
        <w:t xml:space="preserve">, M., </w:t>
      </w:r>
      <w:proofErr w:type="spellStart"/>
      <w:r w:rsidRPr="00CA791E">
        <w:rPr>
          <w:lang w:val="en-US"/>
        </w:rPr>
        <w:t>Bolker</w:t>
      </w:r>
      <w:proofErr w:type="spellEnd"/>
      <w:r w:rsidRPr="00CA791E">
        <w:rPr>
          <w:lang w:val="en-US"/>
        </w:rPr>
        <w:t xml:space="preserve">, B., &amp; Walker, S. (2015). Fitting linear mixed-effects models using lme4. </w:t>
      </w:r>
      <w:r w:rsidRPr="00CA791E">
        <w:rPr>
          <w:i/>
          <w:lang w:val="en-US"/>
        </w:rPr>
        <w:t>Journal of Statistical Software</w:t>
      </w:r>
      <w:r w:rsidRPr="00CA791E">
        <w:rPr>
          <w:lang w:val="en-US"/>
        </w:rPr>
        <w:t xml:space="preserve">, </w:t>
      </w:r>
      <w:r w:rsidRPr="00CA791E">
        <w:rPr>
          <w:i/>
          <w:lang w:val="en-US"/>
        </w:rPr>
        <w:t>67</w:t>
      </w:r>
      <w:r w:rsidRPr="00CA791E">
        <w:rPr>
          <w:lang w:val="en-US"/>
        </w:rPr>
        <w:t xml:space="preserve">(1), 1–48. </w:t>
      </w:r>
      <w:hyperlink r:id="rId13">
        <w:r w:rsidRPr="00CA791E">
          <w:rPr>
            <w:lang w:val="en-US"/>
          </w:rPr>
          <w:t>https://doi.org/10.18637/jss.v067.i01</w:t>
        </w:r>
      </w:hyperlink>
    </w:p>
    <w:p w14:paraId="35207567" w14:textId="77777777" w:rsidR="00F3160A" w:rsidRPr="00CA791E" w:rsidRDefault="00B3632E">
      <w:pPr>
        <w:rPr>
          <w:lang w:val="en-US"/>
        </w:rPr>
      </w:pPr>
      <w:bookmarkStart w:id="11" w:name="ref-fox2019"/>
      <w:bookmarkEnd w:id="10"/>
      <w:r w:rsidRPr="00CA791E">
        <w:rPr>
          <w:lang w:val="en-US"/>
        </w:rPr>
        <w:lastRenderedPageBreak/>
        <w:t xml:space="preserve">Fox, J., &amp; Weisberg, S. (2019). </w:t>
      </w:r>
      <w:r w:rsidRPr="00CA791E">
        <w:rPr>
          <w:i/>
          <w:lang w:val="en-US"/>
        </w:rPr>
        <w:t>An R companion to applied regression</w:t>
      </w:r>
      <w:r w:rsidRPr="00CA791E">
        <w:rPr>
          <w:lang w:val="en-US"/>
        </w:rPr>
        <w:t xml:space="preserve"> (Third). Thousand Oaks CA: Sage. Retrieved from </w:t>
      </w:r>
      <w:hyperlink r:id="rId14">
        <w:r w:rsidRPr="00CA791E">
          <w:rPr>
            <w:lang w:val="en-US"/>
          </w:rPr>
          <w:t>https://socialsciences.mcmaster.ca/jfox/Books/Companion/</w:t>
        </w:r>
      </w:hyperlink>
    </w:p>
    <w:p w14:paraId="3944B607" w14:textId="77777777" w:rsidR="00F3160A" w:rsidRPr="00CA791E" w:rsidRDefault="00B3632E">
      <w:pPr>
        <w:rPr>
          <w:lang w:val="en-US"/>
        </w:rPr>
      </w:pPr>
      <w:bookmarkStart w:id="12" w:name="ref-gelman2006data"/>
      <w:bookmarkEnd w:id="11"/>
      <w:r w:rsidRPr="00CA791E">
        <w:rPr>
          <w:lang w:val="en-US"/>
        </w:rPr>
        <w:t xml:space="preserve">Gelman, A., &amp; Hill, J. (2006). </w:t>
      </w:r>
      <w:r w:rsidRPr="00CA791E">
        <w:rPr>
          <w:i/>
          <w:lang w:val="en-US"/>
        </w:rPr>
        <w:t>Data analysis using regression and Multilevel/Hierarchical models</w:t>
      </w:r>
      <w:r w:rsidRPr="00CA791E">
        <w:rPr>
          <w:lang w:val="en-US"/>
        </w:rPr>
        <w:t>. Cambridge University Press.</w:t>
      </w:r>
      <w:r w:rsidRPr="00CA791E">
        <w:rPr>
          <w:lang w:val="en-US"/>
        </w:rPr>
        <w:t xml:space="preserve"> Retrieved from </w:t>
      </w:r>
      <w:hyperlink r:id="rId15">
        <w:r w:rsidRPr="00CA791E">
          <w:rPr>
            <w:lang w:val="en-US"/>
          </w:rPr>
          <w:t>https://books.google.es/books?id=c9xLKzZWoZ4C</w:t>
        </w:r>
      </w:hyperlink>
    </w:p>
    <w:p w14:paraId="1C07FA92" w14:textId="77777777" w:rsidR="00F3160A" w:rsidRPr="00CA791E" w:rsidRDefault="00B3632E">
      <w:pPr>
        <w:rPr>
          <w:lang w:val="en-US"/>
        </w:rPr>
      </w:pPr>
      <w:bookmarkStart w:id="13" w:name="ref-kenward2009"/>
      <w:bookmarkEnd w:id="12"/>
      <w:r w:rsidRPr="00CA791E">
        <w:rPr>
          <w:lang w:val="en-US"/>
        </w:rPr>
        <w:t>Kenward, M. G., &amp; Roger, J. H. (2009). An improved approximation to the precision of fixed effects from restricted maximum likeli</w:t>
      </w:r>
      <w:r w:rsidRPr="00CA791E">
        <w:rPr>
          <w:lang w:val="en-US"/>
        </w:rPr>
        <w:t xml:space="preserve">hood. </w:t>
      </w:r>
      <w:r w:rsidRPr="00CA791E">
        <w:rPr>
          <w:i/>
          <w:lang w:val="en-US"/>
        </w:rPr>
        <w:t>Computational Statistics &amp; Data Analysis</w:t>
      </w:r>
      <w:r w:rsidRPr="00CA791E">
        <w:rPr>
          <w:lang w:val="en-US"/>
        </w:rPr>
        <w:t xml:space="preserve">, </w:t>
      </w:r>
      <w:r w:rsidRPr="00CA791E">
        <w:rPr>
          <w:i/>
          <w:lang w:val="en-US"/>
        </w:rPr>
        <w:t>53</w:t>
      </w:r>
      <w:r w:rsidRPr="00CA791E">
        <w:rPr>
          <w:lang w:val="en-US"/>
        </w:rPr>
        <w:t xml:space="preserve">(7), 2583–2595. </w:t>
      </w:r>
      <w:hyperlink r:id="rId16">
        <w:r w:rsidRPr="00CA791E">
          <w:rPr>
            <w:lang w:val="en-US"/>
          </w:rPr>
          <w:t>https://doi.org/10.1016/j.csda.2008.12.013</w:t>
        </w:r>
      </w:hyperlink>
    </w:p>
    <w:p w14:paraId="79246636" w14:textId="77777777" w:rsidR="00F3160A" w:rsidRPr="00CA791E" w:rsidRDefault="00B3632E">
      <w:pPr>
        <w:rPr>
          <w:lang w:val="en-US"/>
        </w:rPr>
      </w:pPr>
      <w:bookmarkStart w:id="14" w:name="ref-saffran2003"/>
      <w:bookmarkEnd w:id="13"/>
      <w:r w:rsidRPr="00CA791E">
        <w:rPr>
          <w:lang w:val="en-US"/>
        </w:rPr>
        <w:t>Saffran, J. R., &amp; Wilson, D. P. (2003). From Syllables to Syntax: Multilevel Statisti</w:t>
      </w:r>
      <w:r w:rsidRPr="00CA791E">
        <w:rPr>
          <w:lang w:val="en-US"/>
        </w:rPr>
        <w:t xml:space="preserve">cal Learning by 12-Month-Old Infants. </w:t>
      </w:r>
      <w:r w:rsidRPr="00CA791E">
        <w:rPr>
          <w:i/>
          <w:lang w:val="en-US"/>
        </w:rPr>
        <w:t>Infancy</w:t>
      </w:r>
      <w:r w:rsidRPr="00CA791E">
        <w:rPr>
          <w:lang w:val="en-US"/>
        </w:rPr>
        <w:t xml:space="preserve">, </w:t>
      </w:r>
      <w:r w:rsidRPr="00CA791E">
        <w:rPr>
          <w:i/>
          <w:lang w:val="en-US"/>
        </w:rPr>
        <w:t>4</w:t>
      </w:r>
      <w:r w:rsidRPr="00CA791E">
        <w:rPr>
          <w:lang w:val="en-US"/>
        </w:rPr>
        <w:t xml:space="preserve">(2), 273–284. </w:t>
      </w:r>
      <w:hyperlink r:id="rId17">
        <w:r w:rsidRPr="00CA791E">
          <w:rPr>
            <w:lang w:val="en-US"/>
          </w:rPr>
          <w:t>https://doi.org/10.1207/S15327078IN0402_07</w:t>
        </w:r>
      </w:hyperlink>
    </w:p>
    <w:p w14:paraId="04722825" w14:textId="77777777" w:rsidR="00F3160A" w:rsidRPr="00CA791E" w:rsidRDefault="00B3632E">
      <w:pPr>
        <w:rPr>
          <w:lang w:val="en-US"/>
        </w:rPr>
      </w:pPr>
      <w:bookmarkStart w:id="15" w:name="ref-santolin2019"/>
      <w:bookmarkEnd w:id="14"/>
      <w:r w:rsidRPr="00CA791E">
        <w:rPr>
          <w:lang w:val="en-US"/>
        </w:rPr>
        <w:t>Santolin, C., &amp; Saffran, J. R. (2019). Non-Linguistic Grammar Learning by 12-Month-Old In</w:t>
      </w:r>
      <w:r w:rsidRPr="00CA791E">
        <w:rPr>
          <w:lang w:val="en-US"/>
        </w:rPr>
        <w:t xml:space="preserve">fants: Evidence for Constraints on Learning. </w:t>
      </w:r>
      <w:r w:rsidRPr="00CA791E">
        <w:rPr>
          <w:i/>
          <w:lang w:val="en-US"/>
        </w:rPr>
        <w:t>Journal of Cognition and Development</w:t>
      </w:r>
      <w:r w:rsidRPr="00CA791E">
        <w:rPr>
          <w:lang w:val="en-US"/>
        </w:rPr>
        <w:t xml:space="preserve">, </w:t>
      </w:r>
      <w:r w:rsidRPr="00CA791E">
        <w:rPr>
          <w:i/>
          <w:lang w:val="en-US"/>
        </w:rPr>
        <w:t>20</w:t>
      </w:r>
      <w:r w:rsidRPr="00CA791E">
        <w:rPr>
          <w:lang w:val="en-US"/>
        </w:rPr>
        <w:t xml:space="preserve">(3), 433–441. </w:t>
      </w:r>
      <w:hyperlink r:id="rId18">
        <w:r w:rsidRPr="00CA791E">
          <w:rPr>
            <w:lang w:val="en-US"/>
          </w:rPr>
          <w:t>https://doi.org/10.1080/15248372.2019.1604525</w:t>
        </w:r>
      </w:hyperlink>
    </w:p>
    <w:p w14:paraId="2A7AD71A" w14:textId="77777777" w:rsidR="00F3160A" w:rsidRDefault="00B3632E">
      <w:bookmarkStart w:id="16" w:name="ref-santolin2019a"/>
      <w:bookmarkEnd w:id="15"/>
      <w:r w:rsidRPr="00CA791E">
        <w:rPr>
          <w:lang w:val="en-US"/>
        </w:rPr>
        <w:t>Santolin, C., Saffran, J. R., &amp; Sebastian-Gall</w:t>
      </w:r>
      <w:r w:rsidRPr="00CA791E">
        <w:rPr>
          <w:lang w:val="en-US"/>
        </w:rPr>
        <w:t xml:space="preserve">es, N. (2019). Non-linguistic artificial grammar learning in 12-month-old infants: A cross-lab replication study. </w:t>
      </w:r>
      <w:r>
        <w:t>In. Potsdam, Germany.</w:t>
      </w:r>
      <w:bookmarkEnd w:id="9"/>
      <w:bookmarkEnd w:id="16"/>
    </w:p>
    <w:sectPr w:rsidR="00F3160A" w:rsidSect="00394D68">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654E6" w14:textId="77777777" w:rsidR="00B3632E" w:rsidRDefault="00B3632E">
      <w:pPr>
        <w:spacing w:before="0" w:after="0" w:line="240" w:lineRule="auto"/>
      </w:pPr>
      <w:r>
        <w:separator/>
      </w:r>
    </w:p>
  </w:endnote>
  <w:endnote w:type="continuationSeparator" w:id="0">
    <w:p w14:paraId="45E58C24" w14:textId="77777777" w:rsidR="00B3632E" w:rsidRDefault="00B363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C2CB1" w14:textId="77777777" w:rsidR="00B3632E" w:rsidRDefault="00B3632E">
      <w:r>
        <w:separator/>
      </w:r>
    </w:p>
  </w:footnote>
  <w:footnote w:type="continuationSeparator" w:id="0">
    <w:p w14:paraId="0CFFF085" w14:textId="77777777" w:rsidR="00B3632E" w:rsidRDefault="00B363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B92BF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478653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63BB3A7A"/>
    <w:multiLevelType w:val="multilevel"/>
    <w:tmpl w:val="ED488474"/>
    <w:lvl w:ilvl="0">
      <w:start w:val="1"/>
      <w:numFmt w:val="bullet"/>
      <w:pStyle w:val="NoSpacing"/>
      <w:lvlText w:val=""/>
      <w:lvlJc w:val="left"/>
      <w:pPr>
        <w:ind w:left="1778" w:hanging="360"/>
      </w:pPr>
      <w:rPr>
        <w:rFonts w:ascii="Symbol" w:hAnsi="Symbol" w:hint="default"/>
      </w:rPr>
    </w:lvl>
    <w:lvl w:ilvl="1">
      <w:start w:val="1"/>
      <w:numFmt w:val="bullet"/>
      <w:lvlText w:val=""/>
      <w:lvlJc w:val="left"/>
      <w:pPr>
        <w:ind w:left="2138" w:hanging="360"/>
      </w:pPr>
      <w:rPr>
        <w:rFonts w:ascii="Wingdings" w:hAnsi="Wingdings" w:hint="default"/>
        <w:color w:val="D8C286"/>
      </w:rPr>
    </w:lvl>
    <w:lvl w:ilvl="2">
      <w:start w:val="1"/>
      <w:numFmt w:val="bullet"/>
      <w:lvlText w:val=""/>
      <w:lvlJc w:val="left"/>
      <w:pPr>
        <w:ind w:left="2498" w:hanging="400"/>
      </w:pPr>
      <w:rPr>
        <w:rFonts w:ascii="Wingdings" w:hAnsi="Wingdings" w:hint="default"/>
      </w:rPr>
    </w:lvl>
    <w:lvl w:ilvl="3">
      <w:start w:val="1"/>
      <w:numFmt w:val="bullet"/>
      <w:lvlText w:val=""/>
      <w:lvlJc w:val="left"/>
      <w:pPr>
        <w:ind w:left="2858" w:hanging="360"/>
      </w:pPr>
      <w:rPr>
        <w:rFonts w:ascii="Symbol" w:hAnsi="Symbol" w:hint="default"/>
      </w:rPr>
    </w:lvl>
    <w:lvl w:ilvl="4">
      <w:start w:val="1"/>
      <w:numFmt w:val="bullet"/>
      <w:lvlText w:val=""/>
      <w:lvlJc w:val="left"/>
      <w:pPr>
        <w:ind w:left="3218" w:hanging="360"/>
      </w:pPr>
      <w:rPr>
        <w:rFonts w:ascii="Symbol" w:hAnsi="Symbol" w:hint="default"/>
      </w:rPr>
    </w:lvl>
    <w:lvl w:ilvl="5">
      <w:start w:val="1"/>
      <w:numFmt w:val="bullet"/>
      <w:lvlText w:val=""/>
      <w:lvlJc w:val="left"/>
      <w:pPr>
        <w:ind w:left="3578" w:hanging="360"/>
      </w:pPr>
      <w:rPr>
        <w:rFonts w:ascii="Wingdings" w:hAnsi="Wingdings" w:hint="default"/>
      </w:rPr>
    </w:lvl>
    <w:lvl w:ilvl="6">
      <w:start w:val="1"/>
      <w:numFmt w:val="bullet"/>
      <w:lvlText w:val=""/>
      <w:lvlJc w:val="left"/>
      <w:pPr>
        <w:ind w:left="3938" w:hanging="360"/>
      </w:pPr>
      <w:rPr>
        <w:rFonts w:ascii="Wingdings" w:hAnsi="Wingdings" w:hint="default"/>
      </w:rPr>
    </w:lvl>
    <w:lvl w:ilvl="7">
      <w:start w:val="1"/>
      <w:numFmt w:val="bullet"/>
      <w:lvlText w:val=""/>
      <w:lvlJc w:val="left"/>
      <w:pPr>
        <w:ind w:left="4298" w:hanging="360"/>
      </w:pPr>
      <w:rPr>
        <w:rFonts w:ascii="Symbol" w:hAnsi="Symbol" w:hint="default"/>
      </w:rPr>
    </w:lvl>
    <w:lvl w:ilvl="8">
      <w:start w:val="1"/>
      <w:numFmt w:val="bullet"/>
      <w:lvlText w:val=""/>
      <w:lvlJc w:val="left"/>
      <w:pPr>
        <w:ind w:left="4658" w:hanging="360"/>
      </w:pPr>
      <w:rPr>
        <w:rFonts w:ascii="Symbol" w:hAnsi="Symbol"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B3632E"/>
    <w:rsid w:val="00B86B75"/>
    <w:rsid w:val="00BC48D5"/>
    <w:rsid w:val="00C36279"/>
    <w:rsid w:val="00CA791E"/>
    <w:rsid w:val="00E315A3"/>
    <w:rsid w:val="00F3160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321F04"/>
  <w15:docId w15:val="{B401E560-6118-F245-963A-74A5E74D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973F2"/>
    <w:pPr>
      <w:spacing w:before="120" w:after="120" w:line="360" w:lineRule="auto"/>
      <w:jc w:val="both"/>
    </w:pPr>
  </w:style>
  <w:style w:type="paragraph" w:styleId="Heading1">
    <w:name w:val="heading 1"/>
    <w:basedOn w:val="Normal"/>
    <w:next w:val="Normal"/>
    <w:link w:val="Heading1Char"/>
    <w:uiPriority w:val="9"/>
    <w:qFormat/>
    <w:rsid w:val="00F9028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90288"/>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04044A"/>
    <w:pPr>
      <w:keepNext/>
      <w:keepLines/>
      <w:spacing w:before="40" w:after="0"/>
      <w:outlineLvl w:val="2"/>
    </w:pPr>
    <w:rPr>
      <w:rFonts w:eastAsiaTheme="majorEastAsia" w:cstheme="majorBidi"/>
      <w:i/>
    </w:rPr>
  </w:style>
  <w:style w:type="paragraph" w:styleId="Heading4">
    <w:name w:val="heading 4"/>
    <w:basedOn w:val="Normal"/>
    <w:next w:val="Normal"/>
    <w:link w:val="Heading4Char"/>
    <w:uiPriority w:val="9"/>
    <w:semiHidden/>
    <w:unhideWhenUsed/>
    <w:qFormat/>
    <w:rsid w:val="0004044A"/>
    <w:pPr>
      <w:keepNext/>
      <w:keepLines/>
      <w:spacing w:before="40" w:after="0"/>
      <w:ind w:left="708"/>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288"/>
    <w:rPr>
      <w:rFonts w:eastAsiaTheme="majorEastAsia" w:cstheme="majorBidi"/>
      <w:sz w:val="32"/>
      <w:szCs w:val="32"/>
    </w:rPr>
  </w:style>
  <w:style w:type="character" w:customStyle="1" w:styleId="Heading2Char">
    <w:name w:val="Heading 2 Char"/>
    <w:basedOn w:val="DefaultParagraphFont"/>
    <w:link w:val="Heading2"/>
    <w:uiPriority w:val="9"/>
    <w:rsid w:val="00F90288"/>
    <w:rPr>
      <w:rFonts w:eastAsiaTheme="majorEastAsia" w:cstheme="majorBidi"/>
      <w:sz w:val="26"/>
      <w:szCs w:val="26"/>
    </w:rPr>
  </w:style>
  <w:style w:type="character" w:customStyle="1" w:styleId="Heading3Char">
    <w:name w:val="Heading 3 Char"/>
    <w:basedOn w:val="DefaultParagraphFont"/>
    <w:link w:val="Heading3"/>
    <w:uiPriority w:val="9"/>
    <w:rsid w:val="0004044A"/>
    <w:rPr>
      <w:rFonts w:eastAsiaTheme="majorEastAsia" w:cstheme="majorBidi"/>
      <w:i/>
    </w:rPr>
  </w:style>
  <w:style w:type="character" w:customStyle="1" w:styleId="Heading4Char">
    <w:name w:val="Heading 4 Char"/>
    <w:basedOn w:val="DefaultParagraphFont"/>
    <w:link w:val="Heading4"/>
    <w:uiPriority w:val="9"/>
    <w:semiHidden/>
    <w:rsid w:val="0004044A"/>
    <w:rPr>
      <w:rFonts w:eastAsiaTheme="majorEastAsia" w:cstheme="majorBidi"/>
      <w:i/>
      <w:iCs/>
    </w:rPr>
  </w:style>
  <w:style w:type="paragraph" w:styleId="Title">
    <w:name w:val="Title"/>
    <w:basedOn w:val="Normal"/>
    <w:next w:val="Normal"/>
    <w:link w:val="TitleChar"/>
    <w:uiPriority w:val="10"/>
    <w:qFormat/>
    <w:rsid w:val="0004044A"/>
    <w:pPr>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04044A"/>
    <w:rPr>
      <w:rFonts w:eastAsiaTheme="majorEastAsia" w:cstheme="majorBidi"/>
      <w:b/>
      <w:spacing w:val="-10"/>
      <w:kern w:val="28"/>
      <w:sz w:val="48"/>
      <w:szCs w:val="56"/>
    </w:rPr>
  </w:style>
  <w:style w:type="paragraph" w:styleId="NoSpacing">
    <w:name w:val="No Spacing"/>
    <w:uiPriority w:val="1"/>
    <w:qFormat/>
    <w:rsid w:val="0004044A"/>
    <w:pPr>
      <w:numPr>
        <w:numId w:val="7"/>
      </w:numPr>
      <w:jc w:val="both"/>
    </w:pPr>
  </w:style>
  <w:style w:type="paragraph" w:styleId="ListParagraph">
    <w:name w:val="List Paragraph"/>
    <w:aliases w:val="Tabla"/>
    <w:basedOn w:val="Normal"/>
    <w:uiPriority w:val="34"/>
    <w:qFormat/>
    <w:rsid w:val="0004044A"/>
    <w:pPr>
      <w:spacing w:before="0" w:after="0" w:line="240" w:lineRule="auto"/>
      <w:contextualSpacing/>
      <w:jc w:val="left"/>
    </w:pPr>
    <w:rPr>
      <w:sz w:val="20"/>
    </w:rPr>
  </w:style>
  <w:style w:type="paragraph" w:styleId="Subtitle">
    <w:name w:val="Subtitle"/>
    <w:basedOn w:val="Normal"/>
    <w:next w:val="Normal"/>
    <w:link w:val="SubtitleChar"/>
    <w:uiPriority w:val="11"/>
    <w:qFormat/>
    <w:rsid w:val="0004044A"/>
    <w:pPr>
      <w:numPr>
        <w:ilvl w:val="1"/>
      </w:numPr>
      <w:spacing w:after="160"/>
      <w:ind w:firstLine="709"/>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4044A"/>
    <w:rPr>
      <w:rFonts w:eastAsiaTheme="minorEastAsia"/>
      <w:color w:val="5A5A5A" w:themeColor="text1" w:themeTint="A5"/>
      <w:spacing w:val="15"/>
      <w:sz w:val="22"/>
      <w:szCs w:val="22"/>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8637/jss.v067.i01" TargetMode="External"/><Relationship Id="rId18" Type="http://schemas.openxmlformats.org/officeDocument/2006/relationships/hyperlink" Target="https://doi.org/10.1080/15248372.2019.160452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016/j.jml.2012.11.001" TargetMode="External"/><Relationship Id="rId17" Type="http://schemas.openxmlformats.org/officeDocument/2006/relationships/hyperlink" Target="https://doi.org/10.1207/S15327078IN0402_07" TargetMode="External"/><Relationship Id="rId2" Type="http://schemas.openxmlformats.org/officeDocument/2006/relationships/styles" Target="styles.xml"/><Relationship Id="rId16" Type="http://schemas.openxmlformats.org/officeDocument/2006/relationships/hyperlink" Target="https://doi.org/10.1016/j.csda.2008.12.01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ooks.google.es/books?id=c9xLKzZWoZ4C"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ocialsciences.mcmaster.ca/jfox/Books/Companion/" TargetMode="External"/></Relationships>
</file>

<file path=word/theme/theme1.xml><?xml version="1.0" encoding="utf-8"?>
<a:theme xmlns:a="http://schemas.openxmlformats.org/drawingml/2006/main">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1307</Words>
  <Characters>7455</Characters>
  <Application>Microsoft Office Word</Application>
  <DocSecurity>0</DocSecurity>
  <Lines>62</Lines>
  <Paragraphs>17</Paragraphs>
  <ScaleCrop>false</ScaleCrop>
  <Company>Universitat Pompeu Fabra</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(HPP3)</dc:title>
  <dc:creator/>
  <cp:keywords/>
  <cp:lastModifiedBy>Gonzalo García de Castro</cp:lastModifiedBy>
  <cp:revision>2</cp:revision>
  <dcterms:created xsi:type="dcterms:W3CDTF">2019-11-28T09:01:00Z</dcterms:created>
  <dcterms:modified xsi:type="dcterms:W3CDTF">2019-11-28T09:03:00Z</dcterms:modified>
</cp:coreProperties>
</file>