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0.png" ContentType="image/png"/>
  <Override PartName="/word/media/rId64.png" ContentType="image/png"/>
  <Override PartName="/word/media/rId4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4"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ergelson2020comprehension">
        <w:r>
          <w:rPr>
            <w:rStyle w:val="Hyperlink"/>
          </w:rPr>
          <w:t xml:space="preserve">Bergelson, 2020</w:t>
        </w:r>
      </w:hyperlink>
      <w:r>
        <w:t xml:space="preserve">;</w:t>
      </w:r>
      <w:r>
        <w:t xml:space="preserve"> </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of age, they understand more than 400</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ialystok2009bilingualism">
        <w:r>
          <w:rPr>
            <w:rStyle w:val="Hyperlink"/>
          </w:rPr>
          <w:t xml:space="preserve">Bialystok, 2009</w:t>
        </w:r>
      </w:hyperlink>
      <w:r>
        <w:t xml:space="preserve">;</w:t>
      </w:r>
      <w:r>
        <w:t xml:space="preserve"> </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relatively reduced linguistic input in each of their languages, compared to monolinguals</w:t>
      </w:r>
      <w:r>
        <w:t xml:space="preserve"> </w:t>
      </w:r>
      <w:r>
        <w:t xml:space="preserve">(</w:t>
      </w:r>
      <w:hyperlink w:anchor="ref-cattani2014much">
        <w:r>
          <w:rPr>
            <w:rStyle w:val="Hyperlink"/>
          </w:rPr>
          <w:t xml:space="preserve">Cattani et al., 2014</w:t>
        </w:r>
      </w:hyperlink>
      <w:r>
        <w:t xml:space="preserve">;</w:t>
      </w:r>
      <w:r>
        <w:t xml:space="preserve"> </w:t>
      </w:r>
      <w:hyperlink w:anchor="ref-costa2014does">
        <w:r>
          <w:rPr>
            <w:rStyle w:val="Hyperlink"/>
          </w:rPr>
          <w:t xml:space="preserve">Costa &amp; Sebastián-Gallés, 2014</w:t>
        </w:r>
      </w:hyperlink>
      <w:r>
        <w:t xml:space="preserve">;</w:t>
      </w:r>
      <w:r>
        <w:t xml:space="preserve"> </w:t>
      </w:r>
      <w:hyperlink w:anchor="ref-thordardottir2011relationship">
        <w:r>
          <w:rPr>
            <w:rStyle w:val="Hyperlink"/>
          </w:rPr>
          <w:t xml:space="preserve">Thordardottir, 2011</w:t>
        </w:r>
      </w:hyperlink>
      <w:r>
        <w:t xml:space="preserve">)</w:t>
      </w:r>
      <w:r>
        <w:t xml:space="preserve">. Second, they face a more complex referential context: they often learn two labels for each referent (one in each language), which additionally may not be direct translations of each other</w:t>
      </w:r>
      <w:r>
        <w:t xml:space="preserve"> </w:t>
      </w:r>
      <w:r>
        <w:t xml:space="preserve">(</w:t>
      </w:r>
      <w:hyperlink w:anchor="ref-au1990principle">
        <w:r>
          <w:rPr>
            <w:rStyle w:val="Hyperlink"/>
          </w:rPr>
          <w:t xml:space="preserve">Au &amp; Glusman, 1990</w:t>
        </w:r>
      </w:hyperlink>
      <w:r>
        <w:t xml:space="preserve">;</w:t>
      </w:r>
      <w:r>
        <w:t xml:space="preserve"> </w:t>
      </w:r>
      <w:hyperlink w:anchor="ref-bilson2015semantic">
        <w:r>
          <w:rPr>
            <w:rStyle w:val="Hyperlink"/>
          </w:rPr>
          <w:t xml:space="preserve">Bilson et al., 2015</w:t>
        </w:r>
      </w:hyperlink>
      <w:r>
        <w:t xml:space="preserve">;</w:t>
      </w:r>
      <w:r>
        <w:t xml:space="preserve"> </w:t>
      </w:r>
      <w:hyperlink w:anchor="ref-de2006early">
        <w:r>
          <w:rPr>
            <w:rStyle w:val="Hyperlink"/>
          </w:rPr>
          <w:t xml:space="preserve">De Houwer et al., 2006</w:t>
        </w:r>
      </w:hyperlink>
      <w:r>
        <w:t xml:space="preserve">;</w:t>
      </w:r>
      <w:r>
        <w:t xml:space="preserve"> </w:t>
      </w:r>
      <w:hyperlink w:anchor="ref-tsui2022translation">
        <w:r>
          <w:rPr>
            <w:rStyle w:val="Hyperlink"/>
          </w:rPr>
          <w:t xml:space="preserve">Tsui et al., 2022</w:t>
        </w:r>
      </w:hyperlink>
      <w:r>
        <w:t xml:space="preserve">)</w:t>
      </w:r>
      <w:r>
        <w:t xml:space="preserve">. The mechanisms that allow bilingual’ trajectories of lexical developmental to keep up with monolinguals’ are still unclear.</w:t>
      </w:r>
    </w:p>
    <w:p>
      <w:pPr>
        <w:pStyle w:val="BodyText"/>
      </w:pPr>
      <w:r>
        <w:t xml:space="preserve">Previous studies have pointed to the similarity between the two languages of exposure as a facilitator of lexical acquisition in bilinguals</w:t>
      </w:r>
      <w:r>
        <w:t xml:space="preserve"> </w:t>
      </w:r>
      <w:r>
        <w:t xml:space="preserve">(</w:t>
      </w:r>
      <w:hyperlink w:anchor="ref-blom2020cross">
        <w:r>
          <w:rPr>
            <w:rStyle w:val="Hyperlink"/>
          </w:rPr>
          <w:t xml:space="preserve">Blom et al., 2020</w:t>
        </w:r>
      </w:hyperlink>
      <w:r>
        <w:t xml:space="preserve">;</w:t>
      </w:r>
      <w:r>
        <w:t xml:space="preserve"> </w:t>
      </w:r>
      <w:hyperlink w:anchor="ref-floccia2018vocabulary">
        <w:r>
          <w:rPr>
            <w:rStyle w:val="Hyperlink"/>
          </w:rPr>
          <w:t xml:space="preserve">Floccia et al., 2018</w:t>
        </w:r>
      </w:hyperlink>
      <w:r>
        <w:t xml:space="preserve">;</w:t>
      </w:r>
      <w:r>
        <w:t xml:space="preserve"> </w:t>
      </w:r>
      <w:hyperlink w:anchor="ref-gampe2021does">
        <w:r>
          <w:rPr>
            <w:rStyle w:val="Hyperlink"/>
          </w:rPr>
          <w:t xml:space="preserve">Gampe et al., 2021</w:t>
        </w:r>
      </w:hyperlink>
      <w:r>
        <w:t xml:space="preserve">)</w:t>
      </w:r>
      <w:r>
        <w:t xml:space="preserve">.</w:t>
      </w:r>
      <w:r>
        <w:t xml:space="preserve"> </w:t>
      </w:r>
      <w:r>
        <w:t xml:space="preserve">Floccia et al. (</w:t>
      </w:r>
      <w:hyperlink w:anchor="ref-floccia2018vocabulary">
        <w:r>
          <w:rPr>
            <w:rStyle w:val="Hyperlink"/>
          </w:rPr>
          <w:t xml:space="preserve">2018</w:t>
        </w:r>
      </w:hyperlink>
      <w:r>
        <w:t xml:space="preserve">)</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w:t>
      </w:r>
      <w:hyperlink w:anchor="ref-bosch2014first">
        <w:r>
          <w:rPr>
            <w:rStyle w:val="Hyperlink"/>
          </w:rPr>
          <w:t xml:space="preserve">Bosch &amp; Ramon-Casas, 2014</w:t>
        </w:r>
      </w:hyperlink>
      <w:r>
        <w:t xml:space="preserve">;</w:t>
      </w:r>
      <w:r>
        <w:t xml:space="preserve"> </w:t>
      </w:r>
      <w:hyperlink w:anchor="ref-garcia2023cognate">
        <w:r>
          <w:rPr>
            <w:rStyle w:val="Hyperlink"/>
          </w:rPr>
          <w:t xml:space="preserve">Garcia-Castro, Avila-Varela, et al., 2023</w:t>
        </w:r>
      </w:hyperlink>
      <w:r>
        <w:t xml:space="preserve">;</w:t>
      </w:r>
      <w:r>
        <w:t xml:space="preserve"> </w:t>
      </w:r>
      <w:hyperlink w:anchor="ref-mitchell2022cognates">
        <w:r>
          <w:rPr>
            <w:rStyle w:val="Hyperlink"/>
          </w:rPr>
          <w:t xml:space="preserve">Mitchell et al., 2022</w:t>
        </w:r>
      </w:hyperlink>
      <w:r>
        <w:t xml:space="preserve">;</w:t>
      </w:r>
      <w:r>
        <w:t xml:space="preserve"> </w:t>
      </w:r>
      <w:hyperlink w:anchor="ref-schelletter2002effect">
        <w:r>
          <w:rPr>
            <w:rStyle w:val="Hyperlink"/>
          </w:rPr>
          <w:t xml:space="preserve">Schelletter, 2002</w:t>
        </w:r>
      </w:hyperlink>
      <w:r>
        <w:t xml:space="preserve">)</w:t>
      </w:r>
      <w:r>
        <w:t xml:space="preserve">.</w:t>
      </w:r>
    </w:p>
    <w:p>
      <w:pPr>
        <w:pStyle w:val="BodyText"/>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activation">
        <w:r>
          <w:rPr>
            <w:rStyle w:val="Hyperlink"/>
          </w:rPr>
          <w:t xml:space="preserve">Marian &amp; Spivey, 1999</w:t>
        </w:r>
      </w:hyperlink>
      <w:r>
        <w:t xml:space="preserve">;</w:t>
      </w:r>
      <w:r>
        <w:t xml:space="preserve"> </w:t>
      </w:r>
      <w:hyperlink w:anchor="ref-schwartz2007reading">
        <w:r>
          <w:rPr>
            <w:rStyle w:val="Hyperlink"/>
          </w:rPr>
          <w:t xml:space="preserve">Schwartz et al., 2007</w:t>
        </w:r>
      </w:hyperlink>
      <w:r>
        <w:t xml:space="preserve">;</w:t>
      </w:r>
      <w:r>
        <w:t xml:space="preserve"> </w:t>
      </w:r>
      <w:hyperlink w:anchor="ref-spivey1999cross">
        <w:r>
          <w:rPr>
            <w:rStyle w:val="Hyperlink"/>
          </w:rPr>
          <w:t xml:space="preserve">Spivey &amp; Marian, 1999</w:t>
        </w:r>
      </w:hyperlink>
      <w:r>
        <w:t xml:space="preserve">)</w:t>
      </w:r>
      <w:r>
        <w:t xml:space="preserve">.</w:t>
      </w:r>
      <w:r>
        <w:t xml:space="preserve"> </w:t>
      </w:r>
      <w:r>
        <w:t xml:space="preserve">Costa et al. (</w:t>
      </w:r>
      <w:hyperlink w:anchor="ref-costa2000cognate">
        <w:r>
          <w:rPr>
            <w:rStyle w:val="Hyperlink"/>
          </w:rPr>
          <w:t xml:space="preserve">2000</w:t>
        </w:r>
      </w:hyperlink>
      <w:r>
        <w:t xml:space="preserve">)</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w:t>
      </w:r>
      <w:hyperlink w:anchor="ref-bosma2019longitudinal">
        <w:r>
          <w:rPr>
            <w:rStyle w:val="Hyperlink"/>
          </w:rPr>
          <w:t xml:space="preserve">Bosma et al., 2019</w:t>
        </w:r>
      </w:hyperlink>
      <w:r>
        <w:t xml:space="preserve">;</w:t>
      </w:r>
      <w:r>
        <w:t xml:space="preserve"> </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w:t>
      </w:r>
      <w:hyperlink w:anchor="ref-von2012language">
        <w:r>
          <w:rPr>
            <w:rStyle w:val="Hyperlink"/>
          </w:rPr>
          <w:t xml:space="preserve">2012</w:t>
        </w:r>
      </w:hyperlink>
      <w:r>
        <w:t xml:space="preserve">)</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w:t>
      </w:r>
      <w:hyperlink w:anchor="ref-grosjean1997bilingual">
        <w:r>
          <w:rPr>
            <w:rStyle w:val="Hyperlink"/>
          </w:rPr>
          <w:t xml:space="preserve">Grosjean, 1997</w:t>
        </w:r>
      </w:hyperlink>
      <w:r>
        <w:t xml:space="preserve">)</w:t>
      </w:r>
      <w:r>
        <w:t xml:space="preserve">.</w:t>
      </w:r>
    </w:p>
    <w:p>
      <w:pPr>
        <w:pStyle w:val="BodyText"/>
      </w:pPr>
      <w:r>
        <w:t xml:space="preserve">Mani &amp; Plunkett (</w:t>
      </w:r>
      <w:hyperlink w:anchor="ref-mani2010infant">
        <w:r>
          <w:rPr>
            <w:rStyle w:val="Hyperlink"/>
          </w:rPr>
          <w:t xml:space="preserve">2010</w:t>
        </w:r>
      </w:hyperlink>
      <w:r>
        <w:t xml:space="preserve">)</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w:t>
      </w:r>
      <w:hyperlink w:anchor="ref-mani2011phonological">
        <w:r>
          <w:rPr>
            <w:rStyle w:val="Hyperlink"/>
          </w:rPr>
          <w:t xml:space="preserve">2011</w:t>
        </w:r>
      </w:hyperlink>
      <w:r>
        <w:t xml:space="preserve">)</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BodyText"/>
      </w:pPr>
      <w:r>
        <w:t xml:space="preserve">The implicit naming paradigm provides an ideal experimental paradigm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w:t>
      </w:r>
      <w:r>
        <w:t xml:space="preserve"> </w:t>
      </w:r>
      <w:hyperlink w:anchor="ref-von2014bilinguals">
        <w:r>
          <w:rPr>
            <w:rStyle w:val="Hyperlink"/>
          </w:rPr>
          <w:t xml:space="preserve">Von Holzen &amp; Mani, 2014</w:t>
        </w:r>
      </w:hyperlink>
      <w:r>
        <w:t xml:space="preserve"> </w:t>
      </w:r>
      <w:r>
        <w:t xml:space="preserve">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This allowed us to compare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w:t>
      </w:r>
      <w:hyperlink w:anchor="ref-costa2014does">
        <w:r>
          <w:rPr>
            <w:rStyle w:val="Hyperlink"/>
          </w:rPr>
          <w:t xml:space="preserve">Costa &amp; Sebastián-Gallés, 2014</w:t>
        </w:r>
      </w:hyperlink>
      <w:r>
        <w:t xml:space="preserve">)</w:t>
      </w:r>
      <w:r>
        <w:t xml:space="preserve">.</w:t>
      </w:r>
    </w:p>
    <w:p>
      <w:pPr>
        <w:pStyle w:val="BodyText"/>
      </w:pPr>
      <w:r>
        <w:t xml:space="preserve">Following</w:t>
      </w:r>
      <w:r>
        <w:t xml:space="preserve"> </w:t>
      </w:r>
      <w:r>
        <w:t xml:space="preserve">Mani &amp; Plunkett (</w:t>
      </w:r>
      <w:hyperlink w:anchor="ref-mani2010infant">
        <w:r>
          <w:rPr>
            <w:rStyle w:val="Hyperlink"/>
          </w:rPr>
          <w:t xml:space="preserve">2010</w:t>
        </w:r>
      </w:hyperlink>
      <w:r>
        <w:t xml:space="preserve">)</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yperlink"/>
          </w:rPr>
          <w:t xml:space="preserve">Figure 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w:t>
      </w:r>
      <w:hyperlink w:anchor="ref-mani2011phonological">
        <w:r>
          <w:rPr>
            <w:rStyle w:val="Hyperlink"/>
          </w:rPr>
          <w:t xml:space="preserve">2011</w:t>
        </w:r>
      </w:hyperlink>
      <w:r>
        <w:t xml:space="preserve">)</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23" w:name="fig-hypotheses"/>
          <w:p>
            <w:pPr>
              <w:jc w:val="center"/>
            </w:pPr>
            <w:r>
              <w:drawing>
                <wp:inline>
                  <wp:extent cx="5943600" cy="3343275"/>
                  <wp:effectExtent b="0" l="0" r="0" t="0"/>
                  <wp:docPr descr="" title="" id="21" name="Picture"/>
                  <a:graphic>
                    <a:graphicData uri="http://schemas.openxmlformats.org/drawingml/2006/picture">
                      <pic:pic>
                        <pic:nvPicPr>
                          <pic:cNvPr descr="_assets/img/hypotheses.png" id="22" name="Picture"/>
                          <pic:cNvPicPr>
                            <a:picLocks noChangeArrowheads="1" noChangeAspect="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23"/>
        </w:tc>
      </w:tr>
    </w:tbl>
    <w:p>
      <w:pPr>
        <w:pStyle w:val="BodyText"/>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In the case of bilinguals, two measures of vocabulary size are relevant:</w:t>
      </w:r>
      <w:r>
        <w:t xml:space="preserve"> </w:t>
      </w:r>
      <w:r>
        <w:rPr>
          <w:iCs/>
          <w:i/>
        </w:rPr>
        <w:t xml:space="preserve">total vocabulary size</w:t>
      </w:r>
      <w:r>
        <w:t xml:space="preserve"> </w:t>
      </w:r>
      <w:r>
        <w:t xml:space="preserve">and</w:t>
      </w:r>
      <w:r>
        <w:t xml:space="preserve"> </w:t>
      </w:r>
      <w:r>
        <w:rPr>
          <w:iCs/>
          <w:i/>
        </w:rPr>
        <w:t xml:space="preserve">dominant-language vocabulary size</w:t>
      </w:r>
      <w:r>
        <w:t xml:space="preserve">. Total vocabulary size refers to the number of words that a child has acquired, regardless of the language they belong to. Dominant-language vocabulary size (L1 vocabulary size, henceforth) refers to the number of acquired words in the dominant language of the child (in which they were tested), the language in which they know more words. If the size of interference effects are more tightly associated to bilinguals’ total vocabulary size, it would support the assumption that lexical representations from both languages enter a unique cohort in bilinguals.</w:t>
      </w:r>
    </w:p>
    <w:p>
      <w:pPr>
        <w:pStyle w:val="BodyText"/>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w:t>
      </w:r>
      <w:hyperlink w:anchor="ref-mani2010infant">
        <w:r>
          <w:rPr>
            <w:rStyle w:val="Hyperlink"/>
          </w:rPr>
          <w:t xml:space="preserve">2010</w:t>
        </w:r>
      </w:hyperlink>
      <w:r>
        <w:t xml:space="preserve">)</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24"/>
    <w:bookmarkStart w:id="57" w:name="study-1"/>
    <w:p>
      <w:pPr>
        <w:pStyle w:val="Heading1"/>
      </w:pPr>
      <w:r>
        <w:t xml:space="preserve">Study 1</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w:t>
      </w:r>
      <w:hyperlink w:anchor="ref-mani2011phonological">
        <w:r>
          <w:rPr>
            <w:rStyle w:val="Hyperlink"/>
          </w:rPr>
          <w:t xml:space="preserve">2011</w:t>
        </w:r>
      </w:hyperlink>
      <w:r>
        <w:t xml:space="preserve">)</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46" w:name="methods"/>
    <w:p>
      <w:pPr>
        <w:pStyle w:val="Heading2"/>
      </w:pPr>
      <w:r>
        <w:t xml:space="preserve">Methods</w:t>
      </w:r>
    </w:p>
    <w:p>
      <w:pPr>
        <w:pStyle w:val="FirstParagraph"/>
      </w:pPr>
      <w:r>
        <w:t xml:space="preserve">All materials, data, and reproducible code can be found at the OSF (</w:t>
      </w:r>
      <w:hyperlink r:id="rId25">
        <w:r>
          <w:rPr>
            <w:rStyle w:val="Hyperlink"/>
          </w:rPr>
          <w:t xml:space="preserve">https://osf.io/hy984/</w:t>
        </w:r>
      </w:hyperlink>
      <w:r>
        <w:t xml:space="preserve">) and GitHub (</w:t>
      </w:r>
      <w:hyperlink r:id="rId26">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32" w:name="participants"/>
    <w:p>
      <w:pPr>
        <w:pStyle w:val="Heading3"/>
      </w:pPr>
      <w:r>
        <w:t xml:space="preserve">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bookmarkStart w:id="27"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2"/>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Range</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 (4.1)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 (0.0)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 (3.9)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 (6.2)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 (10)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37.9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61.7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 (3.4)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 (11.0)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(1.6)</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19.9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r>
    </w:tbl>
    <w:p>
      <w:pPr>
        <w:pStyle w:val="BodyText"/>
      </w:pPr>
      <w:r>
        <w:rPr>
          <w:bCs/>
          <w:b/>
        </w:rPr>
        <w:t xml:space="preserve">?(caption)</w:t>
      </w:r>
    </w:p>
    <w:bookmarkEnd w:id="27"/>
    <w:p>
      <w:pPr>
        <w:pStyle w:val="BodyText"/>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yperlink"/>
          </w:rPr>
          <w:t xml:space="preserve">Figure 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31" w:name="fig-vocabulary-oxf"/>
          <w:p>
            <w:pPr>
              <w:jc w:val="center"/>
            </w:pPr>
            <w:r>
              <w:drawing>
                <wp:inline>
                  <wp:extent cx="5491891" cy="3661261"/>
                  <wp:effectExtent b="0" l="0" r="0" t="0"/>
                  <wp:docPr descr="" title="" id="29" name="Picture"/>
                  <a:graphic>
                    <a:graphicData uri="http://schemas.openxmlformats.org/drawingml/2006/picture">
                      <pic:pic>
                        <pic:nvPicPr>
                          <pic:cNvPr descr="manuscript_files/figure-docx/fig-vocabulary-oxf-1.png" id="30" name="Picture"/>
                          <pic:cNvPicPr>
                            <a:picLocks noChangeArrowheads="1" noChangeAspect="1"/>
                          </pic:cNvPicPr>
                        </pic:nvPicPr>
                        <pic:blipFill>
                          <a:blip r:embed="rId28"/>
                          <a:stretch>
                            <a:fillRect/>
                          </a:stretch>
                        </pic:blipFill>
                        <pic:spPr bwMode="auto">
                          <a:xfrm>
                            <a:off x="0" y="0"/>
                            <a:ext cx="5491891" cy="36612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Participant receptive vocabulary sizes across ages and language profiles. Vocabulary size scores from the recurrent participants are shown linked. For visualisation purposes, testing sessions were aggregated at three age points: 21, 25, and 30 months. Points and intervals indicate mean and standard deviations, respectively.</w:t>
            </w:r>
          </w:p>
          <w:bookmarkEnd w:id="31"/>
        </w:tc>
      </w:tr>
    </w:tbl>
    <w:bookmarkEnd w:id="32"/>
    <w:bookmarkStart w:id="34" w:name="stimuli"/>
    <w:p>
      <w:pPr>
        <w:pStyle w:val="Heading3"/>
      </w:pPr>
      <w:r>
        <w:t xml:space="preserve">Stimuli</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(16 trials),</w:t>
      </w:r>
      <w:r>
        <w:t xml:space="preserve"> </w:t>
      </w:r>
      <w:r>
        <w:rPr>
          <w:iCs/>
          <w:i/>
        </w:rPr>
        <w:t xml:space="preserve">Related/Non-cognate</w:t>
      </w:r>
      <w:r>
        <w:t xml:space="preserve"> </w:t>
      </w:r>
      <w:r>
        <w:t xml:space="preserve">(8 trials), and</w:t>
      </w:r>
      <w:r>
        <w:t xml:space="preserve"> </w:t>
      </w:r>
      <w:r>
        <w:rPr>
          <w:iCs/>
          <w:i/>
        </w:rPr>
        <w:t xml:space="preserve">Related/Cognate</w:t>
      </w:r>
      <w:r>
        <w:t xml:space="preserve"> </w:t>
      </w:r>
      <w:r>
        <w:t xml:space="preserve">(8 trials). In</w:t>
      </w:r>
      <w:r>
        <w:t xml:space="preserve"> </w:t>
      </w:r>
      <w:r>
        <w:rPr>
          <w:iCs/>
          <w:i/>
        </w:rPr>
        <w:t xml:space="preserve">Unrelated</w:t>
      </w:r>
      <w:r>
        <w:t xml:space="preserve"> </w:t>
      </w:r>
      <w:r>
        <w:t xml:space="preserve">trials, target was phonologically unrelated with the English and Spanish labels of the prime picture (e.g.,</w:t>
      </w:r>
      <w:r>
        <w:t xml:space="preserve"> </w:t>
      </w:r>
      <m:oMath>
        <m:sSub>
          <m:e>
            <m:r>
              <m:rPr>
                <m:nor/>
                <m:sty m:val="p"/>
              </m:rPr>
              <m:t>door</m:t>
            </m:r>
          </m:e>
          <m:sub>
            <m:r>
              <m:rPr>
                <m:nor/>
                <m:sty m:val="p"/>
              </m:rPr>
              <m:t>ENG</m:t>
            </m:r>
          </m:sub>
        </m:sSub>
        <m:r>
          <m:rPr>
            <m:sty m:val="p"/>
          </m:rPr>
          <m:t>/</m:t>
        </m:r>
        <m:sSub>
          <m:e>
            <m:r>
              <m:rPr>
                <m:nor/>
                <m:sty m:val="p"/>
              </m:rPr>
              <m:t>puerta</m:t>
            </m:r>
          </m:e>
          <m:sub>
            <m:r>
              <m:rPr>
                <m:nor/>
                <m:sty m:val="p"/>
              </m:rPr>
              <m:t>SPA</m:t>
            </m:r>
          </m:sub>
        </m:sSub>
        <m:r>
          <m:rPr>
            <m:sty m:val="p"/>
          </m:rPr>
          <m:t>−</m:t>
        </m:r>
        <m:sSub>
          <m:e>
            <m:r>
              <m:rPr>
                <m:nor/>
                <m:sty m:val="p"/>
              </m:rPr>
              <m:t>sock</m:t>
            </m:r>
          </m:e>
          <m:sub>
            <m:r>
              <m:rPr>
                <m:nor/>
                <m:sty m:val="p"/>
              </m:rPr>
              <m:t>ENG</m:t>
            </m:r>
          </m:sub>
        </m:sSub>
      </m:oMath>
      <w:r>
        <w:t xml:space="preserve">). In</w:t>
      </w:r>
      <w:r>
        <w:t xml:space="preserve"> </w:t>
      </w:r>
      <w:r>
        <w:rPr>
          <w:iCs/>
          <w:i/>
        </w:rPr>
        <w:t xml:space="preserve">Related/Non-cognate</w:t>
      </w:r>
      <w:r>
        <w:t xml:space="preserve"> </w:t>
      </w:r>
      <w:r>
        <w:t xml:space="preserve">trials, the target shared phonological onset with the English prime label, but not with the Spanish prime label (e.g.,</w:t>
      </w:r>
      <w:r>
        <w:t xml:space="preserve"> </w:t>
      </w:r>
      <m:oMath>
        <m:r>
          <m:rPr>
            <m:nor/>
            <m:sty m:val="b"/>
          </m:rPr>
          <m:t>t</m:t>
        </m:r>
        <m:sSub>
          <m:e>
            <m:r>
              <m:rPr>
                <m:nor/>
                <m:sty m:val="p"/>
              </m:rPr>
              <m:t>ree</m:t>
            </m:r>
          </m:e>
          <m:sub>
            <m:r>
              <m:rPr>
                <m:nor/>
                <m:sty m:val="p"/>
              </m:rPr>
              <m:t>ENG</m:t>
            </m:r>
          </m:sub>
        </m:sSub>
        <m:r>
          <m:rPr>
            <m:sty m:val="p"/>
          </m:rPr>
          <m:t>/</m:t>
        </m:r>
        <m:sSub>
          <m:e>
            <m:r>
              <m:rPr>
                <m:nor/>
                <m:sty m:val="p"/>
              </m:rPr>
              <m:t>árbol</m:t>
            </m:r>
          </m:e>
          <m:sub>
            <m:r>
              <m:rPr>
                <m:nor/>
                <m:sty m:val="p"/>
              </m:rPr>
              <m:t>SPA</m:t>
            </m:r>
          </m:sub>
        </m:sSub>
        <m:r>
          <m:rPr>
            <m:sty m:val="p"/>
          </m:rPr>
          <m:t>−</m:t>
        </m:r>
        <m:r>
          <m:rPr>
            <m:nor/>
            <m:sty m:val="b"/>
          </m:rPr>
          <m:t>t</m:t>
        </m:r>
        <m:sSub>
          <m:e>
            <m:r>
              <m:rPr>
                <m:nor/>
                <m:sty m:val="p"/>
              </m:rPr>
              <m:t>ruck</m:t>
            </m:r>
          </m:e>
          <m:sub>
            <m:r>
              <m:rPr>
                <m:nor/>
                <m:sty m:val="p"/>
              </m:rPr>
              <m:t>ENG</m:t>
            </m:r>
          </m:sub>
        </m:sSub>
      </m:oMath>
      <w:r>
        <w:t xml:space="preserve">). In</w:t>
      </w:r>
      <w:r>
        <w:t xml:space="preserve"> </w:t>
      </w:r>
      <w:r>
        <w:rPr>
          <w:iCs/>
          <w:i/>
        </w:rPr>
        <w:t xml:space="preserve">Related/Cognate</w:t>
      </w:r>
      <w:r>
        <w:t xml:space="preserve"> </w:t>
      </w:r>
      <w:r>
        <w:t xml:space="preserve">trials, the target shared phonological overlap with both English and Spanish prime labels (</w:t>
      </w:r>
      <m:oMath>
        <m:r>
          <m:rPr>
            <m:nor/>
            <m:sty m:val="b"/>
          </m:rPr>
          <m:t>b</m:t>
        </m:r>
        <m:sSub>
          <m:e>
            <m:r>
              <m:rPr>
                <m:nor/>
                <m:sty m:val="p"/>
              </m:rPr>
              <m:t>oot</m:t>
            </m:r>
          </m:e>
          <m:sub>
            <m:r>
              <m:rPr>
                <m:nor/>
                <m:sty m:val="p"/>
              </m:rPr>
              <m:t>ENG</m:t>
            </m:r>
          </m:sub>
        </m:sSub>
        <m:r>
          <m:rPr>
            <m:sty m:val="p"/>
          </m:rPr>
          <m:t>/</m:t>
        </m:r>
        <m:r>
          <m:rPr>
            <m:nor/>
            <m:sty m:val="b"/>
          </m:rPr>
          <m:t>b</m:t>
        </m:r>
        <m:sSub>
          <m:e>
            <m:r>
              <m:rPr>
                <m:nor/>
                <m:sty m:val="p"/>
              </m:rPr>
              <m:t>ota</m:t>
            </m:r>
          </m:e>
          <m:sub>
            <m:r>
              <m:rPr>
                <m:nor/>
                <m:sty m:val="p"/>
              </m:rPr>
              <m:t>SPA</m:t>
            </m:r>
          </m:sub>
        </m:sSub>
        <m:r>
          <m:rPr>
            <m:sty m:val="p"/>
          </m:rPr>
          <m:t>−</m:t>
        </m:r>
        <m:r>
          <m:rPr>
            <m:nor/>
            <m:sty m:val="b"/>
          </m:rPr>
          <m:t>b</m:t>
        </m:r>
        <m:sSub>
          <m:e>
            <m:r>
              <m:rPr>
                <m:nor/>
                <m:sty m:val="p"/>
              </m:rPr>
              <m:t>ird</m:t>
            </m:r>
          </m:e>
          <m:sub>
            <m:r>
              <m:rPr>
                <m:nor/>
                <m:sty m:val="p"/>
              </m:rPr>
              <m:t>ENG</m:t>
            </m:r>
          </m:sub>
        </m:sSub>
      </m:oMath>
      <w:r>
        <w:t xml:space="preserve">). Target-distractor pairs were phonologically unrelated, and held constant for all participants. Especial attention was paid to avoiding semantic or taxonomic relationships between prime and target words, and between prime and distractor words. Each target distractor pair was shown twice for each participant, switching roles. Distractors were always phonologically unrelated to the prime and target labels in the same trial.</w:t>
      </w:r>
    </w:p>
    <w:p>
      <w:pPr>
        <w:pStyle w:val="BodyText"/>
      </w:pPr>
      <w:r>
        <w:t xml:space="preserve">We created fours lists of trials, across which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w:t>
      </w:r>
      <w:r>
        <w:t xml:space="preserve"> </w:t>
      </w:r>
      <w:r>
        <w:rPr>
          <w:bCs/>
          <w:b/>
        </w:rPr>
        <w:t xml:space="preserve">?@tbl-stimuli</w:t>
      </w:r>
      <w:r>
        <w:t xml:space="preserve"> </w:t>
      </w:r>
      <w:r>
        <w:t xml:space="preserve">shows a detailed summary of the stimuli properties, broken down by trial type and testing language. Lexical frequencies were extracted from the English corpora from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w:t>
      </w:r>
    </w:p>
    <w:bookmarkStart w:id="33"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i/>
              </w:rPr>
              <w:t xml:space="default">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Frequency (Zipf)</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Phon. similarity [0-1]</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Prime-Prime</w:t>
            </w:r>
          </w:p>
        </w:tc>
        <w:tc>
          <w:tcPr>
            <w:tcBorders>
              <w:bottom w:val="single" w:sz="16" w:space="0" w:color="D3D3D3"/>
            </w:tcBorders>
          </w:tcPr>
          <w:p>
            <w:pPr>
              <w:spacing w:before="0" w:after="60"/>
              <w:keepNext/>
              <w:jc w:val="end"/>
            </w:pPr>
            <w:r>
              <w:rPr>
                <w:rFonts w:ascii="Calibri" w:hAnsi="Calibri"/>
                <w:sz w:val="20"/>
                <w:i/>
              </w:rPr>
              <w:t xml:space="default">Prime-Target</w:t>
            </w:r>
          </w:p>
        </w:tc>
        <w:tc>
          <w:tcPr>
            <w:tcBorders>
              <w:bottom w:val="single" w:sz="16" w:space="0" w:color="D3D3D3"/>
              <w:end w:val="single" w:space="0" w:color="D3D3D3"/>
            </w:tcBorders>
          </w:tcPr>
          <w:p>
            <w:pPr>
              <w:spacing w:before="0" w:after="60"/>
              <w:keepNext/>
              <w:jc w:val="end"/>
            </w:pPr>
            <w:r>
              <w:rPr>
                <w:rFonts w:ascii="Calibri" w:hAnsi="Calibri"/>
                <w:sz w:val="20"/>
                <w:i/>
              </w:rPr>
              <w:t xml:space="default">Duration (s)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 (2.7)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 (0.7)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 (1.6)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4.97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5.12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4.80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4.42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1.06</w:t>
            </w:r>
          </w:p>
        </w:tc>
      </w:tr>
    </w:tbl>
    <w:p>
      <w:pPr>
        <w:pStyle w:val="BodyText"/>
      </w:pPr>
      <w:r>
        <w:rPr>
          <w:bCs/>
          <w:b/>
        </w:rPr>
        <w:t xml:space="preserve">?(caption)</w:t>
      </w:r>
    </w:p>
    <w:bookmarkEnd w:id="33"/>
    <w:p>
      <w:pPr>
        <w:pStyle w:val="BodyText"/>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trim, denoised, and normalise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34"/>
    <w:bookmarkStart w:id="39" w:name="procedure-and-apparatus"/>
    <w:p>
      <w:pPr>
        <w:pStyle w:val="Heading3"/>
      </w:pPr>
      <w:r>
        <w:t xml:space="preserve">Procedure and apparatus</w:t>
      </w:r>
    </w:p>
    <w:p>
      <w:pPr>
        <w:pStyle w:val="FirstParagraph"/>
      </w:pPr>
      <w:r>
        <w:t xml:space="preserve">Testing took place in a sound-proof room.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XX-in screen of</w:t>
      </w:r>
      <w:r>
        <w:t xml:space="preserve"> </w:t>
      </w:r>
      <m:oMath>
        <m:r>
          <m:t>1929</m:t>
        </m:r>
        <m:r>
          <m:rPr>
            <m:sty m:val="p"/>
          </m:rPr>
          <m:t>×</m:t>
        </m:r>
        <m:r>
          <m:t>1080</m:t>
        </m:r>
      </m:oMath>
      <w:r>
        <w:t xml:space="preserve"> </w:t>
      </w:r>
      <w:r>
        <w:t xml:space="preserve">screen resolution. The study was run using a custom Matlab script, PresentMate, based on the PsychToolbox-3 extension</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 300 eye-tracker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p>
      <w:pPr>
        <w:pStyle w:val="BodyText"/>
      </w:pPr>
      <w:hyperlink w:anchor="fig-task">
        <w:r>
          <w:rPr>
            <w:rStyle w:val="Hyperlink"/>
          </w:rPr>
          <w:t xml:space="preserve">Figure 3</w:t>
        </w:r>
      </w:hyperlink>
      <w:r>
        <w:t xml:space="preserve"> </w:t>
      </w:r>
      <w:r>
        <w:t xml:space="preserve">shows a illustrates of the task design. Each trial started with the presentation of an attention getter for 3,000 ms. Then, the prime picture was presented in silence in the centre of the screen for 1,500 milliseconds. Fifty milliseconds after the offset of the prime image, an auditory label was played from the loudspeakers and, 700 milliseconds after the onset of the auditory label, the target and distractor pictures were presented side-by-side during 1,000 milliseconds until the end of the trial. After this, the attention getter of the next trial was immediately presented. Each experimental session took approximately 10 minutes.</w:t>
      </w:r>
    </w:p>
    <w:tbl>
      <w:tblPr>
        <w:tblStyle w:val="Table"/>
        <w:tblW w:type="pct" w:w="5000"/>
        <w:tblLook w:firstRow="0" w:lastRow="0" w:firstColumn="0" w:lastColumn="0" w:noHBand="0" w:noVBand="0" w:val="0000"/>
        <w:jc w:val="start"/>
      </w:tblPr>
      <w:tblGrid>
        <w:gridCol w:w="7920"/>
      </w:tblGrid>
      <w:tr>
        <w:tc>
          <w:tcPr/>
          <w:bookmarkStart w:id="38" w:name="fig-task"/>
          <w:p>
            <w:pPr>
              <w:jc w:val="center"/>
            </w:pPr>
            <w:r>
              <w:drawing>
                <wp:inline>
                  <wp:extent cx="5943600" cy="3343275"/>
                  <wp:effectExtent b="0" l="0" r="0" t="0"/>
                  <wp:docPr descr="" title="" id="36" name="Picture"/>
                  <a:graphic>
                    <a:graphicData uri="http://schemas.openxmlformats.org/drawingml/2006/picture">
                      <pic:pic>
                        <pic:nvPicPr>
                          <pic:cNvPr descr="_assets/img/design.png" id="37"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38"/>
        </w:tc>
      </w:tr>
    </w:tbl>
    <w:bookmarkEnd w:id="39"/>
    <w:bookmarkStart w:id="45" w:name="data-analysis"/>
    <w:p>
      <w:pPr>
        <w:pStyle w:val="Heading3"/>
      </w:pPr>
      <w:r>
        <w:t xml:space="preserve">Data analysis</w:t>
      </w:r>
    </w:p>
    <w:bookmarkStart w:id="42" w:name="data-processing"/>
    <w:p>
      <w:pPr>
        <w:pStyle w:val="Heading4"/>
      </w:pPr>
      <w:r>
        <w:t xml:space="preserve">Data processing</w:t>
      </w:r>
    </w:p>
    <w:p>
      <w:pPr>
        <w:pStyle w:val="FirstParagraph"/>
      </w:pPr>
      <w:r>
        <w:t xml:space="preserve">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 Target looking probability was calculated as the empirical logit, using the number of samples inside the time bin in which the participant was looking at the target and distractor AOI (see</w:t>
      </w:r>
      <w:r>
        <w:t xml:space="preserve"> </w:t>
      </w:r>
      <w:hyperlink w:anchor="eq-elogit">
        <w:r>
          <w:rPr>
            <w:rStyle w:val="Hyperlink"/>
          </w:rPr>
          <w:t xml:space="preserve">Equation 1</w:t>
        </w:r>
      </w:hyperlink>
      <w:r>
        <w:t xml:space="preserve">)</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This was our response variable.</w:t>
      </w:r>
    </w:p>
    <w:p>
      <w:pPr>
        <w:pStyle w:val="BodyText"/>
      </w:pPr>
      <w:bookmarkStart w:id="40"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40"/>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2012activation">
        <w:r>
          <w:rPr>
            <w:rStyle w:val="Hyperlink"/>
          </w:rPr>
          <w:t xml:space="preserve">Mani et al., 2012</w:t>
        </w:r>
      </w:hyperlink>
      <w:r>
        <w:t xml:space="preserve"> </w:t>
      </w:r>
      <w:r>
        <w:t xml:space="preserve">for a similar approach)</w:t>
      </w:r>
      <w:r>
        <w:t xml:space="preserve">.</w:t>
      </w:r>
    </w:p>
    <w:p>
      <w:pPr>
        <w:pStyle w:val="BodyText"/>
      </w:pPr>
      <w:r>
        <w:t xml:space="preserve">After trials that matched any of the aforementioned exclusion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19), and participants with a L1 vocabulary size lower than 10% (</w:t>
      </w:r>
      <w:r>
        <w:rPr>
          <w:iCs/>
          <w:i/>
        </w:rPr>
        <w:t xml:space="preserve">n</w:t>
      </w:r>
      <w:r>
        <w:t xml:space="preserve"> </w:t>
      </w:r>
      <w:r>
        <w:t xml:space="preserve">= 3). The final dataset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dataset dataset, 915 were</w:t>
      </w:r>
      <w:r>
        <w:t xml:space="preserve"> </w:t>
      </w:r>
      <w:r>
        <w:rPr>
          <w:iCs/>
          <w:i/>
        </w:rPr>
        <w:t xml:space="preserve">Unrelated</w:t>
      </w:r>
      <w:r>
        <w:t xml:space="preserve"> </w:t>
      </w:r>
      <w:r>
        <w:t xml:space="preserve">trials (502 previously excluded), were 468</w:t>
      </w:r>
      <w:r>
        <w:t xml:space="preserve"> </w:t>
      </w:r>
      <w:r>
        <w:rPr>
          <w:iCs/>
          <w:i/>
        </w:rPr>
        <w:t xml:space="preserve">Related/Non-cognate</w:t>
      </w:r>
      <w:r>
        <w:t xml:space="preserve"> </w:t>
      </w:r>
      <w:r>
        <w:t xml:space="preserve">trials(241 previously excluded), and 478 were</w:t>
      </w:r>
      <w:r>
        <w:t xml:space="preserve"> </w:t>
      </w:r>
      <w:r>
        <w:rPr>
          <w:iCs/>
          <w:i/>
        </w:rPr>
        <w:t xml:space="preserve">Related/Cognate</w:t>
      </w:r>
      <w:r>
        <w:t xml:space="preserve"> </w:t>
      </w:r>
      <w:r>
        <w:t xml:space="preserve">trials (229 previously excluded).</w:t>
      </w:r>
    </w:p>
    <w:bookmarkStart w:id="41"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Cognate</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Unrelated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 (17)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i/>
                <w:rFonts w:ascii="Calibri" w:hAnsi="Calibri"/>
                <w:sz w:val="20"/>
              </w:rPr>
              <w:t xml:space="preserve">N</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1,847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1,813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3,657</w:t>
            </w:r>
          </w:p>
        </w:tc>
      </w:tr>
    </w:tbl>
    <w:p>
      <w:pPr>
        <w:pStyle w:val="BodyText"/>
      </w:pPr>
      <w:r>
        <w:rPr>
          <w:bCs/>
          <w:b/>
        </w:rPr>
        <w:t xml:space="preserve">?(caption)</w:t>
      </w:r>
    </w:p>
    <w:bookmarkEnd w:id="41"/>
    <w:bookmarkEnd w:id="42"/>
    <w:bookmarkStart w:id="44" w:name="modelling-approach"/>
    <w:p>
      <w:pPr>
        <w:pStyle w:val="Heading4"/>
      </w:pPr>
      <w:r>
        <w:t xml:space="preserve">Modelling approach</w:t>
      </w:r>
    </w:p>
    <w:p>
      <w:pPr>
        <w:pStyle w:val="FirstParagraph"/>
      </w:pPr>
      <w:r>
        <w:t xml:space="preserve">We used Bayesian Hierarchical General Additive Models (HGAMs) to model the data</w:t>
      </w:r>
      <w:r>
        <w:t xml:space="preserve"> </w:t>
      </w:r>
      <w:r>
        <w:t xml:space="preserve">(</w:t>
      </w:r>
      <w:hyperlink w:anchor="ref-pedersen2019hierarchical">
        <w:r>
          <w:rPr>
            <w:rStyle w:val="Hyperlink"/>
          </w:rPr>
          <w:t xml:space="preserve">Pedersen et al., 2019</w:t>
        </w:r>
      </w:hyperlink>
      <w:r>
        <w:t xml:space="preserve">)</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w:t>
      </w:r>
    </w:p>
    <w:p>
      <w:pPr>
        <w:pStyle w:val="BodyText"/>
      </w:pPr>
      <w:r>
        <w:t xml:space="preserve">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the interaction between</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w:t>
      </w:r>
    </w:p>
    <w:p>
      <w:pPr>
        <w:pStyle w:val="BodyText"/>
      </w:pPr>
      <w:r>
        <w:t xml:space="preserve">We implemented this model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two iteration chains using the by-default No U-Turn Sampler algorithm with 1,000 iterations each and an additional 1,000 warm-up iterations per chain.</w:t>
      </w:r>
    </w:p>
    <w:p>
      <w:pPr>
        <w:pStyle w:val="BodyText"/>
      </w:pPr>
      <w:bookmarkStart w:id="43"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t>A</m:t>
                </m:r>
                <m:r>
                  <m:t>g</m:t>
                </m:r>
                <m:r>
                  <m:t>e</m:t>
                </m:r>
                <m:r>
                  <m:rPr>
                    <m:sty m:val="p"/>
                  </m:rPr>
                  <m:t>+</m:t>
                </m:r>
              </m:e>
            </m:mr>
            <m:mr>
              <m:e/>
              <m:e>
                <m:nary>
                  <m:naryPr>
                    <m:chr m:val="∑"/>
                    <m:limLoc m:val="undOvr"/>
                    <m:subHide m:val="0"/>
                    <m:supHide m:val="0"/>
                  </m:naryPr>
                  <m:sub>
                    <m:r>
                      <m:t>w</m:t>
                    </m:r>
                    <m:r>
                      <m:rPr>
                        <m:sty m:val="p"/>
                      </m:rPr>
                      <m:t>=</m:t>
                    </m:r>
                    <m:r>
                      <m:t>1</m:t>
                    </m:r>
                  </m:sub>
                  <m:sup>
                    <m:r>
                      <m:t>k</m:t>
                    </m:r>
                  </m:sup>
                  <m:e>
                    <m:sSub>
                      <m:e>
                        <m:r>
                          <m:t>b</m:t>
                        </m:r>
                      </m:e>
                      <m:sub>
                        <m:sSub>
                          <m:e>
                            <m:r>
                              <m:t>w</m:t>
                            </m:r>
                          </m:e>
                          <m:sub>
                            <m:r>
                              <m:t>0</m:t>
                            </m:r>
                          </m:sub>
                        </m:sSub>
                      </m:sub>
                    </m:sSub>
                  </m:e>
                </m:nary>
                <m:sSub>
                  <m:e>
                    <m:r>
                      <m:t>β</m:t>
                    </m:r>
                  </m:e>
                  <m:sub>
                    <m:sSub>
                      <m:e>
                        <m:r>
                          <m:t>3</m:t>
                        </m:r>
                      </m:e>
                      <m:sub>
                        <m:r>
                          <m:t>k</m:t>
                        </m:r>
                      </m:sub>
                    </m:sSub>
                  </m:sub>
                </m:sSub>
                <m:r>
                  <m:rPr>
                    <m:nor/>
                    <m:sty m:val="p"/>
                  </m:rPr>
                  <m:t>Time</m:t>
                </m:r>
                <m:r>
                  <m:rPr>
                    <m:sty m:val="p"/>
                  </m:rPr>
                  <m:t>+</m:t>
                </m:r>
                <m:nary>
                  <m:naryPr>
                    <m:chr m:val="∑"/>
                    <m:limLoc m:val="undOvr"/>
                    <m:subHide m:val="0"/>
                    <m:supHide m:val="0"/>
                  </m:naryPr>
                  <m:sub>
                    <m:r>
                      <m:t>w</m:t>
                    </m:r>
                    <m:r>
                      <m:rPr>
                        <m:sty m:val="p"/>
                      </m:rPr>
                      <m:t>=</m:t>
                    </m:r>
                    <m:r>
                      <m:t>1</m:t>
                    </m:r>
                  </m:sub>
                  <m:sup>
                    <m:r>
                      <m:t>k</m:t>
                    </m:r>
                  </m:sup>
                  <m:e>
                    <m:sSub>
                      <m:e>
                        <m:r>
                          <m:t>b</m:t>
                        </m:r>
                      </m:e>
                      <m:sub>
                        <m:sSub>
                          <m:e>
                            <m:r>
                              <m:t>w</m:t>
                            </m:r>
                          </m:e>
                          <m:sub>
                            <m:r>
                              <m:t>1</m:t>
                            </m:r>
                          </m:sub>
                        </m:sSub>
                      </m:sub>
                    </m:sSub>
                  </m:e>
                </m:nary>
                <m:sSub>
                  <m:e>
                    <m:r>
                      <m:t>β</m:t>
                    </m:r>
                  </m:e>
                  <m:sub>
                    <m:sSub>
                      <m:e>
                        <m:r>
                          <m:t>4</m:t>
                        </m:r>
                      </m:e>
                      <m:sub>
                        <m:r>
                          <m:t>k</m:t>
                        </m:r>
                      </m:sub>
                    </m:sSub>
                  </m:sub>
                </m:sSub>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sSub>
                  <m:e>
                    <m:r>
                      <m:t>b</m:t>
                    </m:r>
                  </m:e>
                  <m:sub>
                    <m:sSub>
                      <m:e>
                        <m:r>
                          <m:t>w</m:t>
                        </m:r>
                      </m:e>
                      <m:sub>
                        <m:r>
                          <m:t>0</m:t>
                        </m:r>
                        <m:r>
                          <m:rPr>
                            <m:sty m:val="p"/>
                          </m:rPr>
                          <m:t>−</m:t>
                        </m:r>
                        <m:r>
                          <m:t>1</m:t>
                        </m:r>
                      </m:sub>
                    </m:sSub>
                  </m:sub>
                </m:sSub>
                <m:r>
                  <m:rPr>
                    <m:nor/>
                    <m:sty m:val="p"/>
                  </m:rPr>
                  <m:t> is the cubic spline of the </m:t>
                </m:r>
                <m:r>
                  <m:t>w</m:t>
                </m:r>
                <m:r>
                  <m:rPr>
                    <m:nor/>
                    <m:sty m:val="p"/>
                  </m:rPr>
                  <m:t> basis function</m:t>
                </m:r>
              </m:e>
            </m:mr>
            <m:mr>
              <m:e/>
              <m:e>
                <m:r>
                  <m:t>k</m:t>
                </m:r>
                <m:r>
                  <m:rPr>
                    <m:nor/>
                    <m:sty m:val="p"/>
                  </m:rPr>
                  <m:t> is the number of knots in the spline (10)</m:t>
                </m:r>
              </m:e>
            </m:mr>
            <m:mr>
              <m:e/>
              <m:e>
                <m:r>
                  <m:rPr>
                    <m:nor/>
                    <m:sty m:val="b"/>
                  </m:rPr>
                  <m:t>Prior:</m:t>
                </m:r>
              </m:e>
            </m:mr>
            <m:mr>
              <m:e>
                <m:sSub>
                  <m:e>
                    <m:r>
                      <m:t>β</m:t>
                    </m:r>
                  </m:e>
                  <m:sub>
                    <m:r>
                      <m:t>0</m:t>
                    </m:r>
                    <m:r>
                      <m:rPr>
                        <m:sty m:val="p"/>
                      </m:rPr>
                      <m:t>−</m:t>
                    </m:r>
                    <m:r>
                      <m:t>4</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43"/>
    </w:p>
    <w:bookmarkEnd w:id="44"/>
    <w:bookmarkEnd w:id="45"/>
    <w:bookmarkEnd w:id="46"/>
    <w:bookmarkStart w:id="55" w:name="results"/>
    <w:p>
      <w:pPr>
        <w:pStyle w:val="Heading2"/>
      </w:pPr>
      <w:r>
        <w:t xml:space="preserve">Results</w:t>
      </w:r>
    </w:p>
    <w:bookmarkStart w:id="52" w:name="priming-effects"/>
    <w:p>
      <w:pPr>
        <w:pStyle w:val="Heading3"/>
      </w:pPr>
      <w:r>
        <w:t xml:space="preserve">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2</w:t>
        </w:r>
      </w:hyperlink>
      <w:r>
        <w:t xml:space="preserve">). We assessed the practical relevance of the coefficients following</w:t>
      </w:r>
      <w:r>
        <w:t xml:space="preserve"> </w:t>
      </w:r>
      <w:r>
        <w:t xml:space="preserve">Kruschke &amp; Liddell (</w:t>
      </w:r>
      <w:hyperlink w:anchor="ref-kruschke2018bayesian">
        <w:r>
          <w:rPr>
            <w:rStyle w:val="Hyperlink"/>
          </w:rPr>
          <w:t xml:space="preserve">2018</w:t>
        </w:r>
      </w:hyperlink>
      <w:r>
        <w:t xml:space="preserve">)</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Overall, the average participant’ target looking time exceeded chance levels, as indicated by the fact that the 95% HDI of the intercept term excluded zero (</w:t>
      </w:r>
      <m:oMath>
        <m:r>
          <m:t>β</m:t>
        </m:r>
      </m:oMath>
      <w:r>
        <w:t xml:space="preserve"> </w:t>
      </w:r>
      <w:r>
        <w:t xml:space="preserve">= 0.400, 95% HDI = [0.311, 0.497])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-0.017, 95% HDI = [-0.097, 0.058]), and overlapped completely with the ROPE, indicating that participants from all ages showed equivalent overall target word recognition. 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0.126, 95% HDI = [-0.056, 0.284]), and 45.88% of its posterior samples fell within the ROPE. The 95% HDI of the second contrast—comparing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trials—also included zero (</w:t>
      </w:r>
      <m:oMath>
        <m:r>
          <m:t>β</m:t>
        </m:r>
      </m:oMath>
      <w:r>
        <w:t xml:space="preserve"> </w:t>
      </w:r>
      <w:r>
        <w:t xml:space="preserve">= 0.128, 95% HDI = [-0.053, 0.310]), and 42.02% of its posterior samples fell within the ROPE. The overall target preference was equivalent across both pairwise condition comparisons.</w:t>
      </w:r>
    </w:p>
    <w:bookmarkStart w:id="47" w:name="tbl-coefs-oxf"/>
    <w:p>
      <w:pPr>
        <w:pStyle w:val="BodyText"/>
      </w:pPr>
      <w:r>
        <w:rPr>
          <w:bCs/>
          <w:b/>
        </w:rPr>
        <w:t xml:space="preserve">?(caption)</w:t>
      </w:r>
    </w:p>
    <w:bookmarkEnd w:id="47"/>
    <w:p>
      <w:pPr>
        <w:pStyle w:val="BodyText"/>
      </w:pPr>
      <w:r>
        <w:t xml:space="preserve">Second, we examined the differences between the priming conditions across the time course of the trial, incorporating the smooth functions of the HGAMs to generate marginal posterior predictions for each condition across for each time point.</w:t>
      </w:r>
      <w:r>
        <w:t xml:space="preserve"> </w:t>
      </w:r>
      <w:hyperlink w:anchor="fig-epreds-oxf">
        <w:r>
          <w:rPr>
            <w:rStyle w:val="Hyperlink"/>
          </w:rPr>
          <w:t xml:space="preserve">Figure 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conditions, and between those for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51" w:name="fig-epreds-oxf"/>
          <w:p>
            <w:pPr>
              <w:jc w:val="center"/>
            </w:pPr>
            <w:r>
              <w:drawing>
                <wp:inline>
                  <wp:extent cx="5943600" cy="5943600"/>
                  <wp:effectExtent b="0" l="0" r="0" t="0"/>
                  <wp:docPr descr="" title="" id="49" name="Picture"/>
                  <a:graphic>
                    <a:graphicData uri="http://schemas.openxmlformats.org/drawingml/2006/picture">
                      <pic:pic>
                        <pic:nvPicPr>
                          <pic:cNvPr descr="manuscript_files/figure-docx/fig-epreds-oxf-1.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Posterior mean predictions of the time course of target fixation in the test phase. Thin lines represent 100 individual posterior predictions. Thick lines indicate the mean of the posterior predictions. B) Posterior mean prediction of the time course of the differences in target looking time between conditions. Thin lines represent 100 individual posterior predictions. Black lines indicate the mean of the posterior predictions.</w:t>
            </w:r>
          </w:p>
          <w:bookmarkEnd w:id="51"/>
        </w:tc>
      </w:tr>
    </w:tbl>
    <w:bookmarkEnd w:id="52"/>
    <w:bookmarkStart w:id="54" w:name="age-and-vocabulary-size-effects"/>
    <w:p>
      <w:pPr>
        <w:pStyle w:val="Heading3"/>
      </w:pPr>
      <w:r>
        <w:t xml:space="preserve">Age and vocabulary size effects</w:t>
      </w:r>
    </w:p>
    <w:p>
      <w:pPr>
        <w:pStyle w:val="FirstParagraph"/>
      </w:pPr>
      <w:r>
        <w:t xml:space="preserve">To test our hypotheses regarding the role of age, dominant-language vocabulary size, and total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 all main effects involved. We compared the models using one-out cross-validation (LOO-CV) as a benchmark of model performance, using a Pareto-smoothed importance sampling (PSIS) approximation</w:t>
      </w:r>
      <w:r>
        <w:t xml:space="preserve"> </w:t>
      </w:r>
      <w:r>
        <w:t xml:space="preserve">(</w:t>
      </w:r>
      <w:hyperlink w:anchor="ref-vehtari2017practical">
        <w:r>
          <w:rPr>
            <w:rStyle w:val="Hyperlink"/>
          </w:rPr>
          <w:t xml:space="preserve">Vehtari et al., 2017</w:t>
        </w:r>
      </w:hyperlink>
      <w:r>
        <w:t xml:space="preserve">)</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L1 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53"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(L1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53"/>
    <w:bookmarkEnd w:id="54"/>
    <w:bookmarkEnd w:id="55"/>
    <w:bookmarkStart w:id="56" w:name="discussion"/>
    <w:p>
      <w:pPr>
        <w:pStyle w:val="Heading2"/>
      </w:pPr>
      <w:r>
        <w:t xml:space="preserve">Discussion</w:t>
      </w:r>
    </w:p>
    <w:p>
      <w:pPr>
        <w:pStyle w:val="FirstParagraph"/>
      </w:pPr>
      <w:r>
        <w:t xml:space="preserve">In this study, we attempted to replicate the original study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using an extension of the implicit naming paradigm. adapted to the bilingual case. The main divergence between both implementations was the order in which target labels and target-distractor picture pairs were presented. In the original study, participants were presented with the target and distractor pictures immediately after the prime picture and the target auditory label was presented 2,000 ms after the onset of the prime and distractor pictures. In our adaptation of the paradigm, we presented the target auditory label immediately after the prime picture, before the target and distractor pictures were displayed in the screen. We then presented the target and distractor pictures 700 ms after the onset of the target label. The rationale behind this modification was to maximise the probability of observing any priming effects. By presenting the prime picture and the auditory target labels closer in time, the prime word might have a higher chance to influence the lexical selection of the target word. By testing a sample English monolingual infants with equivalent demographic and linguistic characteristics to the original studies, we expected to set a baseline to later compare bilingual infants in Study 2 against.</w:t>
      </w:r>
    </w:p>
    <w:p>
      <w:pPr>
        <w:pStyle w:val="BodyText"/>
      </w:pPr>
      <w:r>
        <w:t xml:space="preserve">Although we found strong evidence of successful word recognition across participants of all ages, results did not provide any evidence in favour of phonological priming. English monolingual participants from all ages showed an equivalent pattern of target looking in both related (</w:t>
      </w:r>
      <w:r>
        <w:rPr>
          <w:iCs/>
          <w:i/>
        </w:rPr>
        <w:t xml:space="preserve">Related/Cognate</w:t>
      </w:r>
      <w:r>
        <w:t xml:space="preserve"> </w:t>
      </w:r>
      <w:r>
        <w:t xml:space="preserve">and</w:t>
      </w:r>
      <w:r>
        <w:t xml:space="preserve"> </w:t>
      </w:r>
      <w:r>
        <w:rPr>
          <w:iCs/>
          <w:i/>
        </w:rPr>
        <w:t xml:space="preserve">Related/Non-cognate</w:t>
      </w:r>
      <w:r>
        <w:t xml:space="preserve">) and</w:t>
      </w:r>
      <w:r>
        <w:t xml:space="preserve"> </w:t>
      </w:r>
      <w:r>
        <w:rPr>
          <w:iCs/>
          <w:i/>
        </w:rPr>
        <w:t xml:space="preserve">Unrelated</w:t>
      </w:r>
      <w:r>
        <w:t xml:space="preserve"> </w:t>
      </w:r>
      <w:r>
        <w:t xml:space="preserve">trials. The absence of a phonological priming effect suggest that either English monolinguals did not generate implicit labels for the prime pictures presented in silence, or that, if generated, such labels did not interact with the subsequent recognition of the target word. Both candidate explanations conflict with both Mani and Plunkett’s studies, and also with previous studies suggesting that infants 12-months and older already generate internal labels when presented with pictures of familiar objects</w:t>
      </w:r>
      <w:r>
        <w:t xml:space="preserve"> </w:t>
      </w:r>
      <w:r>
        <w:t xml:space="preserve">(</w:t>
      </w:r>
      <w:hyperlink w:anchor="ref-duta2012erp">
        <w:r>
          <w:rPr>
            <w:rStyle w:val="Hyperlink"/>
          </w:rPr>
          <w:t xml:space="preserve">Duta et al., 2012</w:t>
        </w:r>
      </w:hyperlink>
      <w:r>
        <w:t xml:space="preserve">;</w:t>
      </w:r>
      <w:r>
        <w:t xml:space="preserve"> </w:t>
      </w:r>
      <w:hyperlink w:anchor="ref-styles2015infant">
        <w:r>
          <w:rPr>
            <w:rStyle w:val="Hyperlink"/>
          </w:rPr>
          <w:t xml:space="preserve">Styles et al., 2015</w:t>
        </w:r>
      </w:hyperlink>
      <w:r>
        <w:t xml:space="preserve">)</w:t>
      </w:r>
      <w:r>
        <w:t xml:space="preserve">.</w:t>
      </w:r>
    </w:p>
    <w:p>
      <w:pPr>
        <w:pStyle w:val="BodyText"/>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w:t>
      </w:r>
      <w:hyperlink w:anchor="ref-fernald1998rapid">
        <w:r>
          <w:rPr>
            <w:rStyle w:val="Hyperlink"/>
          </w:rPr>
          <w:t xml:space="preserve">Fernald et al., 1998</w:t>
        </w:r>
      </w:hyperlink>
      <w:r>
        <w:t xml:space="preserve">;</w:t>
      </w:r>
      <w:r>
        <w:t xml:space="preserve"> </w:t>
      </w:r>
      <w:hyperlink w:anchor="ref-marchman2008speed">
        <w:r>
          <w:rPr>
            <w:rStyle w:val="Hyperlink"/>
          </w:rPr>
          <w:t xml:space="preserve">Marchman &amp; Fernald, 2008</w:t>
        </w:r>
      </w:hyperlink>
      <w:r>
        <w:t xml:space="preserve">)</w:t>
      </w:r>
      <w:r>
        <w:t xml:space="preserve">, and stronger phonological priming effects in children with larger vocabulary sizes</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Overall, the outcomes of the Study 1 point to the absence of phonological priming effects in English monolingual toddlers, in contrast with previous studies. We discuss further candidate explanations for these results, and their implications for the lexical development literature in the General discussion.</w:t>
      </w:r>
    </w:p>
    <w:bookmarkEnd w:id="56"/>
    <w:bookmarkEnd w:id="57"/>
    <w:bookmarkStart w:id="73" w:name="study-2"/>
    <w:p>
      <w:pPr>
        <w:pStyle w:val="Heading1"/>
      </w:pPr>
      <w:r>
        <w:t xml:space="preserve">Study 2</w:t>
      </w:r>
    </w:p>
    <w:p>
      <w:pPr>
        <w:pStyle w:val="FirstParagraph"/>
      </w:pPr>
      <w:r>
        <w:t xml:space="preserve">Due to time constraints induced by the COVID-19 lockdown between 2020 an 2021, data collection in Study 1 and Study 2 was conducted simultaneously. In this study, we present data for monolinguals and bilinguals tested in Barcelona.</w:t>
      </w:r>
    </w:p>
    <w:bookmarkStart w:id="62" w:name="methods-1"/>
    <w:p>
      <w:pPr>
        <w:pStyle w:val="Heading2"/>
      </w:pPr>
      <w:r>
        <w:t xml:space="preserve">Methods</w:t>
      </w:r>
    </w:p>
    <w:bookmarkStart w:id="58" w:name="participants-1"/>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80 as Catalan/Spanish bilinguals (34 female, 48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BodyText"/>
      </w:pPr>
      <w:r>
        <w:t xml:space="preserve">We collected vocabulary data using parental responses to the Barcelona Vocabulary Inventory</w:t>
      </w:r>
      <w:r>
        <w:t xml:space="preserve"> </w:t>
      </w:r>
      <w:r>
        <w:t xml:space="preserve">(BVQ,</w:t>
      </w:r>
      <w:r>
        <w:t xml:space="preserve"> </w:t>
      </w:r>
      <w:hyperlink w:anchor="ref-garcia-castro2023bvq">
        <w:r>
          <w:rPr>
            <w:rStyle w:val="Hyperlink"/>
          </w:rPr>
          <w:t xml:space="preserve">Garcia-Castro, Ávila-Varela, et al., 2023</w:t>
        </w:r>
      </w:hyperlink>
      <w:r>
        <w:t xml:space="preserve">)</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Families received a link to the BVQ immediately after each experimental session, and were given two weeks to fill it. We calculated two measures of receptive vocabulary size for each participant:</w:t>
      </w:r>
      <w:r>
        <w:t xml:space="preserve"> </w:t>
      </w:r>
      <w:r>
        <w:rPr>
          <w:iCs/>
          <w:i/>
        </w:rPr>
        <w:t xml:space="preserve">L1 vocabulary size</w:t>
      </w:r>
      <w:r>
        <w:t xml:space="preserve"> </w:t>
      </w:r>
      <w:r>
        <w:t xml:space="preserve">(proportion of words reported as acquired in the checklist of the dominant language), and</w:t>
      </w:r>
      <w:r>
        <w:t xml:space="preserve"> </w:t>
      </w:r>
      <w:r>
        <w:rPr>
          <w:iCs/>
          <w:i/>
        </w:rPr>
        <w:t xml:space="preserve">total vocabulary size</w:t>
      </w:r>
      <w:r>
        <w:t xml:space="preserve"> </w:t>
      </w:r>
      <w:r>
        <w:t xml:space="preserve">(proportion of the words in both checklists reported as acquired). One hundred thirty-two (49%) families failed to provide a complete response to the BVQ within the two-week time limit. We imputed missing vocabulary size scores using single imputation, taking the vocabulary size scores of a pool of 586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 (see Appendix B).</w:t>
      </w:r>
    </w:p>
    <w:bookmarkEnd w:id="58"/>
    <w:bookmarkStart w:id="59" w:name="stimuli-1"/>
    <w:p>
      <w:pPr>
        <w:pStyle w:val="Heading3"/>
      </w:pPr>
      <w:r>
        <w:t xml:space="preserve">Stimuli</w:t>
      </w:r>
    </w:p>
    <w:p>
      <w:pPr>
        <w:pStyle w:val="FirstParagraph"/>
      </w:pPr>
      <w:r>
        <w:t xml:space="preserve">For Study 2, we created six stimuli lists: three in Catalan, and three in Spanish. Lists were created following the same constraints as in Study 1, but now considering the cross-linguistic phonological relationship between Catalan and Spanish, instead of English and Spanish. Extracting lexical frequencies from the Catalan and Spanish corpora in the CHILDES database was not possible, given the low number of participants and tokens included in them. Instead, we mapped the English lexical frequencies onto their Catalan and Spanish translation equivalents</w:t>
      </w:r>
      <w:r>
        <w:t xml:space="preserve"> </w:t>
      </w:r>
      <w:r>
        <w:t xml:space="preserve">Garcia-Castro, Avila-Varela, et al. (</w:t>
      </w:r>
      <w:hyperlink w:anchor="ref-garcia2023cognate">
        <w:r>
          <w:rPr>
            <w:rStyle w:val="Hyperlink"/>
          </w:rPr>
          <w:t xml:space="preserve">2023</w:t>
        </w:r>
      </w:hyperlink>
      <w:r>
        <w:t xml:space="preserve">)</w:t>
      </w:r>
      <w:r>
        <w:t xml:space="preserve">. The auditory stimuli were natural exemplars of the selected target words, spoken by a Southern British English female speaker who was instructed to pronounce each word in a toddler-directed manner. New visual stimuli were created to accommodate the words included in the new stimuli lists, and possible cultural differences in the typicality of the exemplars shown in the pictures.</w:t>
      </w:r>
    </w:p>
    <w:bookmarkEnd w:id="59"/>
    <w:bookmarkStart w:id="60" w:name="procedure"/>
    <w:p>
      <w:pPr>
        <w:pStyle w:val="Heading3"/>
      </w:pPr>
      <w:r>
        <w:t xml:space="preserve">Procedure</w:t>
      </w:r>
    </w:p>
    <w:p>
      <w:pPr>
        <w:pStyle w:val="FirstParagraph"/>
      </w:pPr>
      <w:r>
        <w:t xml:space="preserve">Same as in Study 1. We used a custom Matlab XXXX script using the PsychToolbox-3 extension to present the stimuli, and the Tobii Analytics SDK 3.0 to interact with the eye-tracking while the experiment was running.</w:t>
      </w:r>
    </w:p>
    <w:bookmarkEnd w:id="60"/>
    <w:bookmarkStart w:id="61" w:name="data-analysis-1"/>
    <w:p>
      <w:pPr>
        <w:pStyle w:val="Heading3"/>
      </w:pPr>
      <w:r>
        <w:t xml:space="preserve">Data analysis</w:t>
      </w:r>
    </w:p>
    <w:p>
      <w:pPr>
        <w:pStyle w:val="FirstParagraph"/>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BodyText"/>
      </w:pPr>
      <w:r>
        <w:t xml:space="preserve">After excluding trials that matched any of the aforementioned criteria from the dataset,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32), and participants with a L1 vocabulary size lower than 10% (</w:t>
      </w:r>
      <w:r>
        <w:rPr>
          <w:iCs/>
          <w:i/>
        </w:rPr>
        <w:t xml:space="preserve">n</w:t>
      </w:r>
      <w:r>
        <w:t xml:space="preserve"> </w:t>
      </w:r>
      <w:r>
        <w:t xml:space="preserve">= 3). The final dataset included 5,019 trials from 237 testing sessions, generated by 150 distinct participants. Of those participants, 82 provided data from one experimental session, 49 provided data from two experimental sessions, and 19 provided data from three experimental sessions.</w:t>
      </w:r>
      <w:r>
        <w:t xml:space="preserve"> </w:t>
      </w:r>
      <w:r>
        <w:rPr>
          <w:bCs/>
          <w:b/>
        </w:rPr>
        <w:t xml:space="preserve">?@tbl-attrition</w:t>
      </w:r>
      <w:r>
        <w:t xml:space="preserve"> </w:t>
      </w:r>
      <w:r>
        <w:t xml:space="preserve">shows a detailed description of the trial attrition.</w:t>
      </w:r>
    </w:p>
    <w:p>
      <w:pPr>
        <w:pStyle w:val="BodyText"/>
      </w:pPr>
      <w:r>
        <w:t xml:space="preserve">We modelled the data following a similar approach as in Study 1, with the main difference that participants’ language profile (</w:t>
      </w:r>
      <w:r>
        <w:rPr>
          <w:iCs/>
          <w:i/>
        </w:rPr>
        <w:t xml:space="preserve">Group</w:t>
      </w:r>
      <w:r>
        <w:t xml:space="preserve">) was now included as a predictor in the model.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w:t>
      </w:r>
    </w:p>
    <w:bookmarkEnd w:id="61"/>
    <w:bookmarkEnd w:id="62"/>
    <w:bookmarkStart w:id="71" w:name="results-1"/>
    <w:p>
      <w:pPr>
        <w:pStyle w:val="Heading2"/>
      </w:pPr>
      <w:r>
        <w:t xml:space="preserve">Results</w:t>
      </w:r>
    </w:p>
    <w:bookmarkStart w:id="68" w:name="priming-effects-1"/>
    <w:p>
      <w:pPr>
        <w:pStyle w:val="Heading3"/>
      </w:pPr>
      <w:r>
        <w:t xml:space="preserve">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0.219, 95% HDI = [0.179, 0.260]),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0.021, 95% HDI = [-0.016, 0.060]),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-0.010, 95% HDI = [-0.087, 0.077]) and completely overlapped with the ROPE, indicating an equivalent overall target preference in monolinguals and bilinguals,</w:t>
      </w:r>
    </w:p>
    <w:p>
      <w:pPr>
        <w:pStyle w:val="BodyText"/>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[-0.032, 0.144]), and 75.18%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-0.015, 95% HDI = [-0.120, 0.098]), and 90.67%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-0.009, 95% HDI = [-0.208, 0.153]), with 55.26%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0.090, 95% HDI = [-0.127, 0.294]), and 75.18% of its posterior samples fell within the ROPE. The outcomes of this model provide strong evidence against differences between monolinguals and monolinguals, and inconclusive evidence for differences in overall target looking time across conditions.</w:t>
      </w:r>
    </w:p>
    <w:bookmarkStart w:id="63" w:name="tbl-coefs"/>
    <w:p>
      <w:pPr>
        <w:pStyle w:val="BodyText"/>
      </w:pPr>
      <w:r>
        <w:rPr>
          <w:bCs/>
          <w:b/>
        </w:rPr>
        <w:t xml:space="preserve">?(caption)</w:t>
      </w:r>
    </w:p>
    <w:bookmarkEnd w:id="63"/>
    <w:p>
      <w:pPr>
        <w:pStyle w:val="BodyText"/>
      </w:pPr>
      <w:r>
        <w:t xml:space="preserve">An analysis of the time course of target looking revealed a similar pattern of results (see</w:t>
      </w:r>
      <w:r>
        <w:t xml:space="preserve"> </w:t>
      </w:r>
      <w:hyperlink w:anchor="fig-epreds">
        <w:r>
          <w:rPr>
            <w:rStyle w:val="Hyperlink"/>
          </w:rPr>
          <w:t xml:space="preserve">Figure 5</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67" w:name="fig-epreds"/>
          <w:p>
            <w:pPr>
              <w:jc w:val="center"/>
            </w:pPr>
            <w:r>
              <w:drawing>
                <wp:inline>
                  <wp:extent cx="5943600" cy="5943600"/>
                  <wp:effectExtent b="0" l="0" r="0" t="0"/>
                  <wp:docPr descr="" title="" id="65" name="Picture"/>
                  <a:graphic>
                    <a:graphicData uri="http://schemas.openxmlformats.org/drawingml/2006/picture">
                      <pic:pic>
                        <pic:nvPicPr>
                          <pic:cNvPr descr="manuscript_files/figure-docx/fig-epreds-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Marginal posterior mean predictions. A) Posterior mean predictions of the time course of target fixation in the test phase. B) Posterior mean prediction of the time course of the differences in target looking time between conditions. Lines and intervals indicate the mean and 95% credible interval of the posterior predictions. Red lines indicate the region of practial equivalence (ROPE).</w:t>
            </w:r>
          </w:p>
          <w:bookmarkEnd w:id="67"/>
        </w:tc>
      </w:tr>
    </w:tbl>
    <w:bookmarkEnd w:id="68"/>
    <w:bookmarkStart w:id="70" w:name="age-and-vocabulary-size-effects-1"/>
    <w:p>
      <w:pPr>
        <w:pStyle w:val="Heading3"/>
      </w:pPr>
      <w:r>
        <w:t xml:space="preserve">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69"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(L1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3 (Total vocabulary)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-20,594.42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r>
      <w:tr>
        <w:trPr>
          <w:cantSplit/>
        </w:trPr>
        <w:tc>
          <w:tcPr>
            <w:gridSpan w:val="5"/>
          </w:tcPr>
          <w:p>
            <w:pPr>
              <w:spacing w:before="0" w:after="60"/>
              <w:keepNext/>
            </w:pPr>
            <w:r>
              <w:rPr>
                <w:rFonts w:ascii="Calibri" w:hAnsi="Calibri"/>
                <w:sz w:val="20"/>
              </w:rPr>
              <w:t xml:space="default">*ELPD*: sum of expected log pointwise predictive density for a new dataset.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69"/>
    <w:bookmarkEnd w:id="70"/>
    <w:bookmarkEnd w:id="71"/>
    <w:bookmarkStart w:id="72" w:name="discussion-1"/>
    <w:p>
      <w:pPr>
        <w:pStyle w:val="Heading2"/>
      </w:pPr>
      <w:r>
        <w:t xml:space="preserve">Discussion</w:t>
      </w:r>
    </w:p>
    <w:p>
      <w:pPr>
        <w:pStyle w:val="FirstParagraph"/>
      </w:pPr>
      <w:r>
        <w:t xml:space="preserve">In Study 2, tested a sample of 20-to-32-months-old bilinguals in our adaptation of the implicit naming paradigm to investigate the potential role of within- and cross-language phonological priming. We also tested a same aged monolingual control. As in Study 1, we within-language priming effects in both</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as the result of the phonological similarity between the prime and target labels in the language of test. This would suggest that participants lexicalised the prime pictures (presented in silence), and that the resulting word interacted with the auditory recognition of the subsequently presented target label. We also predicted bilingual participants to lexicalise the prime picture in both languages in parallel, in line with the language non-selective hypothesis of lexical access. If this was the case, participants should show differences in target looking between</w:t>
      </w:r>
      <w:r>
        <w:t xml:space="preserve"> </w:t>
      </w:r>
      <w:r>
        <w:rPr>
          <w:iCs/>
          <w:i/>
        </w:rPr>
        <w:t xml:space="preserve">Related/Non-cognate</w:t>
      </w:r>
      <w:r>
        <w:t xml:space="preserve"> </w:t>
      </w:r>
      <w:r>
        <w:t xml:space="preserve">trials—in which the target word shared phonological onset with only the prime label in the test language—and</w:t>
      </w:r>
      <w:r>
        <w:t xml:space="preserve"> </w:t>
      </w:r>
      <w:r>
        <w:rPr>
          <w:iCs/>
          <w:i/>
        </w:rPr>
        <w:t xml:space="preserve">Related/Cognate</w:t>
      </w:r>
      <w:r>
        <w:t xml:space="preserve"> </w:t>
      </w:r>
      <w:r>
        <w:t xml:space="preserve">trials—in which the target label also shared phonological overlap with the prime label in the other language.</w:t>
      </w:r>
    </w:p>
    <w:p>
      <w:pPr>
        <w:pStyle w:val="BodyText"/>
      </w:pPr>
      <w:r>
        <w:t xml:space="preserve">Paralleling the results from Study 1 participant’ looking behaviour suggested robust word recognition, regardless of experimental condition, participant language profile, age, or vocabulary size. Overall, participants’ performance was equivalent across all priming conditions suggesting that no phonological priming took place within or across languages in either monolinguals or bilinguals. These results conflict with previous findings in several ways. First, and as discussed in the Discussion section of Study 1, previous investigations using implicit naming paradigms had found evidence of within-language priming effects in same-aged monolinguals learning English (and younger). In this study monolingual infants learning Catalan or Spanish did not show evidence of such priming effect, as suggested by their equivalent target looking behaviour in both</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Given that English monolinguals in Study 1 did not show priming effects either, it cannot be concluded that the diverging results from Study 2 and those available in the literature are due to cross-language differences between Catalan and Spanish, and English.</w:t>
      </w:r>
    </w:p>
    <w:p>
      <w:pPr>
        <w:pStyle w:val="BodyText"/>
      </w:pPr>
      <w:r>
        <w:t xml:space="preserve">Second, our results are also in contrast with the non-selective account of lexical access. Bilinguals in Study 1 did not show evidence of cross-language priming, as suggested by the lack of differences in target looking between</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Under the non-selective account, we had predicted bilinguals in this study to lexicalise the prime pictures in both languages, which should have exerted a stronger priming effect on target recognition in</w:t>
      </w:r>
      <w:r>
        <w:t xml:space="preserve"> </w:t>
      </w:r>
      <w:r>
        <w:rPr>
          <w:iCs/>
          <w:i/>
        </w:rPr>
        <w:t xml:space="preserve">Related/Cognate</w:t>
      </w:r>
      <w:r>
        <w:t xml:space="preserve"> </w:t>
      </w:r>
      <w:r>
        <w:t xml:space="preserve">trials than in</w:t>
      </w:r>
      <w:r>
        <w:t xml:space="preserve"> </w:t>
      </w:r>
      <w:r>
        <w:rPr>
          <w:iCs/>
          <w:i/>
        </w:rPr>
        <w:t xml:space="preserve">Related/Non-cognate trials</w:t>
      </w:r>
      <w:r>
        <w:t xml:space="preserve">. Overall, results in Study 2 did not provide evidence of phonological priming effects in monolingual and bilingual infant learning Catalan and Spanish.</w:t>
      </w:r>
    </w:p>
    <w:bookmarkEnd w:id="72"/>
    <w:bookmarkEnd w:id="73"/>
    <w:bookmarkStart w:id="74" w:name="general-discussion"/>
    <w:p>
      <w:pPr>
        <w:pStyle w:val="Heading1"/>
      </w:pPr>
      <w:r>
        <w:t xml:space="preserve">General discussion</w:t>
      </w:r>
    </w:p>
    <w:p>
      <w:pPr>
        <w:pStyle w:val="FirstParagraph"/>
      </w:pPr>
      <w:r>
        <w:t xml:space="preserve">In this paper,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w:t>
      </w:r>
      <w:r>
        <w:t xml:space="preserve"> </w:t>
      </w:r>
      <w:r>
        <w:rPr>
          <w:iCs/>
          <w:i/>
        </w:rPr>
        <w:t xml:space="preserve">Unrelated</w:t>
      </w:r>
      <w:r>
        <w:t xml:space="preserve"> </w:t>
      </w:r>
      <w:r>
        <w:t xml:space="preserve">trials, prime and target were phonologically unrelated in both languages. In</w:t>
      </w:r>
      <w:r>
        <w:t xml:space="preserve"> </w:t>
      </w:r>
      <w:r>
        <w:rPr>
          <w:iCs/>
          <w:i/>
        </w:rPr>
        <w:t xml:space="preserve">Related/Non-cognate</w:t>
      </w:r>
      <w:r>
        <w:t xml:space="preserve"> </w:t>
      </w:r>
      <w:r>
        <w:t xml:space="preserve">trials, prime and target labels shared phonological onset only in the dominant language of participants, in which they were tested. In</w:t>
      </w:r>
      <w:r>
        <w:t xml:space="preserve"> </w:t>
      </w:r>
      <w:r>
        <w:rPr>
          <w:iCs/>
          <w:i/>
        </w:rPr>
        <w:t xml:space="preserve">Related/Cognate</w:t>
      </w:r>
      <w:r>
        <w:t xml:space="preserve"> </w:t>
      </w:r>
      <w:r>
        <w:t xml:space="preserve">trials, the prime label was a cognate: prime and target labels shared phonological onset in both languages. In Study 1, we attempted to replicate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in a same-aged English monolingual cohort. We found a null pattern of results in which we did not find any evidence of phonological priming. In Study 2, we tested a cohort of monolingual and bilingual infants learning Catalan, Spanish, or both, and found similar results, with no evidence of phonological priming effect in either monolinguals or bilinguals. In none neither study was participants’ word recognition influenced by their age or vocabulary size.</w:t>
      </w:r>
    </w:p>
    <w:p>
      <w:pPr>
        <w:pStyle w:val="BodyText"/>
      </w:pPr>
      <w:r>
        <w:t xml:space="preserve">Previous studies on word recognition had provided evidence phonological priming effects in English monolingual infants 18-month-old and older.</w:t>
      </w:r>
      <w:r>
        <w:t xml:space="preserve"> </w:t>
      </w:r>
      <w:r>
        <w:t xml:space="preserve">Mani &amp; Plunkett (</w:t>
      </w:r>
      <w:hyperlink w:anchor="ref-mani2010infant">
        <w:r>
          <w:rPr>
            <w:rStyle w:val="Hyperlink"/>
          </w:rPr>
          <w:t xml:space="preserve">2010</w:t>
        </w:r>
      </w:hyperlink>
      <w:r>
        <w:t xml:space="preserve">)</w:t>
      </w:r>
      <w:r>
        <w:t xml:space="preserve"> </w:t>
      </w:r>
      <w:r>
        <w:t xml:space="preserve">had shown a facilitation effect in word recognition when 18-month-olds were previously presented with a familiar picture whose label shared phonological onset with the target word.</w:t>
      </w:r>
      <w:r>
        <w:t xml:space="preserve"> </w:t>
      </w:r>
      <w:r>
        <w:t xml:space="preserve">Mani &amp; Plunkett (</w:t>
      </w:r>
      <w:hyperlink w:anchor="ref-mani2011phonological">
        <w:r>
          <w:rPr>
            <w:rStyle w:val="Hyperlink"/>
          </w:rPr>
          <w:t xml:space="preserve">2011</w:t>
        </w:r>
      </w:hyperlink>
      <w:r>
        <w:t xml:space="preserve">)</w:t>
      </w:r>
      <w:r>
        <w:t xml:space="preserve"> </w:t>
      </w:r>
      <w:r>
        <w:t xml:space="preserve">extended these results to 21-month-olds, showing an effect in the opposite direction: phonologically related primes interfered with target word recognition. The results from both studies suggested that participants lexicalised the prime pictures—even if presented in silence—and that the resulting phonological form interacted with subsequent auditory word recognition. The shift from facilitation at 18 months to inhibition at 21 months was interpreted as a shift from sub-lexical facilitation at the phonetic level. The authors suggested that at 18 months, target word recognition was facilitated by the prior activation of an overlapping set of phonological segments. At older ages, participants with larger vocabulary sizes showed an interference effect generated by the increased size of the prime cohort, which led to slower selection of the phonologically related target word. This last conclusion was supported by the fact that the size of the interference effect was associated with the increase in participants’ vocabulary size, and also with the cohort size of the prime label—primes belonging to a larger neighbourhood of phonologically related words were subject to stronger interference effects during the task.</w:t>
      </w:r>
    </w:p>
    <w:p>
      <w:pPr>
        <w:pStyle w:val="BodyText"/>
      </w:pPr>
      <w:r>
        <w:t xml:space="preserve">Even earlier evidence of implicit naming had been provided through electrophysiological measurements at 14 months of age.</w:t>
      </w:r>
      <w:r>
        <w:t xml:space="preserve"> </w:t>
      </w:r>
      <w:r>
        <w:t xml:space="preserve">Duta et al. (</w:t>
      </w:r>
      <w:hyperlink w:anchor="ref-duta2012erp">
        <w:r>
          <w:rPr>
            <w:rStyle w:val="Hyperlink"/>
          </w:rPr>
          <w:t xml:space="preserve">2012</w:t>
        </w:r>
      </w:hyperlink>
      <w:r>
        <w:t xml:space="preserve">)</w:t>
      </w:r>
      <w:r>
        <w:t xml:space="preserve"> </w:t>
      </w:r>
      <w:r>
        <w:t xml:space="preserve">presented name-known pictures in silence for one second. After one second, the picture’s label was auditorily presented, and the infants’ N400 component was registered. In some trials the auditory label corresponded to a canonical realisation of the word-form. In other trials, the word was mispronounced. Infants ERP signal differed when presented with correct pronunciations or mispronunciations, indicating that infants had generated expectations at the phonological level about the auditory labels of the picture before they were presented with its auditory label. A later study by</w:t>
      </w:r>
      <w:r>
        <w:t xml:space="preserve"> </w:t>
      </w:r>
      <w:r>
        <w:t xml:space="preserve">Styles et al. (</w:t>
      </w:r>
      <w:hyperlink w:anchor="ref-styles2015infant">
        <w:r>
          <w:rPr>
            <w:rStyle w:val="Hyperlink"/>
          </w:rPr>
          <w:t xml:space="preserve">2015</w:t>
        </w:r>
      </w:hyperlink>
      <w:r>
        <w:t xml:space="preserve">)</w:t>
      </w:r>
      <w:r>
        <w:t xml:space="preserve"> </w:t>
      </w:r>
      <w:r>
        <w:t xml:space="preserve">re-analysed the first 1,000 ms of the trials in the previous study (while the picture was being presented before the auditory label was presented), and found that the ERPs of name-known pictures (according to parental reports of receptive vocabulary) differed from those of name-unknown pictures (which infants would not be able to lexicalise). This provides further support to the account that at around 14 months of age, infants already name familiar pictures, even if presented in silence. Evidence of implicit naming in bilinguals is, however, scarce.</w:t>
      </w:r>
    </w:p>
    <w:p>
      <w:pPr>
        <w:pStyle w:val="BodyText"/>
      </w:pPr>
      <w:r>
        <w:t xml:space="preserve">To our knowledge, only one study has used an implicit naming paradigm to study cross-language priming in bilinguals.</w:t>
      </w:r>
      <w:r>
        <w:t xml:space="preserve"> </w:t>
      </w:r>
      <w:r>
        <w:t xml:space="preserve">Von Holzen &amp; Mani (</w:t>
      </w:r>
      <w:hyperlink w:anchor="ref-von2014bilinguals">
        <w:r>
          <w:rPr>
            <w:rStyle w:val="Hyperlink"/>
          </w:rPr>
          <w:t xml:space="preserve">2014</w:t>
        </w:r>
      </w:hyperlink>
      <w:r>
        <w:t xml:space="preserve">)</w:t>
      </w:r>
      <w:r>
        <w:t xml:space="preserve"> </w:t>
      </w:r>
      <w:r>
        <w:t xml:space="preserve">adapted</w:t>
      </w:r>
      <w:r>
        <w:t xml:space="preserve"> </w:t>
      </w:r>
      <w:r>
        <w:t xml:space="preserve">Mani &amp; Plunkett (</w:t>
      </w:r>
      <w:hyperlink w:anchor="ref-mani2010infant">
        <w:r>
          <w:rPr>
            <w:rStyle w:val="Hyperlink"/>
          </w:rPr>
          <w:t xml:space="preserve">2010</w:t>
        </w:r>
      </w:hyperlink>
      <w:r>
        <w:t xml:space="preserve">)</w:t>
      </w:r>
      <w:r>
        <w:t xml:space="preserve"> </w:t>
      </w:r>
      <w:r>
        <w:t xml:space="preserve">procedure to test German-English bilingual adults. The authors manipulated the phonological overlap between the prime label in English (presented in silence) and a German target (auditorily presented) in both German and English. Participants’ evoked potentials revealed differences between trials in which the German prime label overlapped phonologically with the English target label, compared to trials in which none of the labels overlapped. These results suggest that adult bilinguals implicitly named prime pictures, and that the resulting label interacted with subsequent word recognition.</w:t>
      </w:r>
    </w:p>
    <w:p>
      <w:pPr>
        <w:pStyle w:val="BodyText"/>
      </w:pPr>
      <w:r>
        <w:t xml:space="preserve">In contrast with previous studies in monolingual infants, and bilingual adults, we found no evidence of implicit naming was found. We consider three scenarios under which implicit naming might have occurred, in line with previous literature,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 and bilinguals have been shown to encode lexical representations with high phonological detail from early ages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ramon2009vowel">
        <w:r>
          <w:rPr>
            <w:rStyle w:val="Hyperlink"/>
          </w:rPr>
          <w:t xml:space="preserve">Ramon-Casas et al., 2009</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6measuring">
        <w:r>
          <w:rPr>
            <w:rStyle w:val="Hyperlink"/>
          </w:rPr>
          <w:t xml:space="preserve">Tamási et al., 2016</w:t>
        </w:r>
      </w:hyperlink>
      <w:r>
        <w:t xml:space="preserve">,</w:t>
      </w:r>
      <w:r>
        <w:t xml:space="preserve"> </w:t>
      </w:r>
      <w:hyperlink w:anchor="ref-tamasi2017pupillometry">
        <w:r>
          <w:rPr>
            <w:rStyle w:val="Hyperlink"/>
          </w:rPr>
          <w:t xml:space="preserve">2017</w:t>
        </w:r>
      </w:hyperlink>
      <w:r>
        <w:t xml:space="preserve">)</w:t>
      </w:r>
      <w:r>
        <w:t xml:space="preserve">.</w:t>
      </w:r>
    </w:p>
    <w:p>
      <w:pPr>
        <w:pStyle w:val="BodyText"/>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w:t>
      </w:r>
    </w:p>
    <w:p>
      <w:pPr>
        <w:pStyle w:val="BodyText"/>
      </w:pPr>
      <w:r>
        <w:t xml:space="preserve">Third, it is possible that the modifications of the implicit naming task in the present investigation might have reduce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Further research should investigate the role of prime-target inter-stimulus interval on the time course of lexical access and selection in toddlers.</w:t>
      </w:r>
    </w:p>
    <w:p>
      <w:pPr>
        <w:pStyle w:val="BodyText"/>
      </w:pPr>
      <w:r>
        <w:t xml:space="preserve">The null pattern of results found in the present investigation would have important implications for current models of bilingual lexical development. Recent accounts of bilingual word acquisition pointed to a facilitative role of phonological similarity between the two languages. The findings reported by</w:t>
      </w:r>
      <w:r>
        <w:t xml:space="preserve"> </w:t>
      </w:r>
      <w:r>
        <w:t xml:space="preserve">Floccia et al. (</w:t>
      </w:r>
      <w:hyperlink w:anchor="ref-floccia2018vocabulary">
        <w:r>
          <w:rPr>
            <w:rStyle w:val="Hyperlink"/>
          </w:rPr>
          <w:t xml:space="preserve">2018</w:t>
        </w:r>
      </w:hyperlink>
      <w:r>
        <w:t xml:space="preserve">)</w:t>
      </w:r>
      <w:r>
        <w:t xml:space="preserve"> </w:t>
      </w:r>
      <w:r>
        <w:t xml:space="preserve">pointed to a language distance effect, in which bilinguals learning two lexically similar languages (sharing more cognates) knew more words in their less dominant language than those learning two language with lower lexical similarity. Later work by</w:t>
      </w:r>
      <w:r>
        <w:t xml:space="preserve"> </w:t>
      </w:r>
      <w:r>
        <w:t xml:space="preserve">Mitchell et al. (</w:t>
      </w:r>
      <w:hyperlink w:anchor="ref-mitchell2022cognates">
        <w:r>
          <w:rPr>
            <w:rStyle w:val="Hyperlink"/>
          </w:rPr>
          <w:t xml:space="preserve">2022</w:t>
        </w:r>
      </w:hyperlink>
      <w:r>
        <w:t xml:space="preserve">)</w:t>
      </w:r>
      <w:r>
        <w:t xml:space="preserve">,</w:t>
      </w:r>
      <w:r>
        <w:t xml:space="preserve"> </w:t>
      </w:r>
      <w:r>
        <w:t xml:space="preserve">Siow et al. (</w:t>
      </w:r>
      <w:hyperlink w:anchor="ref-siow2022effect">
        <w:r>
          <w:rPr>
            <w:rStyle w:val="Hyperlink"/>
          </w:rPr>
          <w:t xml:space="preserve">2022</w:t>
        </w:r>
      </w:hyperlink>
      <w:r>
        <w:t xml:space="preserve">)</w:t>
      </w:r>
      <w:r>
        <w:t xml:space="preserve">, and</w:t>
      </w:r>
      <w:r>
        <w:t xml:space="preserve"> </w:t>
      </w:r>
      <w:r>
        <w:t xml:space="preserve">Garcia-Castro, Avila-Varela, et al. (</w:t>
      </w:r>
      <w:hyperlink w:anchor="ref-garcia2023cognate">
        <w:r>
          <w:rPr>
            <w:rStyle w:val="Hyperlink"/>
          </w:rPr>
          <w:t xml:space="preserve">2023</w:t>
        </w:r>
      </w:hyperlink>
      <w:r>
        <w:t xml:space="preserve">)</w:t>
      </w:r>
      <w:r>
        <w:t xml:space="preserve"> </w:t>
      </w:r>
      <w:r>
        <w:t xml:space="preserve">provided evidence for a more direct facilitation effect of cognateness. The main candidate mechanism behind the cognateness facilitation effect in word acquisition is parallel activation: the co-activation of form-similar translation equivalents during linguistic exposure might lead to a faster accumulation of learning instances for cognate words, which ultimately results in an earlier age of acquisition. In the present study, we provide evidence against such cross-language effects during word recognition. These outcomes are not in line with parallel activation taking place during speech exposure in bilinguals. It is possible that the mechanisms involved in the cognate facilitation in bilingual word acquisition are not captured by the task used in the present study. The implicit naming task used in the present investigation might be tapping into lower-level functions, related to acoustic and phonological processing, that are related to—but not critical for—word acquisition. Future research should contemplate alternative mechanisms for the cognateness facilitation effect on bilingual lexical acquisition.</w:t>
      </w:r>
    </w:p>
    <w:p>
      <w:pPr>
        <w:pStyle w:val="BodyText"/>
      </w:pPr>
      <w:r>
        <w:t xml:space="preserve">The present study introduces several methodological contributions. First, this is, to our knowledge, the first study investigating cross-language priming using an implicit naming paradigm in toddlers. Second,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Third,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In summary, we tested the language non-selective hypothesis of lexical access in bilingual toddlers using an implicit naming paradigm. In Study 1, we did not find evidence of within-language or cross-language priming effects, suggesting that participants might have not generated covert labels for the prime pictures presented in silence. In Study 2, we attempted to replicated the original study showing evidence of implicit naming in younger infants, but found no evidence of such effects: monolingual infants did not show evidence of implicit naming. Overall, our results allude to more complex state of the investigation about early priming effects than anticipated from the literature.</w:t>
      </w:r>
    </w:p>
    <w:bookmarkEnd w:id="74"/>
    <w:bookmarkStart w:id="175" w:name="references"/>
    <w:p>
      <w:pPr>
        <w:pStyle w:val="Heading1"/>
      </w:pPr>
      <w:r>
        <w:t xml:space="preserve">References</w:t>
      </w:r>
    </w:p>
    <w:bookmarkStart w:id="174" w:name="refs"/>
    <w:bookmarkStart w:id="75"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75"/>
    <w:bookmarkStart w:id="76"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76"/>
    <w:bookmarkStart w:id="77"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p>
    <w:bookmarkEnd w:id="77"/>
    <w:bookmarkStart w:id="78"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78"/>
    <w:bookmarkStart w:id="79"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p>
    <w:bookmarkEnd w:id="79"/>
    <w:bookmarkStart w:id="80"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80"/>
    <w:bookmarkStart w:id="81"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81"/>
    <w:bookmarkStart w:id="82"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82"/>
    <w:bookmarkStart w:id="83"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83"/>
    <w:bookmarkStart w:id="84" w:name="ref-blom2020cross"/>
    <w:p>
      <w:pPr>
        <w:pStyle w:val="Bibliography"/>
      </w:pPr>
      <w:r>
        <w:t xml:space="preserve">Blom, E., Boerma, T., Bosma, E., Cornips, L., Heuij, K. van den, &amp; Timmermeister, M. (2020).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84"/>
    <w:bookmarkStart w:id="85" w:name="ref-bloom2002children"/>
    <w:p>
      <w:pPr>
        <w:pStyle w:val="Bibliography"/>
      </w:pPr>
      <w:r>
        <w:t xml:space="preserve">Bloom, P. (2002).</w:t>
      </w:r>
      <w:r>
        <w:t xml:space="preserve"> </w:t>
      </w:r>
      <w:r>
        <w:rPr>
          <w:iCs/>
          <w:i/>
        </w:rPr>
        <w:t xml:space="preserve">How children learn the meanings of words</w:t>
      </w:r>
      <w:r>
        <w:t xml:space="preserve">. MIT press.</w:t>
      </w:r>
    </w:p>
    <w:bookmarkEnd w:id="85"/>
    <w:bookmarkStart w:id="86"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86"/>
    <w:bookmarkStart w:id="87"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p>
    <w:bookmarkEnd w:id="87"/>
    <w:bookmarkStart w:id="88"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88"/>
    <w:bookmarkStart w:id="89"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p>
    <w:bookmarkEnd w:id="89"/>
    <w:bookmarkStart w:id="90"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90"/>
    <w:bookmarkStart w:id="91"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91"/>
    <w:bookmarkStart w:id="92"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92"/>
    <w:bookmarkStart w:id="94"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93">
        <w:r>
          <w:rPr>
            <w:rStyle w:val="Hyperlink"/>
          </w:rPr>
          <w:t xml:space="preserve">https://doi.org/10.1177/01427237231204167</w:t>
        </w:r>
      </w:hyperlink>
    </w:p>
    <w:bookmarkEnd w:id="94"/>
    <w:bookmarkStart w:id="95"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95"/>
    <w:bookmarkStart w:id="96"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96"/>
    <w:bookmarkStart w:id="97"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97"/>
    <w:bookmarkStart w:id="98"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98"/>
    <w:bookmarkStart w:id="99"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99"/>
    <w:bookmarkStart w:id="100"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100"/>
    <w:bookmarkStart w:id="101"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101"/>
    <w:bookmarkStart w:id="102"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102"/>
    <w:bookmarkStart w:id="104"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103">
        <w:r>
          <w:rPr>
            <w:rStyle w:val="Hyperlink"/>
          </w:rPr>
          <w:t xml:space="preserve">https://doi.org/10.1006/jmla.1999.2654</w:t>
        </w:r>
      </w:hyperlink>
    </w:p>
    <w:bookmarkEnd w:id="104"/>
    <w:bookmarkStart w:id="105"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05"/>
    <w:bookmarkStart w:id="106"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06"/>
    <w:bookmarkStart w:id="107"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07"/>
    <w:bookmarkStart w:id="108"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08"/>
    <w:bookmarkStart w:id="109"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09"/>
    <w:bookmarkStart w:id="110"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10"/>
    <w:bookmarkStart w:id="111"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11"/>
    <w:bookmarkStart w:id="112"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12"/>
    <w:bookmarkStart w:id="113"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p>
    <w:bookmarkEnd w:id="113"/>
    <w:bookmarkStart w:id="114"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14"/>
    <w:bookmarkStart w:id="115"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115"/>
    <w:bookmarkStart w:id="116"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16"/>
    <w:bookmarkStart w:id="117"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117"/>
    <w:bookmarkStart w:id="119"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18">
        <w:r>
          <w:rPr>
            <w:rStyle w:val="Hyperlink"/>
          </w:rPr>
          <w:t xml:space="preserve">https://gongcastro.github.io/bvq</w:t>
        </w:r>
      </w:hyperlink>
    </w:p>
    <w:bookmarkEnd w:id="119"/>
    <w:bookmarkStart w:id="120"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20"/>
    <w:bookmarkStart w:id="121"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21"/>
    <w:bookmarkStart w:id="122"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22"/>
    <w:bookmarkStart w:id="123"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23"/>
    <w:bookmarkStart w:id="124"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24"/>
    <w:bookmarkStart w:id="125"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25"/>
    <w:bookmarkStart w:id="126"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26"/>
    <w:bookmarkStart w:id="127"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27"/>
    <w:bookmarkStart w:id="128" w:name="ref-kleiner2007s"/>
    <w:p>
      <w:pPr>
        <w:pStyle w:val="Bibliography"/>
      </w:pPr>
      <w:r>
        <w:t xml:space="preserve">Kleiner, M., Brainard, D., &amp; Pelli, D. (2007).</w:t>
      </w:r>
      <w:r>
        <w:t xml:space="preserve"> </w:t>
      </w:r>
      <w:r>
        <w:rPr>
          <w:iCs/>
          <w:i/>
        </w:rPr>
        <w:t xml:space="preserve">What’s new in psychtoolbox-3?</w:t>
      </w:r>
    </w:p>
    <w:bookmarkEnd w:id="128"/>
    <w:bookmarkStart w:id="129"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29"/>
    <w:bookmarkStart w:id="130"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30"/>
    <w:bookmarkStart w:id="131"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31"/>
    <w:bookmarkStart w:id="132"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132"/>
    <w:bookmarkStart w:id="133"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33"/>
    <w:bookmarkStart w:id="134"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34"/>
    <w:bookmarkStart w:id="135" w:name="ref-marchman2008speed"/>
    <w:p>
      <w:pPr>
        <w:pStyle w:val="Bibliography"/>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135"/>
    <w:bookmarkStart w:id="136"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36"/>
    <w:bookmarkStart w:id="137"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37"/>
    <w:bookmarkStart w:id="138"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38"/>
    <w:bookmarkStart w:id="139"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39"/>
    <w:bookmarkStart w:id="140"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40"/>
    <w:bookmarkStart w:id="141"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41"/>
    <w:bookmarkStart w:id="142"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42"/>
    <w:bookmarkStart w:id="143"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43"/>
    <w:bookmarkStart w:id="144" w:name="ref-ramon2009vowel"/>
    <w:p>
      <w:pPr>
        <w:pStyle w:val="Bibliography"/>
      </w:pPr>
      <w:r>
        <w:t xml:space="preserve">Ramon-Casas, M., Swingley, D., Sebastián-Gallés, N., &amp; Bosch, L. (2009).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144"/>
    <w:bookmarkStart w:id="146"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45">
        <w:r>
          <w:rPr>
            <w:rStyle w:val="Hyperlink"/>
          </w:rPr>
          <w:t xml:space="preserve">https://doi.org/10.1177/13670069211069067</w:t>
        </w:r>
      </w:hyperlink>
    </w:p>
    <w:bookmarkEnd w:id="146"/>
    <w:bookmarkStart w:id="147"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47"/>
    <w:bookmarkStart w:id="148"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148"/>
    <w:bookmarkStart w:id="149" w:name="ref-schelletter2002effect"/>
    <w:p>
      <w:pPr>
        <w:pStyle w:val="Bibliography"/>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149"/>
    <w:bookmarkStart w:id="150"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p>
    <w:bookmarkEnd w:id="150"/>
    <w:bookmarkStart w:id="151"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51"/>
    <w:bookmarkStart w:id="152" w:name="ref-siow2022effect"/>
    <w:p>
      <w:pPr>
        <w:pStyle w:val="Bibliography"/>
      </w:pPr>
      <w:r>
        <w:t xml:space="preserve">Siow, S., Gillen, N. A., Lepadatu, I., Avila-Varela, D. S., Garcia-Castro, G., Sebastian-Galles, N., &amp; Plunkett, K. (2022).</w:t>
      </w:r>
      <w:r>
        <w:t xml:space="preserve"> </w:t>
      </w:r>
      <w:r>
        <w:rPr>
          <w:iCs/>
          <w:i/>
        </w:rPr>
        <w:t xml:space="preserve">The effect of cognates on bilingual infant vocabulary trajectories: A study using bilingual CDIs of english and one additional language</w:t>
      </w:r>
      <w:r>
        <w:t xml:space="preserve">.</w:t>
      </w:r>
    </w:p>
    <w:bookmarkEnd w:id="152"/>
    <w:bookmarkStart w:id="153" w:name="ref-spivey1999cross"/>
    <w:p>
      <w:pPr>
        <w:pStyle w:val="Bibliography"/>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153"/>
    <w:bookmarkStart w:id="154"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54"/>
    <w:bookmarkStart w:id="155"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p>
    <w:bookmarkEnd w:id="155"/>
    <w:bookmarkStart w:id="156"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p>
    <w:bookmarkEnd w:id="156"/>
    <w:bookmarkStart w:id="157"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157"/>
    <w:bookmarkStart w:id="158"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58"/>
    <w:bookmarkStart w:id="159"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159"/>
    <w:bookmarkStart w:id="160"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60"/>
    <w:bookmarkStart w:id="161"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61"/>
    <w:bookmarkStart w:id="162"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162"/>
    <w:bookmarkStart w:id="163"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63"/>
    <w:bookmarkStart w:id="164"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64"/>
    <w:bookmarkStart w:id="165"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65"/>
    <w:bookmarkStart w:id="166"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66"/>
    <w:bookmarkStart w:id="167"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67"/>
    <w:bookmarkStart w:id="168"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68"/>
    <w:bookmarkStart w:id="169"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69"/>
    <w:bookmarkStart w:id="170"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70"/>
    <w:bookmarkStart w:id="171"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71"/>
    <w:bookmarkStart w:id="172"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72"/>
    <w:bookmarkStart w:id="173"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73"/>
    <w:bookmarkEnd w:id="174"/>
    <w:bookmarkEnd w:id="175"/>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hyperlink" Id="rId103" Target="https://doi.org/10.1006/jmla.1999.2654" TargetMode="External" /><Relationship Type="http://schemas.openxmlformats.org/officeDocument/2006/relationships/hyperlink" Id="rId93" Target="https://doi.org/10.1177/01427237231204167" TargetMode="External" /><Relationship Type="http://schemas.openxmlformats.org/officeDocument/2006/relationships/hyperlink" Id="rId145" Target="https://doi.org/10.1177/13670069211069067" TargetMode="External" /><Relationship Type="http://schemas.openxmlformats.org/officeDocument/2006/relationships/hyperlink" Id="rId26" Target="https://github.com/gongcastro/cognate-priming" TargetMode="External" /><Relationship Type="http://schemas.openxmlformats.org/officeDocument/2006/relationships/hyperlink" Id="rId118" Target="https://gongcastro.github.io/bvq" TargetMode="External" /><Relationship Type="http://schemas.openxmlformats.org/officeDocument/2006/relationships/hyperlink" Id="rId25"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6/jmla.1999.2654" TargetMode="External" /><Relationship Type="http://schemas.openxmlformats.org/officeDocument/2006/relationships/hyperlink" Id="rId93" Target="https://doi.org/10.1177/01427237231204167" TargetMode="External" /><Relationship Type="http://schemas.openxmlformats.org/officeDocument/2006/relationships/hyperlink" Id="rId145" Target="https://doi.org/10.1177/13670069211069067" TargetMode="External" /><Relationship Type="http://schemas.openxmlformats.org/officeDocument/2006/relationships/hyperlink" Id="rId26" Target="https://github.com/gongcastro/cognate-priming" TargetMode="External" /><Relationship Type="http://schemas.openxmlformats.org/officeDocument/2006/relationships/hyperlink" Id="rId118" Target="https://gongcastro.github.io/bvq" TargetMode="External" /><Relationship Type="http://schemas.openxmlformats.org/officeDocument/2006/relationships/hyperlink" Id="rId25"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2023-11-21T17:08:19Z</dcterms:created>
  <dcterms:modified xsi:type="dcterms:W3CDTF">2023-11-21T17:08:19Z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