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0.png" ContentType="image/png"/>
  <Override PartName="/word/media/rId69.png" ContentType="image/png"/>
  <Override PartName="/word/media/rId49.png" ContentType="image/png"/>
  <Override PartName="/word/media/rId79.png" ContentType="image/png"/>
  <Override PartName="/word/media/rId5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4"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relatively reduced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they often learn two labels for each referent (one in each language), which additionally may not be direct translations of each other</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w:t>
      </w:r>
      <w:r>
        <w:t xml:space="preserve"> </w:t>
      </w:r>
      <w:r>
        <w:t xml:space="preserve">Floccia et al. (</w:t>
      </w:r>
      <w:hyperlink w:anchor="ref-floccia2018vocabulary">
        <w:r>
          <w:rPr>
            <w:rStyle w:val="Hyperlink"/>
          </w:rPr>
          <w:t xml:space="preserve">2018</w:t>
        </w:r>
      </w:hyperlink>
      <w:r>
        <w:t xml:space="preserve">)</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 </w:t>
      </w:r>
      <w:hyperlink w:anchor="ref-schelletter2002effect">
        <w:r>
          <w:rPr>
            <w:rStyle w:val="Hyperlink"/>
          </w:rPr>
          <w:t xml:space="preserve">Schelletter, 2002</w:t>
        </w:r>
      </w:hyperlink>
      <w:r>
        <w:t xml:space="preserve">)</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w:t>
      </w:r>
      <w:hyperlink w:anchor="ref-spivey1999cross">
        <w:r>
          <w:rPr>
            <w:rStyle w:val="Hyperlink"/>
          </w:rPr>
          <w:t xml:space="preserve">Spivey &amp; Marian, 1999</w:t>
        </w:r>
      </w:hyperlink>
      <w:r>
        <w:t xml:space="preserve">)</w:t>
      </w:r>
      <w:r>
        <w:t xml:space="preserve">.</w:t>
      </w:r>
      <w:r>
        <w:t xml:space="preserve"> </w:t>
      </w:r>
      <w:r>
        <w:t xml:space="preserve">Costa et al. (</w:t>
      </w:r>
      <w:hyperlink w:anchor="ref-costa2000cognate">
        <w:r>
          <w:rPr>
            <w:rStyle w:val="Hyperlink"/>
          </w:rPr>
          <w:t xml:space="preserve">2000</w:t>
        </w:r>
      </w:hyperlink>
      <w:r>
        <w:t xml:space="preserve">)</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w:t>
      </w:r>
      <w:hyperlink w:anchor="ref-von2012language">
        <w:r>
          <w:rPr>
            <w:rStyle w:val="Hyperlink"/>
          </w:rPr>
          <w:t xml:space="preserve">2012</w:t>
        </w:r>
      </w:hyperlink>
      <w:r>
        <w:t xml:space="preserve">)</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w:t>
      </w:r>
      <w:hyperlink w:anchor="ref-grosjean1997bilingual">
        <w:r>
          <w:rPr>
            <w:rStyle w:val="Hyperlink"/>
          </w:rPr>
          <w:t xml:space="preserve">Grosjean, 1997</w:t>
        </w:r>
      </w:hyperlink>
      <w:r>
        <w:t xml:space="preserve">)</w:t>
      </w:r>
      <w:r>
        <w:t xml:space="preserve">.</w:t>
      </w:r>
    </w:p>
    <w:p>
      <w:pPr>
        <w:pStyle w:val="BodyText"/>
      </w:pPr>
      <w:r>
        <w:t xml:space="preserve">Mani &amp; Plunkett (</w:t>
      </w:r>
      <w:hyperlink w:anchor="ref-mani2010infant">
        <w:r>
          <w:rPr>
            <w:rStyle w:val="Hyperlink"/>
          </w:rPr>
          <w:t xml:space="preserve">2010</w:t>
        </w:r>
      </w:hyperlink>
      <w:r>
        <w:t xml:space="preserve">)</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w:t>
      </w:r>
      <w:hyperlink w:anchor="ref-mani2011phonological">
        <w:r>
          <w:rPr>
            <w:rStyle w:val="Hyperlink"/>
          </w:rPr>
          <w:t xml:space="preserve">2011</w:t>
        </w:r>
      </w:hyperlink>
      <w:r>
        <w:t xml:space="preserve">)</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w:t>
      </w:r>
      <w:r>
        <w:t xml:space="preserve"> </w:t>
      </w:r>
      <w:hyperlink w:anchor="ref-von2014bilinguals">
        <w:r>
          <w:rPr>
            <w:rStyle w:val="Hyperlink"/>
          </w:rPr>
          <w:t xml:space="preserve">Von Holzen &amp; Mani, 2014</w:t>
        </w:r>
      </w:hyperlink>
      <w:r>
        <w:t xml:space="preserve"> </w:t>
      </w:r>
      <w:r>
        <w:t xml:space="preserve">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w:t>
      </w:r>
      <w:hyperlink w:anchor="ref-costa2014does">
        <w:r>
          <w:rPr>
            <w:rStyle w:val="Hyperlink"/>
          </w:rPr>
          <w:t xml:space="preserve">Costa &amp; Sebastián-Gallés, 2014</w:t>
        </w:r>
      </w:hyperlink>
      <w:r>
        <w:t xml:space="preserve">)</w:t>
      </w:r>
      <w:r>
        <w:t xml:space="preserve">.</w:t>
      </w:r>
    </w:p>
    <w:p>
      <w:pPr>
        <w:pStyle w:val="BodyText"/>
      </w:pPr>
      <w:r>
        <w:t xml:space="preserve">Following</w:t>
      </w:r>
      <w:r>
        <w:t xml:space="preserve"> </w:t>
      </w:r>
      <w:r>
        <w:t xml:space="preserve">Mani &amp; Plunkett (</w:t>
      </w:r>
      <w:hyperlink w:anchor="ref-mani2010infant">
        <w:r>
          <w:rPr>
            <w:rStyle w:val="Hyperlink"/>
          </w:rPr>
          <w:t xml:space="preserve">2010</w:t>
        </w:r>
      </w:hyperlink>
      <w:r>
        <w:t xml:space="preserve">)</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w:t>
      </w:r>
      <w:hyperlink w:anchor="ref-mani2011phonological">
        <w:r>
          <w:rPr>
            <w:rStyle w:val="Hyperlink"/>
          </w:rPr>
          <w:t xml:space="preserve">2011</w:t>
        </w:r>
      </w:hyperlink>
      <w:r>
        <w:t xml:space="preserve">)</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23" w:name="fig-hypotheses"/>
          <w:p>
            <w:pPr>
              <w:jc w:val="center"/>
            </w:pPr>
            <w:r>
              <w:drawing>
                <wp:inline>
                  <wp:extent cx="5943600" cy="3343275"/>
                  <wp:effectExtent b="0" l="0" r="0" t="0"/>
                  <wp:docPr descr="" title="" id="21" name="Picture"/>
                  <a:graphic>
                    <a:graphicData uri="http://schemas.openxmlformats.org/drawingml/2006/picture">
                      <pic:pic>
                        <pic:nvPicPr>
                          <pic:cNvPr descr="_assets/img/hypotheses.png" id="22" name="Picture"/>
                          <pic:cNvPicPr>
                            <a:picLocks noChangeArrowheads="1" noChangeAspect="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23"/>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w:t>
      </w:r>
      <w:hyperlink w:anchor="ref-avila2021longitudinal">
        <w:r>
          <w:rPr>
            <w:rStyle w:val="Hyperlink"/>
          </w:rPr>
          <w:t xml:space="preserve">Avila-Varela et al., 2021</w:t>
        </w:r>
      </w:hyperlink>
      <w:r>
        <w:t xml:space="preserve">;</w:t>
      </w:r>
      <w:r>
        <w:t xml:space="preserve"> </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w:t>
      </w:r>
      <w:hyperlink w:anchor="ref-mayor2014infant">
        <w:r>
          <w:rPr>
            <w:rStyle w:val="Hyperlink"/>
          </w:rPr>
          <w:t xml:space="preserve">Mayor &amp; Plunkett, 2014</w:t>
        </w:r>
      </w:hyperlink>
      <w:r>
        <w:t xml:space="preserve">)</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w:t>
      </w:r>
      <w:hyperlink w:anchor="ref-marchman2010vocabulary">
        <w:r>
          <w:rPr>
            <w:rStyle w:val="Hyperlink"/>
          </w:rPr>
          <w:t xml:space="preserve">Marchman et al., 2010</w:t>
        </w:r>
      </w:hyperlink>
      <w:r>
        <w:t xml:space="preserve">)</w:t>
      </w:r>
      <w:r>
        <w:t xml:space="preserve">.</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w:t>
      </w:r>
      <w:hyperlink w:anchor="ref-mani2010infant">
        <w:r>
          <w:rPr>
            <w:rStyle w:val="Hyperlink"/>
          </w:rPr>
          <w:t xml:space="preserve">2010</w:t>
        </w:r>
      </w:hyperlink>
      <w:r>
        <w:t xml:space="preserve">)</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24"/>
    <w:bookmarkStart w:id="58" w:name="study-1"/>
    <w:p>
      <w:pPr>
        <w:pStyle w:val="Heading1"/>
      </w:pPr>
      <w:r>
        <w:t xml:space="preserve">Study 1</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FootnoteReference"/>
        </w:rPr>
        <w:footnoteReference w:id="25"/>
      </w:r>
      <w:r>
        <w:t xml:space="preserve">. Given participants’ lack of knowledge of Spanish (or any language other than English), participants’ performance was predicted to be unaffected by the cognate status of the primes.</w:t>
      </w:r>
    </w:p>
    <w:p>
      <w:pPr>
        <w:pStyle w:val="BodyText"/>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w:t>
      </w:r>
      <w:hyperlink w:anchor="ref-mani2011phonological">
        <w:r>
          <w:rPr>
            <w:rStyle w:val="Hyperlink"/>
          </w:rPr>
          <w:t xml:space="preserve">2011</w:t>
        </w:r>
      </w:hyperlink>
      <w:r>
        <w:t xml:space="preserve">)</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48" w:name="methods"/>
    <w:p>
      <w:pPr>
        <w:pStyle w:val="Heading2"/>
      </w:pPr>
      <w:r>
        <w:t xml:space="preserve">Methods</w:t>
      </w:r>
    </w:p>
    <w:p>
      <w:pPr>
        <w:pStyle w:val="FirstParagraph"/>
      </w:pPr>
      <w:r>
        <w:t xml:space="preserve">All materials, data, and reproducible code can be found at the OSF (</w:t>
      </w:r>
      <w:hyperlink r:id="rId26">
        <w:r>
          <w:rPr>
            <w:rStyle w:val="Hyperlink"/>
          </w:rPr>
          <w:t xml:space="preserve">https://osf.io/hy984/</w:t>
        </w:r>
      </w:hyperlink>
      <w:r>
        <w:t xml:space="preserve">) and GitHub (</w:t>
      </w:r>
      <w:hyperlink r:id="rId27">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33" w:name="participants"/>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28"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1"/>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 (4.05)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 (0.00)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 (3.91)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 (5.98)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95.11 (6.17)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 (2.20)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 (3.80)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90.80 (6.38)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 (6.40)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 (0.85)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25.19 (3.81)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37.65 (10.47)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61.98 (10.31)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 (0.79)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25.58 (3.41)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61.12 (11.00)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38.55 (10.42)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 (1.56)</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25.64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r>
    </w:tbl>
    <w:p>
      <w:pPr>
        <w:pStyle w:val="BodyText"/>
      </w:pPr>
      <w:r>
        <w:rPr>
          <w:bCs/>
          <w:b/>
        </w:rPr>
        <w:t xml:space="preserve">?(caption)</w:t>
      </w:r>
    </w:p>
    <w:bookmarkEnd w:id="28"/>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The OCDI is an adaptation of the MacArthur-Bates Communicative Development Inventory</w:t>
      </w:r>
      <w:r>
        <w:t xml:space="preserve"> </w:t>
      </w:r>
      <w:r>
        <w:t xml:space="preserve">(</w:t>
      </w:r>
      <w:hyperlink w:anchor="ref-fenson1994variability">
        <w:r>
          <w:rPr>
            <w:rStyle w:val="Hyperlink"/>
          </w:rPr>
          <w:t xml:space="preserve">Fenson et al., 1994</w:t>
        </w:r>
      </w:hyperlink>
      <w:r>
        <w:t xml:space="preserve">)</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32" w:name="fig-vocabulary-oxf"/>
          <w:p>
            <w:pPr>
              <w:jc w:val="center"/>
            </w:pPr>
            <w:r>
              <w:drawing>
                <wp:inline>
                  <wp:extent cx="4160520" cy="3328416"/>
                  <wp:effectExtent b="0" l="0" r="0" t="0"/>
                  <wp:docPr descr="" title="" id="30" name="Picture"/>
                  <a:graphic>
                    <a:graphicData uri="http://schemas.openxmlformats.org/drawingml/2006/picture">
                      <pic:pic>
                        <pic:nvPicPr>
                          <pic:cNvPr descr="manuscript_files/figure-docx/fig-vocabulary-oxf-1.png" id="31" name="Picture"/>
                          <pic:cNvPicPr>
                            <a:picLocks noChangeArrowheads="1" noChangeAspect="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Participant receptive vocabulary sizes across ages and language profiles.</w:t>
            </w:r>
          </w:p>
          <w:bookmarkEnd w:id="32"/>
        </w:tc>
      </w:tr>
    </w:tbl>
    <w:bookmarkEnd w:id="33"/>
    <w:bookmarkStart w:id="38" w:name="design"/>
    <w:p>
      <w:pPr>
        <w:pStyle w:val="Heading3"/>
      </w:pPr>
      <w:r>
        <w:t xml:space="preserve">Design</w:t>
      </w:r>
    </w:p>
    <w:p>
      <w:pPr>
        <w:pStyle w:val="FirstParagraph"/>
      </w:pPr>
      <w:r>
        <w:t xml:space="preserve">Participants were presented with 32 trials in random order, which belonged to two conditions:</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w:t>
      </w:r>
      <w:r>
        <w:t xml:space="preserve"> </w:t>
      </w:r>
      <w:r>
        <w:rPr>
          <w:iCs/>
          <w:i/>
        </w:rPr>
        <w:t xml:space="preserve">Related</w:t>
      </w:r>
      <w:r>
        <w:t xml:space="preserve"> </w:t>
      </w:r>
      <w:r>
        <w:t xml:space="preserve">trials (</w:t>
      </w:r>
      <w:r>
        <w:rPr>
          <w:iCs/>
          <w:i/>
        </w:rPr>
        <w:t xml:space="preserve">n</w:t>
      </w:r>
      <w:r>
        <w:t xml:space="preserve"> </w:t>
      </w:r>
      <w:r>
        <w:t xml:space="preserve">= 16), the English label of the prime was phonologically related to the target label, sharing phonological onset (e.g., /</w:t>
      </w:r>
      <w:r>
        <w:t xml:space="preserve">/</w:t>
      </w:r>
      <m:oMath>
        <m:sSub>
          <m:e>
            <m:r>
              <m:t>​</m:t>
            </m:r>
          </m:e>
          <m:sub>
            <m:r>
              <m:rPr>
                <m:nor/>
                <m:sty m:val="p"/>
              </m:rPr>
              <m:t>ENG</m:t>
            </m:r>
          </m:sub>
        </m:sSub>
        <m:d>
          <m:dPr>
            <m:begChr m:val="["/>
            <m:endChr m:val="]"/>
            <m:sepChr m:val=""/>
            <m:grow/>
          </m:dPr>
          <m:e>
            <m:r>
              <m:rPr>
                <m:nor/>
                <m:sty m:val="p"/>
              </m:rPr>
              <m:t>tree</m:t>
            </m:r>
          </m:e>
        </m:d>
      </m:oMath>
      <w:r>
        <w:t xml:space="preserve">–/</w:t>
      </w:r>
      <w:r>
        <w:t xml:space="preserve">/</w:t>
      </w:r>
      <m:oMath>
        <m:sSub>
          <m:e>
            <m:r>
              <m:t>​</m:t>
            </m:r>
          </m:e>
          <m:sub>
            <m:r>
              <m:rPr>
                <m:nor/>
                <m:sty m:val="p"/>
              </m:rPr>
              <m:t>ENG</m:t>
            </m:r>
          </m:sub>
        </m:sSub>
        <m:d>
          <m:dPr>
            <m:begChr m:val="["/>
            <m:endChr m:val="]"/>
            <m:sepChr m:val=""/>
            <m:grow/>
          </m:dPr>
          <m:e>
            <m:r>
              <m:rPr>
                <m:nor/>
                <m:sty m:val="p"/>
              </m:rPr>
              <m:t>truck</m:t>
            </m:r>
          </m:e>
        </m:d>
      </m:oMath>
      <w:r>
        <w:t xml:space="preserve">). In</w:t>
      </w:r>
      <w:r>
        <w:t xml:space="preserve"> </w:t>
      </w:r>
      <w:r>
        <w:rPr>
          <w:iCs/>
          <w:i/>
        </w:rPr>
        <w:t xml:space="preserve">Unrelated</w:t>
      </w:r>
      <w:r>
        <w:t xml:space="preserve"> </w:t>
      </w:r>
      <w:r>
        <w:t xml:space="preserve">trials, the prime and target labels did not share phonological onset (e.g., /</w:t>
      </w:r>
      <w:r>
        <w:t xml:space="preserve">/</w:t>
      </w:r>
      <m:oMath>
        <m:sSub>
          <m:e>
            <m:r>
              <m:t>​</m:t>
            </m:r>
          </m:e>
          <m:sub>
            <m:r>
              <m:rPr>
                <m:nor/>
                <m:sty m:val="p"/>
              </m:rPr>
              <m:t>ENG</m:t>
            </m:r>
          </m:sub>
        </m:sSub>
        <m:d>
          <m:dPr>
            <m:begChr m:val="["/>
            <m:endChr m:val="]"/>
            <m:sepChr m:val=""/>
            <m:grow/>
          </m:dPr>
          <m:e>
            <m:r>
              <m:rPr>
                <m:nor/>
                <m:sty m:val="p"/>
              </m:rPr>
              <m:t>door</m:t>
            </m:r>
          </m:e>
        </m:d>
      </m:oMath>
      <w:r>
        <w:t xml:space="preserve">–/</w:t>
      </w:r>
      <w:r>
        <w:t xml:space="preserve">/</w:t>
      </w:r>
      <m:oMath>
        <m:sSub>
          <m:e>
            <m:r>
              <m:t>​</m:t>
            </m:r>
          </m:e>
          <m:sub>
            <m:r>
              <m:rPr>
                <m:nor/>
                <m:sty m:val="p"/>
              </m:rPr>
              <m:t>ENG</m:t>
            </m:r>
          </m:sub>
        </m:sSub>
        <m:d>
          <m:dPr>
            <m:begChr m:val="["/>
            <m:endChr m:val="]"/>
            <m:sepChr m:val=""/>
            <m:grow/>
          </m:dPr>
          <m:e>
            <m:r>
              <m:rPr>
                <m:nor/>
                <m:sty m:val="p"/>
              </m:rPr>
              <m:t>sock</m:t>
            </m:r>
          </m:e>
        </m:d>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BodyText"/>
      </w:pPr>
      <w:hyperlink w:anchor="fig-task">
        <w:r>
          <w:rPr>
            <w:rStyle w:val="Hyperlink"/>
          </w:rPr>
          <w:t xml:space="preserve">Figure 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37" w:name="fig-task"/>
          <w:p>
            <w:pPr>
              <w:jc w:val="center"/>
            </w:pPr>
            <w:r>
              <w:drawing>
                <wp:inline>
                  <wp:extent cx="5943600" cy="3343275"/>
                  <wp:effectExtent b="0" l="0" r="0" t="0"/>
                  <wp:docPr descr="" title="" id="35" name="Picture"/>
                  <a:graphic>
                    <a:graphicData uri="http://schemas.openxmlformats.org/drawingml/2006/picture">
                      <pic:pic>
                        <pic:nvPicPr>
                          <pic:cNvPr descr="_assets/img/design.png" id="36" name="Picture"/>
                          <pic:cNvPicPr>
                            <a:picLocks noChangeArrowheads="1" noChangeAspect="1"/>
                          </pic:cNvPicPr>
                        </pic:nvPicPr>
                        <pic:blipFill>
                          <a:blip r:embed="rId3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37"/>
        </w:tc>
      </w:tr>
    </w:tbl>
    <w:bookmarkEnd w:id="38"/>
    <w:bookmarkStart w:id="40" w:name="stimuli"/>
    <w:p>
      <w:pPr>
        <w:pStyle w:val="Heading3"/>
      </w:pPr>
      <w:r>
        <w:t xml:space="preserve">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 Audios had an average duration of 864.23 ms (</w:t>
      </w:r>
      <w:r>
        <w:rPr>
          <w:iCs/>
          <w:i/>
        </w:rPr>
        <w:t xml:space="preserve">SD</w:t>
      </w:r>
      <w:r>
        <w:t xml:space="preserve"> </w:t>
      </w:r>
      <w:r>
        <w:t xml:space="preserve">= 148.53,</w:t>
      </w:r>
      <w:r>
        <w:t xml:space="preserve"> </w:t>
      </w:r>
      <w:r>
        <w:rPr>
          <w:iCs/>
          <w:i/>
        </w:rPr>
        <w:t xml:space="preserve">Range</w:t>
      </w:r>
      <w:r>
        <w:t xml:space="preserve"> </w:t>
      </w:r>
      <w:r>
        <w:t xml:space="preserve">= 570–1,250).</w:t>
      </w:r>
    </w:p>
    <w:bookmarkStart w:id="39"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Frequency (Zipf)</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i/>
              </w:rPr>
              <w:t xml:space="default">Familiarity (%)</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end w:val="single" w:space="0" w:color="D3D3D3"/>
            </w:tcBorders>
          </w:tcPr>
          <w:p>
            <w:pPr>
              <w:spacing w:before="0" w:after="60"/>
              <w:keepNext/>
              <w:jc w:val="end"/>
            </w:pPr>
            <w:r>
              <w:rPr>
                <w:rFonts w:ascii="Calibri" w:hAnsi="Calibri"/>
                <w:sz w:val="20"/>
                <w:i/>
              </w:rPr>
              <w:t xml:space="default">Target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61.79 (10.04)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 (15.28)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 (2.72)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61.43 (12.89)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70.68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 (2.27)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67.04 (18.36)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73.35 (16.77)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85.00 (8.75)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69.17 (22.67)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 (1.33)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 (0.37)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83.33 (10.65)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 (21.57)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 (1.31)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76.00 (15.25)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68.33 (22.12)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 (1.55)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64.77 (24.06)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47.35 (24.45)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 (1.54)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68.18 (21.05)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 (26.25)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 (1.53)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 (0.23)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64.20 (22.95)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45.64 (27.38)</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4.97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5.12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4.89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4.76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70.20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62.75</w:t>
            </w:r>
          </w:p>
        </w:tc>
      </w:tr>
    </w:tbl>
    <w:p>
      <w:pPr>
        <w:pStyle w:val="BodyText"/>
      </w:pPr>
      <w:r>
        <w:rPr>
          <w:bCs/>
          <w:b/>
        </w:rPr>
        <w:t xml:space="preserve">?(caption)</w:t>
      </w:r>
    </w:p>
    <w:bookmarkEnd w:id="39"/>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40"/>
    <w:bookmarkStart w:id="41" w:name="procedure"/>
    <w:p>
      <w:pPr>
        <w:pStyle w:val="Heading3"/>
      </w:pPr>
      <w:r>
        <w:t xml:space="preserve">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41"/>
    <w:bookmarkStart w:id="47" w:name="data-analysis"/>
    <w:p>
      <w:pPr>
        <w:pStyle w:val="Heading3"/>
      </w:pPr>
      <w:r>
        <w:t xml:space="preserve">Data analysis</w:t>
      </w:r>
    </w:p>
    <w:bookmarkStart w:id="44"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1</w:t>
        </w:r>
      </w:hyperlink>
      <w:r>
        <w:t xml:space="preserve">)</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as follows:</w:t>
      </w:r>
    </w:p>
    <w:p>
      <w:pPr>
        <w:pStyle w:val="BodyText"/>
      </w:pPr>
      <w:bookmarkStart w:id="42"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42"/>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and 946 were</w:t>
      </w:r>
      <w:r>
        <w:t xml:space="preserve"> </w:t>
      </w:r>
      <w:r>
        <w:rPr>
          <w:iCs/>
          <w:i/>
        </w:rPr>
        <w:t xml:space="preserve">Related</w:t>
      </w:r>
      <w:r>
        <w:t xml:space="preserve"> </w:t>
      </w:r>
      <w:r>
        <w:t xml:space="preserve">trials(470 previously excluded).</w:t>
      </w:r>
    </w:p>
    <w:bookmarkStart w:id="43"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3,657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1,813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1,847</w:t>
            </w:r>
          </w:p>
        </w:tc>
      </w:tr>
    </w:tbl>
    <w:p>
      <w:pPr>
        <w:pStyle w:val="BodyText"/>
      </w:pPr>
      <w:r>
        <w:rPr>
          <w:bCs/>
          <w:b/>
        </w:rPr>
        <w:t xml:space="preserve">?(caption)</w:t>
      </w:r>
    </w:p>
    <w:bookmarkEnd w:id="43"/>
    <w:bookmarkEnd w:id="44"/>
    <w:bookmarkStart w:id="46"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 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two iteration chains using the by-default No U-Turn Sampler algorithm with 1,000 iterations each and an additional 1,000 warm-up iterations per chain.</w:t>
      </w:r>
    </w:p>
    <w:p>
      <w:pPr>
        <w:pStyle w:val="BodyText"/>
      </w:pPr>
      <w:bookmarkStart w:id="45"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t>A</m:t>
                </m:r>
                <m:r>
                  <m:t>g</m:t>
                </m:r>
                <m:r>
                  <m:t>e</m:t>
                </m:r>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sSub>
                  <m:e>
                    <m:r>
                      <m:t>β</m:t>
                    </m:r>
                  </m:e>
                  <m:sub>
                    <m:sSub>
                      <m:e>
                        <m:r>
                          <m:t>3</m:t>
                        </m:r>
                      </m:e>
                      <m:sub>
                        <m:r>
                          <m:t>k</m:t>
                        </m:r>
                      </m:sub>
                    </m:sSub>
                  </m:sub>
                </m:sSub>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sSub>
                  <m:e>
                    <m:r>
                      <m:t>β</m:t>
                    </m:r>
                  </m:e>
                  <m:sub>
                    <m:sSub>
                      <m:e>
                        <m:r>
                          <m:t>4</m:t>
                        </m:r>
                      </m:e>
                      <m:sub>
                        <m:r>
                          <m:t>k</m:t>
                        </m:r>
                      </m:sub>
                    </m:sSub>
                  </m:sub>
                </m:sSub>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4</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45"/>
    </w:p>
    <w:bookmarkEnd w:id="46"/>
    <w:bookmarkEnd w:id="47"/>
    <w:bookmarkEnd w:id="48"/>
    <w:bookmarkStart w:id="56" w:name="results"/>
    <w:p>
      <w:pPr>
        <w:pStyle w:val="Heading2"/>
      </w:pPr>
      <w:r>
        <w:t xml:space="preserve">Results</w:t>
      </w:r>
    </w:p>
    <w:bookmarkStart w:id="53" w:name="priming-effects"/>
    <w:p>
      <w:pPr>
        <w:pStyle w:val="Heading3"/>
      </w:pPr>
      <w:r>
        <w:t xml:space="preserve">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BodyText"/>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52" w:name="fig-epreds-oxf"/>
          <w:p>
            <w:pPr>
              <w:jc w:val="center"/>
            </w:pPr>
            <w:r>
              <w:drawing>
                <wp:inline>
                  <wp:extent cx="4754880" cy="4754880"/>
                  <wp:effectExtent b="0" l="0" r="0" t="0"/>
                  <wp:docPr descr="" title="" id="50" name="Picture"/>
                  <a:graphic>
                    <a:graphicData uri="http://schemas.openxmlformats.org/drawingml/2006/picture">
                      <pic:pic>
                        <pic:nvPicPr>
                          <pic:cNvPr descr="manuscript_files/figure-docx/fig-epreds-oxf-1.png" id="51" name="Picture"/>
                          <pic:cNvPicPr>
                            <a:picLocks noChangeArrowheads="1" noChangeAspect="1"/>
                          </pic:cNvPicPr>
                        </pic:nvPicPr>
                        <pic:blipFill>
                          <a:blip r:embed="rId49"/>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52"/>
        </w:tc>
      </w:tr>
    </w:tbl>
    <w:bookmarkEnd w:id="53"/>
    <w:bookmarkStart w:id="55" w:name="age-and-vocabulary-size-effects"/>
    <w:p>
      <w:pPr>
        <w:pStyle w:val="Heading3"/>
      </w:pPr>
      <w:r>
        <w:t xml:space="preserve">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54"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4"/>
    <w:bookmarkEnd w:id="55"/>
    <w:bookmarkEnd w:id="56"/>
    <w:bookmarkStart w:id="57" w:name="discussion"/>
    <w:p>
      <w:pPr>
        <w:pStyle w:val="Heading2"/>
      </w:pPr>
      <w:r>
        <w:t xml:space="preserve">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 Related (Related/Cognate and Related/Non-cognate) and Unrelated trials. In conclusion, we failed to replicate the original studies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explanations conflict with both Mani and Plunkett’s studies, and also with previous studies suggesting that infants 12-months and older already generate internal labels when presented with pictures of familiar objects</w:t>
      </w:r>
      <w:r>
        <w:t xml:space="preserve"> </w:t>
      </w:r>
      <w:r>
        <w:t xml:space="preserve">(</w:t>
      </w:r>
      <w:hyperlink w:anchor="ref-duta2012erp">
        <w:r>
          <w:rPr>
            <w:rStyle w:val="Hyperlink"/>
          </w:rPr>
          <w:t xml:space="preserve">Duta et al., 2012</w:t>
        </w:r>
      </w:hyperlink>
      <w:r>
        <w:t xml:space="preserve">;</w:t>
      </w:r>
      <w:r>
        <w:t xml:space="preserve"> </w:t>
      </w:r>
      <w:hyperlink w:anchor="ref-styles2015infant">
        <w:r>
          <w:rPr>
            <w:rStyle w:val="Hyperlink"/>
          </w:rPr>
          <w:t xml:space="preserve">Styles et al., 2015</w:t>
        </w:r>
      </w:hyperlink>
      <w:r>
        <w:t xml:space="preserve">)</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w:t>
      </w:r>
      <w:hyperlink w:anchor="ref-fernald1998rapid">
        <w:r>
          <w:rPr>
            <w:rStyle w:val="Hyperlink"/>
          </w:rPr>
          <w:t xml:space="preserve">Fernald et al., 1998</w:t>
        </w:r>
      </w:hyperlink>
      <w:r>
        <w:t xml:space="preserve">;</w:t>
      </w:r>
      <w:r>
        <w:t xml:space="preserve"> </w:t>
      </w:r>
      <w:hyperlink w:anchor="ref-marchman2008speed">
        <w:r>
          <w:rPr>
            <w:rStyle w:val="Hyperlink"/>
          </w:rPr>
          <w:t xml:space="preserve">Marchman &amp; Fernald, 2008</w:t>
        </w:r>
      </w:hyperlink>
      <w:r>
        <w:t xml:space="preserve">)</w:t>
      </w:r>
      <w:r>
        <w:t xml:space="preserve">, and stronger phonological priming effects in children with larger vocabulary sizes</w:t>
      </w:r>
      <w:r>
        <w:t xml:space="preserve"> </w:t>
      </w:r>
      <w:r>
        <w:t xml:space="preserve">(</w:t>
      </w:r>
      <w:hyperlink w:anchor="ref-avila2021longitudinal">
        <w:r>
          <w:rPr>
            <w:rStyle w:val="Hyperlink"/>
          </w:rPr>
          <w:t xml:space="preserve">Avila-Varela et al., 2021</w:t>
        </w:r>
      </w:hyperlink>
      <w:r>
        <w:t xml:space="preserve">;</w:t>
      </w:r>
      <w:r>
        <w:t xml:space="preserve"> </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Overall, this results suggest that our modification of the implicit naming task resulted in the loss of the originally reported effect.</w:t>
      </w:r>
    </w:p>
    <w:bookmarkEnd w:id="57"/>
    <w:bookmarkEnd w:id="58"/>
    <w:bookmarkStart w:id="78" w:name="study-2"/>
    <w:p>
      <w:pPr>
        <w:pStyle w:val="Heading1"/>
      </w:pPr>
      <w:r>
        <w:t xml:space="preserve">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68" w:name="methods-1"/>
    <w:p>
      <w:pPr>
        <w:pStyle w:val="Heading2"/>
      </w:pPr>
      <w:r>
        <w:t xml:space="preserve">Methods</w:t>
      </w:r>
    </w:p>
    <w:bookmarkStart w:id="63" w:name="participants-1"/>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Questionnaire</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BodyText"/>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62" w:name="fig-vocabulary-bcn"/>
          <w:p>
            <w:pPr>
              <w:jc w:val="center"/>
            </w:pPr>
            <w:r>
              <w:drawing>
                <wp:inline>
                  <wp:extent cx="5491891" cy="2745945"/>
                  <wp:effectExtent b="0" l="0" r="0" t="0"/>
                  <wp:docPr descr="" title="" id="60" name="Picture"/>
                  <a:graphic>
                    <a:graphicData uri="http://schemas.openxmlformats.org/drawingml/2006/picture">
                      <pic:pic>
                        <pic:nvPicPr>
                          <pic:cNvPr descr="manuscript_files/figure-docx/fig-vocabulary-bcn-1.png" id="61" name="Picture"/>
                          <pic:cNvPicPr>
                            <a:picLocks noChangeArrowheads="1" noChangeAspect="1"/>
                          </pic:cNvPicPr>
                        </pic:nvPicPr>
                        <pic:blipFill>
                          <a:blip r:embed="rId59"/>
                          <a:stretch>
                            <a:fillRect/>
                          </a:stretch>
                        </pic:blipFill>
                        <pic:spPr bwMode="auto">
                          <a:xfrm>
                            <a:off x="0" y="0"/>
                            <a:ext cx="5491891" cy="27459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Participant receptive vocabulary sizes across ages and language profiles. Points and intervals indicate mean and standard deviations, respectively.</w:t>
            </w:r>
          </w:p>
          <w:bookmarkEnd w:id="62"/>
        </w:tc>
      </w:tr>
    </w:tbl>
    <w:bookmarkEnd w:id="63"/>
    <w:bookmarkStart w:id="64" w:name="design-1"/>
    <w:p>
      <w:pPr>
        <w:pStyle w:val="Heading3"/>
      </w:pPr>
      <w:r>
        <w:t xml:space="preserve">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(16 trials),</w:t>
      </w:r>
      <w:r>
        <w:t xml:space="preserve"> </w:t>
      </w:r>
      <w:r>
        <w:rPr>
          <w:iCs/>
          <w:i/>
        </w:rPr>
        <w:t xml:space="preserve">Related/Non-cognate</w:t>
      </w:r>
      <w:r>
        <w:t xml:space="preserve"> </w:t>
      </w:r>
      <w:r>
        <w:t xml:space="preserve">(8 trials), and</w:t>
      </w:r>
      <w:r>
        <w:t xml:space="preserve"> </w:t>
      </w:r>
      <w:r>
        <w:rPr>
          <w:iCs/>
          <w:i/>
        </w:rPr>
        <w:t xml:space="preserve">Related/Cognate</w:t>
      </w:r>
      <w:r>
        <w:t xml:space="preserve"> </w:t>
      </w:r>
      <w:r>
        <w:t xml:space="preserve">(8 trials). In</w:t>
      </w:r>
      <w:r>
        <w:t xml:space="preserve"> </w:t>
      </w:r>
      <w:r>
        <w:rPr>
          <w:iCs/>
          <w:i/>
        </w:rPr>
        <w:t xml:space="preserve">Unrelated</w:t>
      </w:r>
      <w:r>
        <w:t xml:space="preserve"> </w:t>
      </w:r>
      <w:r>
        <w:t xml:space="preserve">trials, target was phonologically unrelated with the Catalan and Spanish labels of the prime picture (e.g., /</w:t>
      </w:r>
      <w:r>
        <w:t xml:space="preserve">/</w:t>
      </w:r>
      <m:oMath>
        <m:sSub>
          <m:e>
            <m:r>
              <m:t>​</m:t>
            </m:r>
          </m:e>
          <m:sub>
            <m:r>
              <m:rPr>
                <m:nor/>
                <m:sty m:val="p"/>
              </m:rPr>
              <m:t>CAT</m:t>
            </m:r>
          </m:sub>
        </m:sSub>
      </m:oMath>
      <w:r>
        <w:t xml:space="preserve"> </w:t>
      </w:r>
      <w:r>
        <w:t xml:space="preserve">(/</w:t>
      </w:r>
      <w:r>
        <w:t xml:space="preserve">/</w:t>
      </w:r>
      <m:oMath>
        <m:sSub>
          <m:e>
            <m:r>
              <m:t>​</m:t>
            </m:r>
          </m:e>
          <m:sub>
            <m:r>
              <m:rPr>
                <m:nor/>
                <m:sty m:val="p"/>
              </m:rPr>
              <m:t>SPA</m:t>
            </m:r>
          </m:sub>
        </m:sSub>
        <m:r>
          <m:rPr>
            <m:sty m:val="p"/>
          </m:rPr>
          <m:t>)</m:t>
        </m:r>
        <m:d>
          <m:dPr>
            <m:begChr m:val="["/>
            <m:endChr m:val="]"/>
            <m:sepChr m:val=""/>
            <m:grow/>
          </m:dPr>
          <m:e>
            <m:r>
              <m:rPr>
                <m:nor/>
                <m:sty m:val="p"/>
              </m:rPr>
              <m:t>dog</m:t>
            </m:r>
          </m:e>
        </m:d>
      </m:oMath>
      <w:r>
        <w:t xml:space="preserve">–/</w:t>
      </w:r>
      <w:r>
        <w:t xml:space="preserve">/</w:t>
      </w:r>
      <m:oMath>
        <m:sSub>
          <m:e>
            <m:r>
              <m:t>​</m:t>
            </m:r>
          </m:e>
          <m:sub>
            <m:r>
              <m:rPr>
                <m:nor/>
                <m:sty m:val="p"/>
              </m:rPr>
              <m:t>CAT</m:t>
            </m:r>
          </m:sub>
        </m:sSub>
        <m:d>
          <m:dPr>
            <m:begChr m:val="["/>
            <m:endChr m:val="]"/>
            <m:sepChr m:val=""/>
            <m:grow/>
          </m:dPr>
          <m:e>
            <m:r>
              <m:rPr>
                <m:nor/>
                <m:sty m:val="p"/>
              </m:rPr>
              <m:t>house</m:t>
            </m:r>
          </m:e>
        </m:d>
      </m:oMath>
      <w:r>
        <w:t xml:space="preserve">, for a child tested in Catalan). In</w:t>
      </w:r>
      <w:r>
        <w:t xml:space="preserve"> </w:t>
      </w:r>
      <w:r>
        <w:rPr>
          <w:iCs/>
          <w:i/>
        </w:rPr>
        <w:t xml:space="preserve">Related/Non-cognate</w:t>
      </w:r>
      <w:r>
        <w:t xml:space="preserve"> </w:t>
      </w:r>
      <w:r>
        <w:t xml:space="preserve">trials, the target shared phonological onset with the prime label in the test language, but not with the prime label in the other language (e.g., /</w:t>
      </w:r>
      <w:r>
        <w:t xml:space="preserve">/</w:t>
      </w:r>
      <m:oMath>
        <m:sSub>
          <m:e>
            <m:r>
              <m:t>​</m:t>
            </m:r>
          </m:e>
          <m:sub>
            <m:r>
              <m:rPr>
                <m:nor/>
                <m:sty m:val="p"/>
              </m:rPr>
              <m:t>CAT</m:t>
            </m:r>
          </m:sub>
        </m:sSub>
      </m:oMath>
      <w:r>
        <w:t xml:space="preserve"> </w:t>
      </w:r>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dog</m:t>
            </m:r>
          </m:e>
        </m:d>
      </m:oMath>
      <w:r>
        <w:t xml:space="preserve">–/</w:t>
      </w:r>
      <w:r>
        <w:t xml:space="preserve">/</w:t>
      </w:r>
      <m:oMath>
        <m:sSub>
          <m:e>
            <m:r>
              <m:t>​</m:t>
            </m:r>
          </m:e>
          <m:sub>
            <m:r>
              <m:rPr>
                <m:nor/>
                <m:sty m:val="p"/>
              </m:rPr>
              <m:t>CAT</m:t>
            </m:r>
          </m:sub>
        </m:sSub>
        <m:d>
          <m:dPr>
            <m:begChr m:val="["/>
            <m:endChr m:val="]"/>
            <m:sepChr m:val=""/>
            <m:grow/>
          </m:dPr>
          <m:e>
            <m:r>
              <m:rPr>
                <m:nor/>
                <m:sty m:val="p"/>
              </m:rPr>
              <m:t>coin</m:t>
            </m:r>
          </m:e>
        </m:d>
      </m:oMath>
      <w:r>
        <w:t xml:space="preserve">). In</w:t>
      </w:r>
      <w:r>
        <w:t xml:space="preserve"> </w:t>
      </w:r>
      <w:r>
        <w:rPr>
          <w:iCs/>
          <w:i/>
        </w:rPr>
        <w:t xml:space="preserve">Related/Cognate</w:t>
      </w:r>
      <w:r>
        <w:t xml:space="preserve"> </w:t>
      </w:r>
      <w:r>
        <w:t xml:space="preserve">trials, the target shared phonological overlap with both English and Spanish prime labels (e.g., /</w:t>
      </w:r>
      <w:r>
        <w:t xml:space="preserve">/</w:t>
      </w:r>
      <m:oMath>
        <m:sSub>
          <m:e>
            <m:r>
              <m:t>​</m:t>
            </m:r>
          </m:e>
          <m:sub>
            <m:r>
              <m:rPr>
                <m:nor/>
                <m:sty m:val="p"/>
              </m:rPr>
              <m:t>CAT</m:t>
            </m:r>
          </m:sub>
        </m:sSub>
      </m:oMath>
      <w:r>
        <w:t xml:space="preserve"> </w:t>
      </w:r>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dog</m:t>
            </m:r>
          </m:e>
        </m:d>
      </m:oMath>
      <w:r>
        <w:t xml:space="preserve">–/</w:t>
      </w:r>
      <m:oMath>
        <m:r>
          <m:t>λ</m:t>
        </m:r>
      </m:oMath>
      <w:r>
        <w:t xml:space="preserve">/</w:t>
      </w:r>
      <m:oMath>
        <m:sSub>
          <m:e>
            <m:r>
              <m:t>​</m:t>
            </m:r>
          </m:e>
          <m:sub>
            <m:r>
              <m:rPr>
                <m:nor/>
                <m:sty m:val="p"/>
              </m:rPr>
              <m:t>CAT</m:t>
            </m:r>
          </m:sub>
        </m:sSub>
        <m:d>
          <m:dPr>
            <m:begChr m:val="["/>
            <m:endChr m:val="]"/>
            <m:sepChr m:val=""/>
            <m:grow/>
          </m:dPr>
          <m:e>
            <m:r>
              <m:rPr>
                <m:nor/>
                <m:sty m:val="p"/>
              </m:rPr>
              <m:t>bee</m:t>
            </m:r>
          </m:e>
        </m:d>
      </m:oMath>
      <w:r>
        <w:t xml:space="preserve">)</w:t>
      </w:r>
    </w:p>
    <w:p>
      <w:pPr>
        <w:pStyle w:val="BodyText"/>
      </w:pPr>
      <w:r>
        <w:t xml:space="preserve">(</w:t>
      </w:r>
      <m:oMath>
        <m:r>
          <m:rPr>
            <m:nor/>
            <m:sty m:val="b"/>
          </m:rPr>
          <m:t>a</m:t>
        </m:r>
        <m:sSub>
          <m:e>
            <m:r>
              <m:rPr>
                <m:nor/>
                <m:sty m:val="p"/>
              </m:rPr>
              <m:t>rbre</m:t>
            </m:r>
          </m:e>
          <m:sub>
            <m:r>
              <m:rPr>
                <m:nor/>
                <m:sty m:val="p"/>
              </m:rPr>
              <m:t>CAT</m:t>
            </m:r>
          </m:sub>
        </m:sSub>
        <m:r>
          <m:rPr>
            <m:sty m:val="p"/>
          </m:rPr>
          <m:t>/</m:t>
        </m:r>
        <m:r>
          <m:rPr>
            <m:nor/>
            <m:sty m:val="b"/>
          </m:rPr>
          <m:t>á</m:t>
        </m:r>
        <m:sSub>
          <m:e>
            <m:r>
              <m:rPr>
                <m:nor/>
                <m:sty m:val="p"/>
              </m:rPr>
              <m:t>rbol</m:t>
            </m:r>
          </m:e>
          <m:sub>
            <m:r>
              <m:rPr>
                <m:nor/>
                <m:sty m:val="p"/>
              </m:rPr>
              <m:t>SPA</m:t>
            </m:r>
          </m:sub>
        </m:sSub>
        <m:d>
          <m:dPr>
            <m:begChr m:val="["/>
            <m:endChr m:val="]"/>
            <m:sepChr m:val=""/>
            <m:grow/>
          </m:dPr>
          <m:e>
            <m:r>
              <m:rPr>
                <m:nor/>
                <m:sty m:val="p"/>
              </m:rPr>
              <m:t>tree</m:t>
            </m:r>
          </m:e>
        </m:d>
        <m:r>
          <m:rPr>
            <m:sty m:val="p"/>
          </m:rPr>
          <m:t>−</m:t>
        </m:r>
        <m:r>
          <m:rPr>
            <m:nor/>
            <m:sty m:val="b"/>
          </m:rPr>
          <m:t>a</m:t>
        </m:r>
        <m:sSub>
          <m:e>
            <m:r>
              <m:rPr>
                <m:nor/>
                <m:sty m:val="p"/>
              </m:rPr>
              <m:t>bella</m:t>
            </m:r>
          </m:e>
          <m:sub>
            <m:r>
              <m:rPr>
                <m:nor/>
                <m:sty m:val="p"/>
              </m:rPr>
              <m:t>CAT</m:t>
            </m:r>
          </m:sub>
        </m:sSub>
        <m:d>
          <m:dPr>
            <m:begChr m:val="["/>
            <m:endChr m:val="]"/>
            <m:sepChr m:val=""/>
            <m:grow/>
          </m:dPr>
          <m:e>
            <m:r>
              <m:rPr>
                <m:nor/>
                <m:sty m:val="p"/>
              </m:rPr>
              <m:t>bee</m:t>
            </m:r>
          </m:e>
        </m:d>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bookmarkEnd w:id="64"/>
    <w:bookmarkStart w:id="65" w:name="stimuli-1"/>
    <w:p>
      <w:pPr>
        <w:pStyle w:val="Heading3"/>
      </w:pPr>
      <w:r>
        <w:t xml:space="preserve">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w:t>
      </w:r>
      <w:hyperlink w:anchor="ref-garcia2023cognate">
        <w:r>
          <w:rPr>
            <w:rStyle w:val="Hyperlink"/>
          </w:rPr>
          <w:t xml:space="preserve">2023</w:t>
        </w:r>
      </w:hyperlink>
      <w:r>
        <w:t xml:space="preserve">)</w:t>
      </w:r>
      <w:r>
        <w:t xml:space="preserve">. The auditory stimuli were natural exemplars of the selected target words, spoken by a proficient female bilingual speaker of Catalan (Central variety) and Castilian Spanish, who was instructed to pronounce each word in a toddler-directed manner. Catalan audios had an average duration of 1,229.84 ms (</w:t>
      </w:r>
      <w:r>
        <w:rPr>
          <w:iCs/>
          <w:i/>
        </w:rPr>
        <w:t xml:space="preserve">SD</w:t>
      </w:r>
      <w:r>
        <w:t xml:space="preserve"> </w:t>
      </w:r>
      <w:r>
        <w:t xml:space="preserve">= 171.43,</w:t>
      </w:r>
      <w:r>
        <w:t xml:space="preserve"> </w:t>
      </w:r>
      <w:r>
        <w:rPr>
          <w:iCs/>
          <w:i/>
        </w:rPr>
        <w:t xml:space="preserve">Range</w:t>
      </w:r>
      <w:r>
        <w:t xml:space="preserve"> </w:t>
      </w:r>
      <w:r>
        <w:t xml:space="preserve">= 860–1,550), and Spanish audios had an average duration of 1,080.47 ms (</w:t>
      </w:r>
      <w:r>
        <w:rPr>
          <w:iCs/>
          <w:i/>
        </w:rPr>
        <w:t xml:space="preserve">SD</w:t>
      </w:r>
      <w:r>
        <w:t xml:space="preserve"> </w:t>
      </w:r>
      <w:r>
        <w:t xml:space="preserve">= 134.58,</w:t>
      </w:r>
      <w:r>
        <w:t xml:space="preserve"> </w:t>
      </w:r>
      <w:r>
        <w:rPr>
          <w:iCs/>
          <w:i/>
        </w:rPr>
        <w:t xml:space="preserve">Range</w:t>
      </w:r>
      <w:r>
        <w:t xml:space="preserve"> </w:t>
      </w:r>
      <w:r>
        <w:t xml:space="preserve">= 830–1,390). New visual stimuli were created to accommodate the words included in the new stimuli lists, and possible cultural differences in the typicality of the exemplars shown in the pictures (see Appendix A for a detailed description of the stimuli).</w:t>
      </w:r>
    </w:p>
    <w:bookmarkEnd w:id="65"/>
    <w:bookmarkStart w:id="66" w:name="procedure-1"/>
    <w:p>
      <w:pPr>
        <w:pStyle w:val="Heading3"/>
      </w:pPr>
      <w:r>
        <w:t xml:space="preserve">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66"/>
    <w:bookmarkStart w:id="67" w:name="data-analysis-1"/>
    <w:p>
      <w:pPr>
        <w:pStyle w:val="Heading3"/>
      </w:pPr>
      <w:r>
        <w:t xml:space="preserve">Data analysis</w:t>
      </w:r>
    </w:p>
    <w:p>
      <w:pPr>
        <w:pStyle w:val="FirstParagraph"/>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and 51 provided data from two experimental sessions.</w:t>
      </w:r>
      <w:r>
        <w:t xml:space="preserve"> </w:t>
      </w:r>
      <w:r>
        <w:rPr>
          <w:bCs/>
          <w:b/>
        </w:rPr>
        <w:t xml:space="preserve">?@tbl-attrition</w:t>
      </w:r>
      <w:r>
        <w:t xml:space="preserve"> </w:t>
      </w:r>
      <w:r>
        <w:t xml:space="preserve">shows a detailed description of the trial attrition.</w:t>
      </w:r>
    </w:p>
    <w:p>
      <w:pPr>
        <w:pStyle w:val="BodyText"/>
      </w:pPr>
      <w:r>
        <w:t xml:space="preserve">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w:t>
      </w:r>
    </w:p>
    <w:bookmarkEnd w:id="67"/>
    <w:bookmarkEnd w:id="68"/>
    <w:bookmarkStart w:id="76" w:name="results-1"/>
    <w:p>
      <w:pPr>
        <w:pStyle w:val="Heading2"/>
      </w:pPr>
      <w:r>
        <w:t xml:space="preserve">Results</w:t>
      </w:r>
    </w:p>
    <w:bookmarkStart w:id="73" w:name="priming-effects-1"/>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72" w:name="fig-epreds"/>
          <w:p>
            <w:pPr>
              <w:jc w:val="center"/>
            </w:pPr>
            <w:r>
              <w:drawing>
                <wp:inline>
                  <wp:extent cx="5943600" cy="5943600"/>
                  <wp:effectExtent b="0" l="0" r="0" t="0"/>
                  <wp:docPr descr="" title="" id="70" name="Picture"/>
                  <a:graphic>
                    <a:graphicData uri="http://schemas.openxmlformats.org/drawingml/2006/picture">
                      <pic:pic>
                        <pic:nvPicPr>
                          <pic:cNvPr descr="manuscript_files/figure-docx/fig-epreds-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72"/>
        </w:tc>
      </w:tr>
    </w:tbl>
    <w:bookmarkEnd w:id="73"/>
    <w:bookmarkStart w:id="75" w:name="age-and-vocabulary-size-effects-1"/>
    <w:p>
      <w:pPr>
        <w:pStyle w:val="Heading3"/>
      </w:pPr>
      <w:r>
        <w:t xml:space="preserve">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74"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74"/>
    <w:bookmarkEnd w:id="75"/>
    <w:bookmarkEnd w:id="76"/>
    <w:bookmarkStart w:id="77" w:name="discussion-1"/>
    <w:p>
      <w:pPr>
        <w:pStyle w:val="Heading2"/>
      </w:pPr>
      <w:r>
        <w:t xml:space="preserve">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w:t>
      </w:r>
      <w:hyperlink w:anchor="ref-avila2021longitudinal">
        <w:r>
          <w:rPr>
            <w:rStyle w:val="Hyperlink"/>
          </w:rPr>
          <w:t xml:space="preserve">Avila-Varela et al., 2021</w:t>
        </w:r>
      </w:hyperlink>
      <w:r>
        <w:t xml:space="preserve">;</w:t>
      </w:r>
      <w:r>
        <w:t xml:space="preserve"> </w:t>
      </w:r>
      <w:hyperlink w:anchor="ref-mani2011phonological">
        <w:r>
          <w:rPr>
            <w:rStyle w:val="Hyperlink"/>
          </w:rPr>
          <w:t xml:space="preserve">Mani &amp; Plunkett, 2011</w:t>
        </w:r>
      </w:hyperlink>
      <w:r>
        <w:t xml:space="preserve">)</w:t>
      </w:r>
      <w:r>
        <w:t xml:space="preserve"> </w:t>
      </w:r>
      <w:r>
        <w:t xml:space="preserve">and younger</w:t>
      </w:r>
      <w:r>
        <w:t xml:space="preserve"> </w:t>
      </w:r>
      <w:r>
        <w:t xml:space="preserve">(</w:t>
      </w:r>
      <w:hyperlink w:anchor="ref-duta2012erp">
        <w:r>
          <w:rPr>
            <w:rStyle w:val="Hyperlink"/>
          </w:rPr>
          <w:t xml:space="preserve">Duta et al., 2012</w:t>
        </w:r>
      </w:hyperlink>
      <w:r>
        <w:t xml:space="preserve">;</w:t>
      </w:r>
      <w:r>
        <w:t xml:space="preserve"> </w:t>
      </w:r>
      <w:hyperlink w:anchor="ref-mani2010infant">
        <w:r>
          <w:rPr>
            <w:rStyle w:val="Hyperlink"/>
          </w:rPr>
          <w:t xml:space="preserve">Mani &amp; Plunkett, 2010</w:t>
        </w:r>
      </w:hyperlink>
      <w:r>
        <w:t xml:space="preserve">;</w:t>
      </w:r>
      <w:r>
        <w:t xml:space="preserve"> </w:t>
      </w:r>
      <w:hyperlink w:anchor="ref-styles2015infant">
        <w:r>
          <w:rPr>
            <w:rStyle w:val="Hyperlink"/>
          </w:rPr>
          <w:t xml:space="preserve">Styles et al., 2015</w:t>
        </w:r>
      </w:hyperlink>
      <w:r>
        <w:t xml:space="preserve">)</w:t>
      </w:r>
      <w:r>
        <w:t xml:space="preserve">, and cross-language priming in adults</w:t>
      </w:r>
      <w:r>
        <w:t xml:space="preserve"> </w:t>
      </w:r>
      <w:r>
        <w:t xml:space="preserve">(</w:t>
      </w:r>
      <w:hyperlink w:anchor="ref-von2014bilinguals">
        <w:r>
          <w:rPr>
            <w:rStyle w:val="Hyperlink"/>
          </w:rPr>
          <w:t xml:space="preserve">Von Holzen &amp; Mani, 2014</w:t>
        </w:r>
      </w:hyperlink>
      <w:r>
        <w:t xml:space="preserve">)</w:t>
      </w:r>
      <w:r>
        <w:t xml:space="preserve">.</w:t>
      </w:r>
    </w:p>
    <w:p>
      <w:pPr>
        <w:pStyle w:val="BodyText"/>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77"/>
    <w:bookmarkEnd w:id="78"/>
    <w:bookmarkStart w:id="83" w:name="general-discussion"/>
    <w:p>
      <w:pPr>
        <w:pStyle w:val="Heading1"/>
      </w:pPr>
      <w:r>
        <w:t xml:space="preserve">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a same-aged English monolingual cohort. We found a null pattern of results, indicating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BodyText"/>
      </w:pPr>
      <w:r>
        <w:t xml:space="preserve">The null pattern of results in Studies 1 and 2 contrasts with previous findings of within- and cross-language priming using an implicit naming paradigm. In their seminal study,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w:t>
      </w:r>
      <w:hyperlink w:anchor="ref-von2014bilinguals">
        <w:r>
          <w:rPr>
            <w:rStyle w:val="Hyperlink"/>
          </w:rPr>
          <w:t xml:space="preserve">Von Holzen &amp; Mani, 2014</w:t>
        </w:r>
      </w:hyperlink>
      <w:r>
        <w:t xml:space="preserve">)</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w:t>
      </w:r>
      <w:hyperlink w:anchor="ref-duta2012erp">
        <w:r>
          <w:rPr>
            <w:rStyle w:val="Hyperlink"/>
          </w:rPr>
          <w:t xml:space="preserve">2012</w:t>
        </w:r>
      </w:hyperlink>
      <w:r>
        <w:t xml:space="preserve">)</w:t>
      </w:r>
      <w:r>
        <w:t xml:space="preserve"> </w:t>
      </w:r>
      <w:r>
        <w:t xml:space="preserve">and</w:t>
      </w:r>
      <w:r>
        <w:t xml:space="preserve"> </w:t>
      </w:r>
      <w:r>
        <w:t xml:space="preserve">Styles et al. (</w:t>
      </w:r>
      <w:hyperlink w:anchor="ref-styles2015infant">
        <w:r>
          <w:rPr>
            <w:rStyle w:val="Hyperlink"/>
          </w:rPr>
          <w:t xml:space="preserve">2015</w:t>
        </w:r>
      </w:hyperlink>
      <w:r>
        <w:t xml:space="preserve">)</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BodyText"/>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7pupillometry">
        <w:r>
          <w:rPr>
            <w:rStyle w:val="Hyperlink"/>
          </w:rPr>
          <w:t xml:space="preserve">Tamási et al., 2017</w:t>
        </w:r>
      </w:hyperlink>
      <w:r>
        <w:t xml:space="preserve">)</w:t>
      </w:r>
      <w:r>
        <w:t xml:space="preserve"> </w:t>
      </w:r>
      <w:r>
        <w:t xml:space="preserve">and bilinguals</w:t>
      </w:r>
      <w:r>
        <w:t xml:space="preserve"> </w:t>
      </w:r>
      <w:r>
        <w:t xml:space="preserve">(</w:t>
      </w:r>
      <w:hyperlink w:anchor="ref-ramon2009vowel">
        <w:r>
          <w:rPr>
            <w:rStyle w:val="Hyperlink"/>
          </w:rPr>
          <w:t xml:space="preserve">Ramon-Casas et al., 2009</w:t>
        </w:r>
      </w:hyperlink>
      <w:r>
        <w:t xml:space="preserve">;</w:t>
      </w:r>
      <w:r>
        <w:t xml:space="preserve"> </w:t>
      </w:r>
      <w:hyperlink w:anchor="ref-tamasi2016measuring">
        <w:r>
          <w:rPr>
            <w:rStyle w:val="Hyperlink"/>
          </w:rPr>
          <w:t xml:space="preserve">Tamási et al., 2016</w:t>
        </w:r>
      </w:hyperlink>
      <w:r>
        <w:t xml:space="preserve">)</w:t>
      </w:r>
      <w:r>
        <w:t xml:space="preserve"> </w:t>
      </w:r>
      <w:r>
        <w:t xml:space="preserve">have been shown to encode lexical representations with high phonological detail from early ages.</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w:t>
      </w:r>
    </w:p>
    <w:p>
      <w:pPr>
        <w:pStyle w:val="BodyText"/>
      </w:pPr>
      <w:r>
        <w:t xml:space="preserve">Third, and most likely, the modifications of the implicit naming task in the present investigation might have reduce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tbl>
      <w:tblPr>
        <w:tblStyle w:val="Table"/>
        <w:tblW w:type="pct" w:w="5000"/>
        <w:tblLook w:firstRow="0" w:lastRow="0" w:firstColumn="0" w:lastColumn="0" w:noHBand="0" w:noVBand="0" w:val="0000"/>
        <w:jc w:val="start"/>
      </w:tblPr>
      <w:tblGrid>
        <w:gridCol w:w="7920"/>
      </w:tblGrid>
      <w:tr>
        <w:tc>
          <w:tcPr/>
          <w:bookmarkStart w:id="82" w:name="fig-mp"/>
          <w:p>
            <w:pPr>
              <w:jc w:val="center"/>
            </w:pPr>
            <w:r>
              <w:drawing>
                <wp:inline>
                  <wp:extent cx="5943600" cy="2547257"/>
                  <wp:effectExtent b="0" l="0" r="0" t="0"/>
                  <wp:docPr descr="" title="" id="80" name="Picture"/>
                  <a:graphic>
                    <a:graphicData uri="http://schemas.openxmlformats.org/drawingml/2006/picture">
                      <pic:pic>
                        <pic:nvPicPr>
                          <pic:cNvPr descr="manuscript_files/figure-docx/fig-mp-1.png" id="81" name="Picture"/>
                          <pic:cNvPicPr>
                            <a:picLocks noChangeArrowheads="1" noChangeAspect="1"/>
                          </pic:cNvPicPr>
                        </pic:nvPicPr>
                        <pic:blipFill>
                          <a:blip r:embed="rId79"/>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Distribution of lexical frequencies and word familiarity at 18 months for the stimuli in Mani and Plunkett (2010, 2011), and in Study 1. A) Lexical frequencies (expressed as Zipf scores) for prime and target words. Lexical frequences are shown for related and unrelated primes separately. B) Word familiarity scores for prime and target words, calculated as the proportion of participants in the OCDI norms that were reported by their caregivers to understand the word. Word familiarity scores are shown for related and unrelated primes separately.</w:t>
            </w:r>
          </w:p>
          <w:bookmarkEnd w:id="82"/>
        </w:tc>
      </w:tr>
    </w:tbl>
    <w:p>
      <w:pPr>
        <w:pStyle w:val="BodyText"/>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w:t>
      </w:r>
      <w:hyperlink w:anchor="ref-mani2010infant">
        <w:r>
          <w:rPr>
            <w:rStyle w:val="Hyperlink"/>
          </w:rPr>
          <w:t xml:space="preserve">2010</w:t>
        </w:r>
      </w:hyperlink>
      <w:r>
        <w:t xml:space="preserve">)</w:t>
      </w:r>
      <w:r>
        <w:t xml:space="preserve">. We examined this possibility by comparing the distributions of the English words included in Study 1, with those included in</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(stimuli lists are identical in both studies).</w:t>
      </w:r>
      <w:r>
        <w:t xml:space="preserve"> </w:t>
      </w:r>
      <w:hyperlink w:anchor="fig-mp">
        <w:r>
          <w:rPr>
            <w:rStyle w:val="Hyperlink"/>
          </w:rPr>
          <w:t xml:space="preserve">Figure 7</w:t>
        </w:r>
      </w:hyperlink>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BodyText"/>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w:t>
      </w:r>
      <w:hyperlink w:anchor="ref-avila2021longitudinal">
        <w:r>
          <w:rPr>
            <w:rStyle w:val="Hyperlink"/>
          </w:rPr>
          <w:t xml:space="preserve">2021</w:t>
        </w:r>
      </w:hyperlink>
      <w:r>
        <w:t xml:space="preserve">)</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w:t>
      </w:r>
      <w:hyperlink w:anchor="ref-szagun2009fragebogen">
        <w:r>
          <w:rPr>
            <w:rStyle w:val="Hyperlink"/>
          </w:rPr>
          <w:t xml:space="preserve">Szagun et al., 2009</w:t>
        </w:r>
      </w:hyperlink>
      <w:r>
        <w:t xml:space="preserve">)</w:t>
      </w:r>
      <w:r>
        <w:t xml:space="preserve">, an adaptation of the CDI to German. Their cohort of participants showed receptive vocabulary sizes larger than those of participants in the present study. Participants in</w:t>
      </w:r>
      <w:r>
        <w:t xml:space="preserve"> </w:t>
      </w:r>
      <w:r>
        <w:t xml:space="preserve">Avila-Varela et al. (</w:t>
      </w:r>
      <w:hyperlink w:anchor="ref-avila2021longitudinal">
        <w:r>
          <w:rPr>
            <w:rStyle w:val="Hyperlink"/>
          </w:rPr>
          <w:t xml:space="preserve">2021</w:t>
        </w:r>
      </w:hyperlink>
      <w:r>
        <w:t xml:space="preserve">)</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 Estimates from both questionnaires should be compared with caution—if at all—given their different lengths. It possible that the apparent smaller vocabulary size of English participants in Study 1 is a measurement artefact, resulting from a lower upper bound in the possible number of words that can be marked acquired by caregivers.</w:t>
      </w:r>
    </w:p>
    <w:p>
      <w:pPr>
        <w:pStyle w:val="BodyText"/>
      </w:pPr>
      <w:r>
        <w:t xml:space="preserve">Despite the unsuccessful adaptation of the original procedure, the present study introduces several methodological contributions. First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Second,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detectable in our adaptation of the paradigm.</w:t>
      </w:r>
    </w:p>
    <w:bookmarkEnd w:id="83"/>
    <w:bookmarkStart w:id="187" w:name="references"/>
    <w:p>
      <w:pPr>
        <w:pStyle w:val="Heading1"/>
      </w:pPr>
      <w:r>
        <w:t xml:space="preserve">References</w:t>
      </w:r>
    </w:p>
    <w:bookmarkStart w:id="186" w:name="refs"/>
    <w:bookmarkStart w:id="84"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84"/>
    <w:bookmarkStart w:id="85"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85"/>
    <w:bookmarkStart w:id="86" w:name="ref-avila2021longitudinal"/>
    <w:p>
      <w:pPr>
        <w:pStyle w:val="Bibliography"/>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86"/>
    <w:bookmarkStart w:id="87"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87"/>
    <w:bookmarkStart w:id="88"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88"/>
    <w:bookmarkStart w:id="89"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89"/>
    <w:bookmarkStart w:id="90"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90"/>
    <w:bookmarkStart w:id="91"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91"/>
    <w:bookmarkStart w:id="92"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92"/>
    <w:bookmarkStart w:id="93"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93"/>
    <w:bookmarkStart w:id="94"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94"/>
    <w:bookmarkStart w:id="95" w:name="ref-bloom2002children"/>
    <w:p>
      <w:pPr>
        <w:pStyle w:val="Bibliography"/>
      </w:pPr>
      <w:r>
        <w:t xml:space="preserve">Bloom, P. (2002).</w:t>
      </w:r>
      <w:r>
        <w:t xml:space="preserve"> </w:t>
      </w:r>
      <w:r>
        <w:rPr>
          <w:iCs/>
          <w:i/>
        </w:rPr>
        <w:t xml:space="preserve">How children learn the meanings of words</w:t>
      </w:r>
      <w:r>
        <w:t xml:space="preserve">. MIT press.</w:t>
      </w:r>
    </w:p>
    <w:bookmarkEnd w:id="95"/>
    <w:bookmarkStart w:id="96"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96"/>
    <w:bookmarkStart w:id="97"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97"/>
    <w:bookmarkStart w:id="98"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98"/>
    <w:bookmarkStart w:id="99"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99"/>
    <w:bookmarkStart w:id="100"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100"/>
    <w:bookmarkStart w:id="101"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101"/>
    <w:bookmarkStart w:id="102"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102"/>
    <w:bookmarkStart w:id="104"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103">
        <w:r>
          <w:rPr>
            <w:rStyle w:val="Hyperlink"/>
          </w:rPr>
          <w:t xml:space="preserve">https://doi.org/10.1177/01427237231204167</w:t>
        </w:r>
      </w:hyperlink>
    </w:p>
    <w:bookmarkEnd w:id="104"/>
    <w:bookmarkStart w:id="105"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105"/>
    <w:bookmarkStart w:id="106"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106"/>
    <w:bookmarkStart w:id="107"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107"/>
    <w:bookmarkStart w:id="108"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108"/>
    <w:bookmarkStart w:id="109"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109"/>
    <w:bookmarkStart w:id="110"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10"/>
    <w:bookmarkStart w:id="111"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111"/>
    <w:bookmarkStart w:id="112"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12"/>
    <w:bookmarkStart w:id="114"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13">
        <w:r>
          <w:rPr>
            <w:rStyle w:val="Hyperlink"/>
          </w:rPr>
          <w:t xml:space="preserve">https://doi.org/10.1006/jmla.1999.2654</w:t>
        </w:r>
      </w:hyperlink>
    </w:p>
    <w:bookmarkEnd w:id="114"/>
    <w:bookmarkStart w:id="115"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15"/>
    <w:bookmarkStart w:id="116"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16"/>
    <w:bookmarkStart w:id="117"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17"/>
    <w:bookmarkStart w:id="118"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18"/>
    <w:bookmarkStart w:id="119"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19"/>
    <w:bookmarkStart w:id="120"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20"/>
    <w:bookmarkStart w:id="121"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21"/>
    <w:bookmarkStart w:id="122"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22"/>
    <w:bookmarkStart w:id="123"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23"/>
    <w:bookmarkStart w:id="124"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24"/>
    <w:bookmarkStart w:id="125"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25"/>
    <w:bookmarkStart w:id="126"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26"/>
    <w:bookmarkStart w:id="127"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27"/>
    <w:bookmarkStart w:id="129"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28">
        <w:r>
          <w:rPr>
            <w:rStyle w:val="Hyperlink"/>
          </w:rPr>
          <w:t xml:space="preserve">https://gongcastro.github.io/bvq</w:t>
        </w:r>
      </w:hyperlink>
    </w:p>
    <w:bookmarkEnd w:id="129"/>
    <w:bookmarkStart w:id="130"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30"/>
    <w:bookmarkStart w:id="131"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31"/>
    <w:bookmarkStart w:id="132"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32"/>
    <w:bookmarkStart w:id="133"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33"/>
    <w:bookmarkStart w:id="134"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34"/>
    <w:bookmarkStart w:id="135"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35"/>
    <w:bookmarkStart w:id="136"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36"/>
    <w:bookmarkStart w:id="137"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37"/>
    <w:bookmarkStart w:id="138" w:name="ref-kleiner2007s"/>
    <w:p>
      <w:pPr>
        <w:pStyle w:val="Bibliography"/>
      </w:pPr>
      <w:r>
        <w:t xml:space="preserve">Kleiner, M., Brainard, D., &amp; Pelli, D. (2007).</w:t>
      </w:r>
      <w:r>
        <w:t xml:space="preserve"> </w:t>
      </w:r>
      <w:r>
        <w:rPr>
          <w:iCs/>
          <w:i/>
        </w:rPr>
        <w:t xml:space="preserve">What’s new in psychtoolbox-3?</w:t>
      </w:r>
    </w:p>
    <w:bookmarkEnd w:id="138"/>
    <w:bookmarkStart w:id="139"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39"/>
    <w:bookmarkStart w:id="140"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40"/>
    <w:bookmarkStart w:id="141"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41"/>
    <w:bookmarkStart w:id="142"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42"/>
    <w:bookmarkStart w:id="143"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43"/>
    <w:bookmarkStart w:id="144"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44"/>
    <w:bookmarkStart w:id="145"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145"/>
    <w:bookmarkStart w:id="146" w:name="ref-marchman2010vocabulary"/>
    <w:p>
      <w:pPr>
        <w:pStyle w:val="Bibliography"/>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146"/>
    <w:bookmarkStart w:id="147"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47"/>
    <w:bookmarkStart w:id="148" w:name="ref-mayor2014infant"/>
    <w:p>
      <w:pPr>
        <w:pStyle w:val="Bibliography"/>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148"/>
    <w:bookmarkStart w:id="149"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49"/>
    <w:bookmarkStart w:id="150"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50"/>
    <w:bookmarkStart w:id="151"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51"/>
    <w:bookmarkStart w:id="152"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52"/>
    <w:bookmarkStart w:id="153"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53"/>
    <w:bookmarkStart w:id="154"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54"/>
    <w:bookmarkStart w:id="155"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55"/>
    <w:bookmarkStart w:id="156"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56"/>
    <w:bookmarkStart w:id="158"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57">
        <w:r>
          <w:rPr>
            <w:rStyle w:val="Hyperlink"/>
          </w:rPr>
          <w:t xml:space="preserve">https://doi.org/10.1177/13670069211069067</w:t>
        </w:r>
      </w:hyperlink>
    </w:p>
    <w:bookmarkEnd w:id="158"/>
    <w:bookmarkStart w:id="159"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59"/>
    <w:bookmarkStart w:id="160"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60"/>
    <w:bookmarkStart w:id="161"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161"/>
    <w:bookmarkStart w:id="162"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62"/>
    <w:bookmarkStart w:id="163"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63"/>
    <w:bookmarkStart w:id="164"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164"/>
    <w:bookmarkStart w:id="165"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65"/>
    <w:bookmarkStart w:id="166"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66"/>
    <w:bookmarkStart w:id="167" w:name="ref-szagun2009fragebogen"/>
    <w:p>
      <w:pPr>
        <w:pStyle w:val="Bibliography"/>
      </w:pPr>
      <w:r>
        <w:t xml:space="preserve">Szagun, G., Stumper, B., &amp; Schramm, S. A. (2009).</w:t>
      </w:r>
      <w:r>
        <w:t xml:space="preserve"> </w:t>
      </w:r>
      <w:r>
        <w:rPr>
          <w:iCs/>
          <w:i/>
        </w:rPr>
        <w:t xml:space="preserve">Fragebogen zur fr</w:t>
      </w:r>
      <w:r>
        <w:rPr>
          <w:iCs/>
          <w:i/>
        </w:rPr>
        <w:t xml:space="preserve">ü</w:t>
      </w:r>
      <w:r>
        <w:rPr>
          <w:iCs/>
          <w:i/>
        </w:rPr>
        <w:t xml:space="preserve">hkindlichen sprachentwicklung (FRAKIS) und FRAKIS-k (kurzform)</w:t>
      </w:r>
      <w:r>
        <w:t xml:space="preserve">. Pearson Frankfurt.</w:t>
      </w:r>
    </w:p>
    <w:bookmarkEnd w:id="167"/>
    <w:bookmarkStart w:id="168"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68"/>
    <w:bookmarkStart w:id="169"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69"/>
    <w:bookmarkStart w:id="170"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70"/>
    <w:bookmarkStart w:id="171"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71"/>
    <w:bookmarkStart w:id="172"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72"/>
    <w:bookmarkStart w:id="173"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73"/>
    <w:bookmarkStart w:id="174"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74"/>
    <w:bookmarkStart w:id="175"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75"/>
    <w:bookmarkStart w:id="176"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76"/>
    <w:bookmarkStart w:id="177"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77"/>
    <w:bookmarkStart w:id="178"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78"/>
    <w:bookmarkStart w:id="179"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79"/>
    <w:bookmarkStart w:id="180"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80"/>
    <w:bookmarkStart w:id="181"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81"/>
    <w:bookmarkStart w:id="182"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82"/>
    <w:bookmarkStart w:id="183"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83"/>
    <w:bookmarkStart w:id="184"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84"/>
    <w:bookmarkStart w:id="185"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85"/>
    <w:bookmarkEnd w:id="186"/>
    <w:bookmarkEnd w:id="187"/>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79" Target="media/rId79.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hyperlink" Id="rId113" Target="https://doi.org/10.1006/jmla.1999.2654" TargetMode="External" /><Relationship Type="http://schemas.openxmlformats.org/officeDocument/2006/relationships/hyperlink" Id="rId103" Target="https://doi.org/10.1177/01427237231204167" TargetMode="External" /><Relationship Type="http://schemas.openxmlformats.org/officeDocument/2006/relationships/hyperlink" Id="rId157"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8" Target="https://gongcastro.github.io/bvq" TargetMode="External" /><Relationship Type="http://schemas.openxmlformats.org/officeDocument/2006/relationships/hyperlink" Id="rId26"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6/jmla.1999.2654" TargetMode="External" /><Relationship Type="http://schemas.openxmlformats.org/officeDocument/2006/relationships/hyperlink" Id="rId103" Target="https://doi.org/10.1177/01427237231204167" TargetMode="External" /><Relationship Type="http://schemas.openxmlformats.org/officeDocument/2006/relationships/hyperlink" Id="rId157"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8" Target="https://gongcastro.github.io/bvq" TargetMode="External" /><Relationship Type="http://schemas.openxmlformats.org/officeDocument/2006/relationships/hyperlink" Id="rId26"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2023-11-30T10:24:16Z</dcterms:created>
  <dcterms:modified xsi:type="dcterms:W3CDTF">2023-11-30T10:24:16Z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