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94" w:rsidRPr="005B256E" w:rsidRDefault="00D60E90" w:rsidP="004A0833">
      <w:pPr>
        <w:pStyle w:val="Ttulo"/>
        <w:jc w:val="left"/>
        <w:rPr>
          <w:b/>
        </w:rPr>
      </w:pPr>
      <w:r w:rsidRPr="005B256E">
        <w:rPr>
          <w:b/>
        </w:rPr>
        <w:t>Cognateness, frequency, and vocabulary size: an interactive account of bilingual lexical acquisition</w:t>
      </w:r>
    </w:p>
    <w:p w:rsidR="00902194" w:rsidRDefault="005B256E" w:rsidP="005B256E">
      <w:pPr>
        <w:pStyle w:val="FirstParagraph"/>
        <w:rPr>
          <w:vertAlign w:val="superscript"/>
          <w:lang w:val="es-ES"/>
        </w:rPr>
      </w:pPr>
      <w:r>
        <w:rPr>
          <w:lang w:val="es-ES"/>
        </w:rPr>
        <w:t>Gonzalo Garcia-Castro</w:t>
      </w:r>
      <w:r>
        <w:rPr>
          <w:vertAlign w:val="superscript"/>
          <w:lang w:val="es-ES"/>
        </w:rPr>
        <w:t>1</w:t>
      </w:r>
      <w:r>
        <w:rPr>
          <w:lang w:val="es-ES"/>
        </w:rPr>
        <w:t xml:space="preserve">, </w:t>
      </w:r>
      <w:r w:rsidRPr="005B256E">
        <w:rPr>
          <w:lang w:val="es-ES"/>
        </w:rPr>
        <w:t xml:space="preserve">Daniela S. </w:t>
      </w:r>
      <w:r>
        <w:rPr>
          <w:lang w:val="es-ES"/>
        </w:rPr>
        <w:t>Avila-Varela</w:t>
      </w:r>
      <w:r>
        <w:rPr>
          <w:vertAlign w:val="superscript"/>
          <w:lang w:val="es-ES"/>
        </w:rPr>
        <w:t>1,2</w:t>
      </w:r>
      <w:r>
        <w:rPr>
          <w:lang w:val="es-ES"/>
        </w:rPr>
        <w:t>, Ignacio Castillejo</w:t>
      </w:r>
      <w:r>
        <w:rPr>
          <w:vertAlign w:val="superscript"/>
          <w:lang w:val="es-ES"/>
        </w:rPr>
        <w:t>3</w:t>
      </w:r>
      <w:r>
        <w:rPr>
          <w:lang w:val="es-ES"/>
        </w:rPr>
        <w:t>, N</w:t>
      </w:r>
      <w:r>
        <w:rPr>
          <w:lang w:val="ca-ES"/>
        </w:rPr>
        <w:t>ú</w:t>
      </w:r>
      <w:r>
        <w:rPr>
          <w:lang w:val="es-ES"/>
        </w:rPr>
        <w:t>ria Sebastian-Galles</w:t>
      </w:r>
      <w:r>
        <w:rPr>
          <w:vertAlign w:val="superscript"/>
          <w:lang w:val="es-ES"/>
        </w:rPr>
        <w:t>1</w:t>
      </w:r>
    </w:p>
    <w:p w:rsidR="005B256E" w:rsidRDefault="005B256E" w:rsidP="004A0833">
      <w:pPr>
        <w:pStyle w:val="Textoindependiente"/>
        <w:numPr>
          <w:ilvl w:val="0"/>
          <w:numId w:val="5"/>
        </w:numPr>
        <w:spacing w:before="0" w:after="120"/>
        <w:ind w:left="284" w:hanging="284"/>
        <w:rPr>
          <w:lang w:val="en-GB"/>
        </w:rPr>
      </w:pPr>
      <w:r w:rsidRPr="005B256E">
        <w:rPr>
          <w:lang w:val="en-GB"/>
        </w:rPr>
        <w:t xml:space="preserve">Center for Brain and Cognition, </w:t>
      </w:r>
      <w:r>
        <w:rPr>
          <w:lang w:val="en-GB"/>
        </w:rPr>
        <w:t>Universitat Pompeu Fabra</w:t>
      </w:r>
      <w:r w:rsidR="004A0833">
        <w:rPr>
          <w:lang w:val="en-GB"/>
        </w:rPr>
        <w:t xml:space="preserve"> (Barcelona, Spain)</w:t>
      </w:r>
    </w:p>
    <w:p w:rsidR="005B256E" w:rsidRPr="004A0833" w:rsidRDefault="005B256E" w:rsidP="004A0833">
      <w:pPr>
        <w:pStyle w:val="Textoindependiente"/>
        <w:numPr>
          <w:ilvl w:val="0"/>
          <w:numId w:val="5"/>
        </w:numPr>
        <w:spacing w:before="0" w:after="120"/>
        <w:ind w:left="284" w:hanging="284"/>
        <w:rPr>
          <w:lang w:val="es-ES"/>
        </w:rPr>
      </w:pPr>
      <w:r w:rsidRPr="004A0833">
        <w:rPr>
          <w:lang w:val="es-ES"/>
        </w:rPr>
        <w:t>Facultade de Letras, Universidade de Lisboa</w:t>
      </w:r>
      <w:r w:rsidR="004A0833" w:rsidRPr="004A0833">
        <w:rPr>
          <w:lang w:val="es-ES"/>
        </w:rPr>
        <w:t xml:space="preserve"> (</w:t>
      </w:r>
      <w:r w:rsidR="004A0833">
        <w:rPr>
          <w:lang w:val="es-ES"/>
        </w:rPr>
        <w:t>Lisboa, Portugal)</w:t>
      </w:r>
    </w:p>
    <w:p w:rsidR="005B256E" w:rsidRPr="004A0833" w:rsidRDefault="005B256E" w:rsidP="004A0833">
      <w:pPr>
        <w:pStyle w:val="Textoindependiente"/>
        <w:numPr>
          <w:ilvl w:val="0"/>
          <w:numId w:val="5"/>
        </w:numPr>
        <w:spacing w:before="0" w:after="120"/>
        <w:ind w:left="284" w:hanging="284"/>
        <w:rPr>
          <w:lang w:val="es-ES"/>
        </w:rPr>
      </w:pPr>
      <w:r w:rsidRPr="005B256E">
        <w:rPr>
          <w:lang w:val="es-ES"/>
        </w:rPr>
        <w:t>Departamento de Psicología, Universidad Autónoma de Madrid</w:t>
      </w:r>
      <w:r w:rsidR="004A0833">
        <w:rPr>
          <w:lang w:val="es-ES"/>
        </w:rPr>
        <w:t xml:space="preserve"> (Madrid, Spain)</w:t>
      </w:r>
    </w:p>
    <w:p w:rsidR="005B256E" w:rsidRPr="005B256E" w:rsidRDefault="005B256E" w:rsidP="005B256E">
      <w:pPr>
        <w:pStyle w:val="Textoindependiente"/>
        <w:spacing w:before="0" w:after="0"/>
        <w:rPr>
          <w:color w:val="000000" w:themeColor="text1"/>
          <w:lang w:val="es-ES"/>
        </w:rPr>
      </w:pPr>
      <w:hyperlink r:id="rId7" w:history="1">
        <w:r w:rsidRPr="005B256E">
          <w:rPr>
            <w:rStyle w:val="Hipervnculo"/>
            <w:color w:val="000000" w:themeColor="text1"/>
            <w:lang w:val="es-ES"/>
          </w:rPr>
          <w:t>gonzalo.garciadecastro@upf.edu</w:t>
        </w:r>
      </w:hyperlink>
      <w:r w:rsidRPr="005B256E">
        <w:rPr>
          <w:color w:val="000000" w:themeColor="text1"/>
          <w:lang w:val="es-ES"/>
        </w:rPr>
        <w:t xml:space="preserve">, </w:t>
      </w:r>
      <w:hyperlink r:id="rId8" w:history="1">
        <w:r w:rsidRPr="005B256E">
          <w:rPr>
            <w:rStyle w:val="Hipervnculo"/>
            <w:color w:val="000000" w:themeColor="text1"/>
            <w:lang w:val="es-ES"/>
          </w:rPr>
          <w:t>daniela.avila@upf.edu</w:t>
        </w:r>
      </w:hyperlink>
      <w:r w:rsidRPr="005B256E">
        <w:rPr>
          <w:color w:val="000000" w:themeColor="text1"/>
          <w:lang w:val="es-ES"/>
        </w:rPr>
        <w:t xml:space="preserve">, </w:t>
      </w:r>
      <w:hyperlink r:id="rId9" w:history="1">
        <w:r w:rsidRPr="005B256E">
          <w:rPr>
            <w:rStyle w:val="Hipervnculo"/>
            <w:color w:val="000000" w:themeColor="text1"/>
            <w:lang w:val="es-ES"/>
          </w:rPr>
          <w:t>ignacio.castillejo@uam.es</w:t>
        </w:r>
      </w:hyperlink>
      <w:r w:rsidRPr="005B256E">
        <w:rPr>
          <w:color w:val="000000" w:themeColor="text1"/>
          <w:lang w:val="es-ES"/>
        </w:rPr>
        <w:t>, nuria.sebastian@upf.edu</w:t>
      </w:r>
    </w:p>
    <w:p w:rsidR="00902194" w:rsidRDefault="004A0833" w:rsidP="004A0833">
      <w:pPr>
        <w:pStyle w:val="Textoindependiente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CF0B586" wp14:editId="6970CF49">
            <wp:simplePos x="0" y="0"/>
            <wp:positionH relativeFrom="margin">
              <wp:posOffset>1143000</wp:posOffset>
            </wp:positionH>
            <wp:positionV relativeFrom="margin">
              <wp:posOffset>5613400</wp:posOffset>
            </wp:positionV>
            <wp:extent cx="3708400" cy="2705100"/>
            <wp:effectExtent l="0" t="0" r="0" b="0"/>
            <wp:wrapSquare wrapText="bothSides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bstract_files/figure-docx/fig-results-marginal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56E">
        <w:rPr>
          <w:lang w:val="en-GB"/>
        </w:rPr>
        <w:t>A</w:t>
      </w:r>
      <w:r w:rsidR="00D60E90">
        <w:t xml:space="preserve"> prominent feature of the bilingual mental lexicon is that the activation of representations spreads in a language non-selective fashion. An instance of such non-selectivity is embodied by cognateness (i.e., form-similarity between translation equivalents, such as </w:t>
      </w:r>
      <w:r w:rsidR="00D60E90">
        <w:rPr>
          <w:i/>
          <w:iCs/>
        </w:rPr>
        <w:t>flower</w:t>
      </w:r>
      <w:r w:rsidR="00D60E90">
        <w:t>-</w:t>
      </w:r>
      <w:r w:rsidR="00D60E90">
        <w:rPr>
          <w:i/>
          <w:iCs/>
        </w:rPr>
        <w:t>flor</w:t>
      </w:r>
      <w:r w:rsidR="00D60E90">
        <w:t xml:space="preserve"> in English and Spanish), </w:t>
      </w:r>
      <w:r>
        <w:t>which impacts lexical</w:t>
      </w:r>
      <w:r w:rsidR="00D60E90">
        <w:t xml:space="preserve"> processing in bilinguals. Recent studies have suggested that cognateness facilitates vocabulary acquisition in bilingual toddlers—who show larger vocabulary sizes when their languages share many cognates—and an earlier age-of-acquisition for cognates than for non-cognates. The specific mechanisms underpinning such facilitation are unclear. We present an account of bilingual early lexical acquisition in which cognateness interacts with lexical frequency and language exposure to facilitate </w:t>
      </w:r>
      <w:r>
        <w:t>word</w:t>
      </w:r>
      <w:r w:rsidR="00D60E90">
        <w:t xml:space="preserve"> acquisition. We evaluated this model against vocabulary data from 436 Catalan-Spanish bilinguals aged 12 to 34 months. We used a Bayesian Exploratory Item Response Models to estimate participants’ probability of acquisition of 604 words, conditional to the cognate status and lexical frequency of the word-form, and the age and degree of exposure to each language of the toddler. We found converging evidence for an earlier age-of-acquisition for cognate words, and for such effect being mediated by lexical frequency and language exposure. Low-frequency words, and words from the language of least exposure were more strongly benefitted by their cognate status than high-frequency words. </w:t>
      </w:r>
      <w:r>
        <w:t>Our</w:t>
      </w:r>
      <w:r w:rsidR="00D60E90">
        <w:t xml:space="preserve"> findings support an interactive account of bilingual vocabulary acquisition in which the lexical representations in one language interact with the acquisition of words in the other language.</w:t>
      </w:r>
    </w:p>
    <w:p w:rsidR="00D60E90" w:rsidRDefault="00D60E90">
      <w:bookmarkStart w:id="0" w:name="_GoBack"/>
      <w:bookmarkEnd w:id="0"/>
    </w:p>
    <w:sectPr w:rsidR="00D60E90" w:rsidSect="00563AA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01" w:rsidRDefault="00376E01">
      <w:r>
        <w:separator/>
      </w:r>
    </w:p>
  </w:endnote>
  <w:endnote w:type="continuationSeparator" w:id="0">
    <w:p w:rsidR="00376E01" w:rsidRDefault="0037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01" w:rsidRDefault="00376E01">
      <w:r>
        <w:separator/>
      </w:r>
    </w:p>
  </w:footnote>
  <w:footnote w:type="continuationSeparator" w:id="0">
    <w:p w:rsidR="00376E01" w:rsidRDefault="0037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5AEA9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EAC4DE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9D5465F"/>
    <w:multiLevelType w:val="hybridMultilevel"/>
    <w:tmpl w:val="54B4C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533A"/>
    <w:multiLevelType w:val="hybridMultilevel"/>
    <w:tmpl w:val="4912A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AE401"/>
    <w:multiLevelType w:val="multilevel"/>
    <w:tmpl w:val="4D1814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94"/>
    <w:rsid w:val="000936F4"/>
    <w:rsid w:val="00376E01"/>
    <w:rsid w:val="004A0833"/>
    <w:rsid w:val="005B256E"/>
    <w:rsid w:val="00902194"/>
    <w:rsid w:val="00BF6153"/>
    <w:rsid w:val="00D60E90"/>
    <w:rsid w:val="00E44D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6B4C"/>
  <w15:docId w15:val="{2FEF220D-5843-4535-92E4-C23A4CF8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61B"/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530EFF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30EFF"/>
    <w:pPr>
      <w:keepNext/>
      <w:keepLines/>
      <w:spacing w:before="200"/>
      <w:outlineLvl w:val="1"/>
    </w:pPr>
    <w:rPr>
      <w:rFonts w:eastAsiaTheme="majorEastAsia" w:cstheme="majorBidi"/>
      <w:bCs/>
      <w:i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530EFF"/>
    <w:pPr>
      <w:keepNext/>
      <w:keepLines/>
      <w:spacing w:before="200"/>
      <w:outlineLvl w:val="2"/>
    </w:pPr>
    <w:rPr>
      <w:rFonts w:eastAsiaTheme="majorEastAsia" w:cstheme="majorBidi"/>
      <w:bCs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530EFF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6661B"/>
    <w:pPr>
      <w:keepNext/>
      <w:keepLines/>
      <w:spacing w:before="480" w:after="240"/>
      <w:jc w:val="center"/>
    </w:pPr>
    <w:rPr>
      <w:rFonts w:eastAsiaTheme="majorEastAsia" w:cstheme="majorBidi"/>
      <w:bCs/>
      <w:szCs w:val="36"/>
    </w:rPr>
  </w:style>
  <w:style w:type="paragraph" w:styleId="Subttulo">
    <w:name w:val="Subtitle"/>
    <w:basedOn w:val="Ttulo"/>
    <w:next w:val="Textoindependiente"/>
    <w:qFormat/>
    <w:rsid w:val="00530EFF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530EFF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rsid w:val="00530EFF"/>
    <w:pPr>
      <w:keepNext/>
      <w:keepLines/>
      <w:spacing w:line="360" w:lineRule="auto"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Textoindependiente"/>
    <w:qFormat/>
    <w:rsid w:val="00530EFF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530EFF"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530EFF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a.avila@upf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nzalo.garciadecastro@upf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ignacio.castillejo@uam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Cognateness, frequency, and vocabulary size: an interactive account of bilingual lexical acquisition</vt:lpstr>
    </vt:vector>
  </TitlesOfParts>
  <Company>Universitat Pompeu Fabra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Cognateness, frequency, and vocabulary size: an interactive account of bilingual lexical acquisition</dc:title>
  <dc:creator>u155880</dc:creator>
  <cp:keywords/>
  <cp:lastModifiedBy>GONZALO GARCÍA DE CASTRO GARCÍA</cp:lastModifiedBy>
  <cp:revision>3</cp:revision>
  <cp:lastPrinted>2023-02-23T12:27:00Z</cp:lastPrinted>
  <dcterms:created xsi:type="dcterms:W3CDTF">2023-03-30T08:17:00Z</dcterms:created>
  <dcterms:modified xsi:type="dcterms:W3CDTF">2023-03-30T08:18:00Z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../assets/references.bib</vt:lpwstr>
  </property>
  <property fmtid="{D5CDD505-2E9C-101B-9397-08002B2CF9AE}" pid="4" name="csl">
    <vt:lpwstr>../assets/apa7.csl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