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firstheader"/>
    <w:p>
      <w:pPr>
        <w:pStyle w:val="Heading1"/>
      </w:pPr>
      <w:r>
        <w:t xml:space="preserve">The role of cognateness in native spoken word recognition</w:t>
      </w:r>
    </w:p>
    <w:bookmarkStart w:id="24" w:name="appendix-1-model-diagnostics"/>
    <w:p>
      <w:pPr>
        <w:pStyle w:val="Heading2"/>
      </w:pPr>
      <w:r>
        <w:t xml:space="preserve">Appendix 1: Model diagnostics</w:t>
      </w:r>
    </w:p>
    <w:p>
      <w:pPr>
        <w:pStyle w:val="FirstParagraph"/>
      </w:pPr>
      <w:r>
        <w:t xml:space="preserve">One way to diagnose the behaviour of Hamiltonian Monte Carlot (HMC, the algorithm used by Stan to explore the posterior distribution of a model) is to check whether the MCMC chains have converged.</w:t>
      </w:r>
      <w:r>
        <w:t xml:space="preserve"> </w:t>
      </w:r>
      <w:hyperlink w:anchor="fig-appendix-diagnostics">
        <w:r>
          <w:rPr>
            <w:rStyle w:val="Hyperlink"/>
          </w:rPr>
          <w:t xml:space="preserve">Figure 1</w:t>
        </w:r>
      </w:hyperlink>
      <w:r>
        <w:t xml:space="preserve"> </w:t>
      </w:r>
      <w:r>
        <w:t xml:space="preserve">shows the values sampled by the MCMC chains of each of the fixed coefficients of each model reported in the manuscript. Evidence of chain convergence is provided by the same region of values being sampled across the final interations of the chain, as it is the case for the three models depicted.</w:t>
      </w:r>
    </w:p>
    <w:bookmarkStart w:id="23" w:name="fig-appendix-diagnostics"/>
    <w:p>
      <w:pPr>
        <w:pStyle w:val="FigureTitle"/>
      </w:pPr>
      <w:r>
        <w:t xml:space="preserve">Figure 1</w:t>
      </w:r>
    </w:p>
    <w:p>
      <w:pPr>
        <w:pStyle w:val="Caption"/>
      </w:pPr>
      <w:r>
        <w:t xml:space="preserve">Traceplot of MCMC posterior samples of the fixed regression coefficients of the models in Experiments 1, 2, and 3.</w:t>
      </w:r>
    </w:p>
    <w:p>
      <w:pPr>
        <w:pStyle w:val="FigureWithoutNote"/>
      </w:pPr>
      <w:r>
        <w:drawing>
          <wp:inline>
            <wp:extent cx="5943600" cy="5943600"/>
            <wp:effectExtent b="0" l="0" r="0" t="0"/>
            <wp:docPr descr="" title="" id="21" name="Picture"/>
            <a:graphic>
              <a:graphicData uri="http://schemas.openxmlformats.org/drawingml/2006/picture">
                <pic:pic>
                  <pic:nvPicPr>
                    <pic:cNvPr descr="../img/fig-appendix-diagnostics-1.png" id="22" name="Picture"/>
                    <pic:cNvPicPr>
                      <a:picLocks noChangeArrowheads="1" noChangeAspect="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bookmarkEnd w:id="23"/>
    <w:bookmarkEnd w:id="24"/>
    <w:bookmarkStart w:id="29" w:name="X3d1367ae3d1bac2fdde4d00742e505e019003be"/>
    <w:p>
      <w:pPr>
        <w:pStyle w:val="Heading2"/>
      </w:pPr>
      <w:r>
        <w:t xml:space="preserve">Appendix 2: Pooled analyses of Experiments 1 and 3</w:t>
      </w:r>
    </w:p>
    <w:p>
      <w:pPr>
        <w:pStyle w:val="FirstParagraph"/>
      </w:pPr>
      <w:r>
        <w:t xml:space="preserve">Across Experiments 1 and 3, we found strong evidence that participants efficiently exploited phonological similarity to provide accurate translations for words in an unfamiliar language, provided that few phonological neighbours of higher lexical frequency were present.</w:t>
      </w:r>
      <w:r>
        <w:t xml:space="preserve"> </w:t>
      </w:r>
      <w:hyperlink w:anchor="fig-coefs">
        <w:r>
          <w:rPr>
            <w:rStyle w:val="Hyperlink"/>
          </w:rPr>
          <w:t xml:space="preserve">Figure 2</w:t>
        </w:r>
      </w:hyperlink>
      <w:r>
        <w:t xml:space="preserve"> </w:t>
      </w:r>
      <w:r>
        <w:t xml:space="preserve">summarizes the posterior distribution of the regression coefficients of the models in Experiments 1 to 3.</w:t>
      </w:r>
    </w:p>
    <w:bookmarkStart w:id="28" w:name="fig-coefs"/>
    <w:p>
      <w:pPr>
        <w:pStyle w:val="FigureTitle"/>
      </w:pPr>
      <w:r>
        <w:t xml:space="preserve">Figure 2</w:t>
      </w:r>
    </w:p>
    <w:p>
      <w:pPr>
        <w:pStyle w:val="Caption"/>
      </w:pPr>
      <w:r>
        <w:t xml:space="preserve">Posterior distribution of fixed regression coefficients of the models in Experiments 1, 2, and 3.</w:t>
      </w:r>
    </w:p>
    <w:p>
      <w:pPr>
        <w:pStyle w:val="FigureWithoutNote"/>
      </w:pPr>
      <w:r>
        <w:drawing>
          <wp:inline>
            <wp:extent cx="5943600" cy="3301999"/>
            <wp:effectExtent b="0" l="0" r="0" t="0"/>
            <wp:docPr descr="" title="" id="26" name="Picture"/>
            <a:graphic>
              <a:graphicData uri="http://schemas.openxmlformats.org/drawingml/2006/picture">
                <pic:pic>
                  <pic:nvPicPr>
                    <pic:cNvPr descr="../img/fig-coefs-1.png" id="27" name="Picture"/>
                    <pic:cNvPicPr>
                      <a:picLocks noChangeArrowheads="1" noChangeAspect="1"/>
                    </pic:cNvPicPr>
                  </pic:nvPicPr>
                  <pic:blipFill>
                    <a:blip r:embed="rId25"/>
                    <a:stretch>
                      <a:fillRect/>
                    </a:stretch>
                  </pic:blipFill>
                  <pic:spPr bwMode="auto">
                    <a:xfrm>
                      <a:off x="0" y="0"/>
                      <a:ext cx="5943600" cy="3301999"/>
                    </a:xfrm>
                    <a:prstGeom prst="rect">
                      <a:avLst/>
                    </a:prstGeom>
                    <a:noFill/>
                    <a:ln w="9525">
                      <a:noFill/>
                      <a:headEnd/>
                      <a:tailEnd/>
                    </a:ln>
                  </pic:spPr>
                </pic:pic>
              </a:graphicData>
            </a:graphic>
          </wp:inline>
        </w:drawing>
      </w:r>
    </w:p>
    <w:bookmarkEnd w:id="28"/>
    <w:sectPr>
      <w:lnNumType w:countBy="1" w:restart="continuous"/>
    </w:sectPr>
    <w:bookmarkEnd w:id="29"/>
    <w:bookmarkEnd w:id="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1" Target="https://github.com/gongcastro/translation-elicitation.git" TargetMode="External" /><Relationship Type="http://schemas.openxmlformats.org/officeDocument/2006/relationships/hyperlink" Id="rId32" Target="https://hub.docker.com/repository/docker/gongcastro/translation-elicitation/general" TargetMode="External" /></Relationships>
</file>

<file path=word/_rels/footnotes.xml.rels><?xml version="1.0" encoding="UTF-8"?><Relationships xmlns="http://schemas.openxmlformats.org/package/2006/relationships"><Relationship Type="http://schemas.openxmlformats.org/officeDocument/2006/relationships/hyperlink" Id="rId31" Target="https://github.com/gongcastro/translation-elicitation.git" TargetMode="External" /><Relationship Type="http://schemas.openxmlformats.org/officeDocument/2006/relationships/hyperlink" Id="rId32" Target="https://hub.docker.com/repository/docker/gongcastro/translation-elicitation/gener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COGNATENESS AND RECOGNITION OF FOREIGN WORDS</dc:description>
  <dc:language>en</dc:language>
  <cp:keywords>spoken word recognition, phonology, cognateness, language processing, nonnative speech, lexical processing</cp:keywords>
  <dcterms:created xsi:type="dcterms:W3CDTF">2025-07-28T08:09:38Z</dcterms:created>
  <dcterms:modified xsi:type="dcterms:W3CDTF">2025-07-28T08:09:38Z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The role of cognateness in native spoken word recognition</vt:lpwstr>
  </property>
  <property fmtid="{D5CDD505-2E9C-101B-9397-08002B2CF9AE}" pid="6" name="apatitledisplay">
    <vt:lpwstr>The role of cognateness in native spoken word recognition</vt:lpwstr>
  </property>
  <property fmtid="{D5CDD505-2E9C-101B-9397-08002B2CF9AE}" pid="7" name="author-note">
    <vt:lpwstr/>
  </property>
  <property fmtid="{D5CDD505-2E9C-101B-9397-08002B2CF9AE}" pid="8" name="authors">
    <vt:lpwstr/>
  </property>
  <property fmtid="{D5CDD505-2E9C-101B-9397-08002B2CF9AE}" pid="9" name="biblio-config">
    <vt:lpwstr>True</vt:lpwstr>
  </property>
  <property fmtid="{D5CDD505-2E9C-101B-9397-08002B2CF9AE}" pid="10" name="by-affiliation">
    <vt:lpwstr/>
  </property>
  <property fmtid="{D5CDD505-2E9C-101B-9397-08002B2CF9AE}" pid="11" name="by-author">
    <vt:lpwstr/>
  </property>
  <property fmtid="{D5CDD505-2E9C-101B-9397-08002B2CF9AE}" pid="12" name="cap-location">
    <vt:lpwstr>top</vt:lpwstr>
  </property>
  <property fmtid="{D5CDD505-2E9C-101B-9397-08002B2CF9AE}" pid="13" name="crossref">
    <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source</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link-citations">
    <vt:lpwstr>True</vt:lpwstr>
  </property>
  <property fmtid="{D5CDD505-2E9C-101B-9397-08002B2CF9AE}" pid="26" name="mask">
    <vt:lpwstr>False</vt:lpwstr>
  </property>
  <property fmtid="{D5CDD505-2E9C-101B-9397-08002B2CF9AE}" pid="27" name="no-ampersand-parenthetical">
    <vt:lpwstr>False</vt:lpwstr>
  </property>
  <property fmtid="{D5CDD505-2E9C-101B-9397-08002B2CF9AE}" pid="28" name="number-depth">
    <vt:lpwstr>3</vt:lpwstr>
  </property>
  <property fmtid="{D5CDD505-2E9C-101B-9397-08002B2CF9AE}" pid="29" name="numbered-lines">
    <vt:lpwstr>True</vt:lpwstr>
  </property>
  <property fmtid="{D5CDD505-2E9C-101B-9397-08002B2CF9AE}" pid="30" name="numbersections">
    <vt:lpwstr>False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COGNATENESS AND RECOGNITION OF FOREIGN WORDS</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impact-statement">
    <vt:lpwstr>False</vt:lpwstr>
  </property>
  <property fmtid="{D5CDD505-2E9C-101B-9397-08002B2CF9AE}" pid="52" name="suppress-keywords">
    <vt:lpwstr>False</vt:lpwstr>
  </property>
  <property fmtid="{D5CDD505-2E9C-101B-9397-08002B2CF9AE}" pid="53" name="suppress-orcid">
    <vt:lpwstr>False</vt:lpwstr>
  </property>
  <property fmtid="{D5CDD505-2E9C-101B-9397-08002B2CF9AE}" pid="54" name="suppress-short-title">
    <vt:lpwstr>False</vt:lpwstr>
  </property>
  <property fmtid="{D5CDD505-2E9C-101B-9397-08002B2CF9AE}" pid="55" name="suppress-status-change-paragraph">
    <vt:lpwstr>False</vt:lpwstr>
  </property>
  <property fmtid="{D5CDD505-2E9C-101B-9397-08002B2CF9AE}" pid="56" name="suppress-title">
    <vt:lpwstr>False</vt:lpwstr>
  </property>
  <property fmtid="{D5CDD505-2E9C-101B-9397-08002B2CF9AE}" pid="57" name="suppress-title-introduction">
    <vt:lpwstr>False</vt:lpwstr>
  </property>
  <property fmtid="{D5CDD505-2E9C-101B-9397-08002B2CF9AE}" pid="58" name="suppress-title-page">
    <vt:lpwstr>True</vt:lpwstr>
  </property>
  <property fmtid="{D5CDD505-2E9C-101B-9397-08002B2CF9AE}" pid="59" name="suppress-title-page-number">
    <vt:lpwstr>False</vt:lpwstr>
  </property>
  <property fmtid="{D5CDD505-2E9C-101B-9397-08002B2CF9AE}" pid="60" name="tbl-cap-location">
    <vt:lpwstr>top</vt:lpwstr>
  </property>
  <property fmtid="{D5CDD505-2E9C-101B-9397-08002B2CF9AE}" pid="61" name="toc-title">
    <vt:lpwstr>Table of contents</vt:lpwstr>
  </property>
  <property fmtid="{D5CDD505-2E9C-101B-9397-08002B2CF9AE}" pid="62" name="word-count">
    <vt:lpwstr>True</vt:lpwstr>
  </property>
  <property fmtid="{D5CDD505-2E9C-101B-9397-08002B2CF9AE}" pid="63" name="wordn">
    <vt:lpwstr>186</vt:lpwstr>
  </property>
  <property fmtid="{D5CDD505-2E9C-101B-9397-08002B2CF9AE}" pid="64" name="zerocitations">
    <vt:lpwstr>True</vt:lpwstr>
  </property>
</Properties>
</file>