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A7D" w:rsidRDefault="00332F17">
      <w:pPr>
        <w:spacing w:line="276" w:lineRule="auto"/>
        <w:jc w:val="center"/>
        <w:textAlignment w:val="center"/>
        <w:rPr>
          <w:rFonts w:ascii="宋体" w:hAnsi="宋体" w:cs="宋体"/>
          <w:color w:val="000000"/>
        </w:rPr>
      </w:pPr>
      <w:bookmarkStart w:id="0" w:name="_GoBack"/>
      <w:bookmarkEnd w:id="0"/>
      <w:r>
        <w:rPr>
          <w:rStyle w:val="ac"/>
          <w:rFonts w:ascii="宋体" w:hAnsi="宋体" w:cs="宋体" w:hint="eastAsia"/>
          <w:color w:val="000000"/>
          <w:sz w:val="28"/>
          <w:szCs w:val="28"/>
        </w:rPr>
        <w:t>第三篇</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公路工程项目管理实务——第九章</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公路工程招标投标与合同管理</w:t>
      </w:r>
    </w:p>
    <w:p w:rsidR="00F01A7D" w:rsidRDefault="00332F17">
      <w:pPr>
        <w:spacing w:line="276" w:lineRule="auto"/>
        <w:textAlignment w:val="center"/>
        <w:rPr>
          <w:rFonts w:ascii="宋体" w:hAnsi="宋体"/>
          <w:color w:val="000000"/>
          <w:sz w:val="21"/>
          <w:szCs w:val="21"/>
        </w:rPr>
      </w:pPr>
      <w:r>
        <w:rPr>
          <w:rStyle w:val="barfont1"/>
          <w:rFonts w:hint="default"/>
        </w:rPr>
        <w:t>第</w:t>
      </w:r>
      <w:r>
        <w:rPr>
          <w:rStyle w:val="barfont1"/>
          <w:rFonts w:hint="default"/>
        </w:rPr>
        <w:t>01</w:t>
      </w:r>
      <w:r>
        <w:rPr>
          <w:rStyle w:val="barfont1"/>
          <w:rFonts w:hint="default"/>
        </w:rPr>
        <w:t>讲</w:t>
      </w:r>
      <w:r>
        <w:rPr>
          <w:rStyle w:val="barfont1"/>
          <w:rFonts w:hint="default"/>
        </w:rPr>
        <w:t xml:space="preserve"> </w:t>
      </w:r>
      <w:r>
        <w:rPr>
          <w:rStyle w:val="barfont1"/>
          <w:rFonts w:hint="default"/>
        </w:rPr>
        <w:t>工程招标投标</w:t>
      </w:r>
    </w:p>
    <w:p w:rsidR="00F01A7D" w:rsidRDefault="00332F17">
      <w:pPr>
        <w:spacing w:line="276" w:lineRule="auto"/>
        <w:textAlignment w:val="center"/>
        <w:rPr>
          <w:rFonts w:ascii="宋体" w:hAnsi="宋体" w:cs="宋体"/>
          <w:color w:val="000000"/>
          <w:sz w:val="21"/>
          <w:szCs w:val="21"/>
        </w:rPr>
      </w:pPr>
      <w:r>
        <w:rPr>
          <w:rStyle w:val="spancdelblanksign"/>
          <w:rFonts w:ascii="宋体" w:hAnsi="宋体" w:cs="宋体" w:hint="eastAsia"/>
          <w:color w:val="000000"/>
          <w:sz w:val="21"/>
          <w:szCs w:val="21"/>
        </w:rPr>
        <w:t xml:space="preserve">　　</w:t>
      </w:r>
      <w:r>
        <w:rPr>
          <w:rFonts w:ascii="宋体" w:hAnsi="宋体" w:cs="宋体" w:hint="eastAsia"/>
          <w:color w:val="000000"/>
          <w:sz w:val="21"/>
          <w:szCs w:val="21"/>
        </w:rPr>
        <w:t>目录</w:t>
      </w:r>
      <w:r>
        <w:rPr>
          <w:rFonts w:ascii="宋体" w:hAnsi="宋体" w:cs="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9.1</w:t>
      </w:r>
      <w:r>
        <w:rPr>
          <w:rFonts w:ascii="宋体" w:hAnsi="宋体" w:hint="eastAsia"/>
          <w:color w:val="000000"/>
          <w:sz w:val="21"/>
          <w:szCs w:val="21"/>
        </w:rPr>
        <w:t>工程招标投标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9.2</w:t>
      </w:r>
      <w:r>
        <w:rPr>
          <w:rFonts w:ascii="宋体" w:hAnsi="宋体" w:hint="eastAsia"/>
          <w:color w:val="000000"/>
          <w:sz w:val="21"/>
          <w:szCs w:val="21"/>
        </w:rPr>
        <w:t>工程合同管理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9.1 </w:t>
      </w:r>
      <w:r>
        <w:rPr>
          <w:rFonts w:ascii="宋体" w:hAnsi="宋体" w:hint="eastAsia"/>
          <w:color w:val="000000"/>
          <w:sz w:val="21"/>
          <w:szCs w:val="21"/>
        </w:rPr>
        <w:t>工程招标投标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9.1.1 </w:t>
      </w:r>
      <w:r>
        <w:rPr>
          <w:rFonts w:ascii="宋体" w:hAnsi="宋体" w:hint="eastAsia"/>
          <w:color w:val="000000"/>
          <w:sz w:val="21"/>
          <w:szCs w:val="21"/>
        </w:rPr>
        <w:t>公路工程招标投标管理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施工招标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）开展招标的条件</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）公路工程建设项目履行项目审批或者核准手续后，方可开展勘察设计招标；初步设计文件批准后，方可开展施工监理、设计施工总承包招标；</w:t>
      </w:r>
      <w:r>
        <w:rPr>
          <w:rStyle w:val="font14zd2"/>
          <w:rFonts w:ascii="宋体" w:hAnsi="宋体" w:hint="eastAsia"/>
        </w:rPr>
        <w:t>施工图设计文件批准后，方可开展施工招标。</w:t>
      </w:r>
      <w:r>
        <w:rPr>
          <w:rFonts w:ascii="宋体" w:hAnsi="宋体" w:hint="eastAsia"/>
          <w:color w:val="000000"/>
          <w:sz w:val="21"/>
          <w:szCs w:val="21"/>
        </w:rPr>
        <w:t>施工招标采用资格预审方式的，在初步设计文件批准后，可以进行资格预审。</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）有下列情形之一的公路工程建设项目，可以不进行招标：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w:t>
      </w:r>
      <w:r>
        <w:rPr>
          <w:rStyle w:val="font14zd2"/>
          <w:rFonts w:ascii="宋体" w:hAnsi="宋体" w:hint="eastAsia"/>
        </w:rPr>
        <w:t>涉及国家安全、国家秘密、抢险救灾或者属于利用扶贫资金实行以工代赈、需要使用农民工等特殊情况</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②需要采用</w:t>
      </w:r>
      <w:r>
        <w:rPr>
          <w:rStyle w:val="font14zd2"/>
          <w:rFonts w:ascii="宋体" w:hAnsi="宋体" w:hint="eastAsia"/>
        </w:rPr>
        <w:t>不可替代的专利或者专有技术</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③采购人自身具有工程施工或者提供服务的资格和能力，且符合法定要求。</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④已通过招标方式选定的特许经营项目投资人依法能够自行施工或者提供服务。</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⑤需要向原中标人采购工程或者服务，否则将影响施工或者功能配套要求。</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⑥国家规定的其他特殊情形。</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）招标方式与招标程序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《中华人民共和国招标投标法》规定，招标分</w:t>
      </w:r>
      <w:r>
        <w:rPr>
          <w:rStyle w:val="font14zd2"/>
          <w:rFonts w:ascii="宋体" w:hAnsi="宋体" w:hint="eastAsia"/>
        </w:rPr>
        <w:t>公开招标和邀请招标两种方式。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工程招标是一种公开的经济活动，因此要采用公开的方式发布信息。根据《招标公告和公示信息发布管理办法》，依法必须招标项目的招标公告和公示信息应当在“中</w:t>
      </w:r>
      <w:r>
        <w:rPr>
          <w:rFonts w:ascii="宋体" w:hAnsi="宋体" w:hint="eastAsia"/>
          <w:color w:val="000000"/>
          <w:sz w:val="21"/>
          <w:szCs w:val="21"/>
        </w:rPr>
        <w:t>国招标投标公共服务平台”或者项目所在地省级电子招标投标公共服务平台（以下统一简称“发布媒介”）发布。</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）招标信息的修正</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如果招标人在招标文件已经发布之后，发现有问题需要进一步的澄清或修改，必须依据以下原则进行：</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①时限。招标人对已发出的招标文件进行必要的澄清或者修改，应当在招标文件要求</w:t>
      </w:r>
      <w:r>
        <w:rPr>
          <w:rStyle w:val="font14zd2"/>
          <w:rFonts w:ascii="宋体" w:hAnsi="宋体" w:hint="eastAsia"/>
        </w:rPr>
        <w:t>提交投标文件截止时间至少</w:t>
      </w:r>
      <w:r>
        <w:rPr>
          <w:rStyle w:val="font14zd2"/>
          <w:rFonts w:ascii="宋体" w:hAnsi="宋体" w:hint="eastAsia"/>
        </w:rPr>
        <w:t>15</w:t>
      </w:r>
      <w:r>
        <w:rPr>
          <w:rStyle w:val="font14zd2"/>
          <w:rFonts w:ascii="宋体" w:hAnsi="宋体" w:hint="eastAsia"/>
        </w:rPr>
        <w:t>日前发出。</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②形式。所有澄清文件必须以书面形式进行。</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③全面。所有澄清文件必须直接通知所有招标文件收受人。</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）资格预审</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招标人可以根据招标项目本身的特点和要求，要求投标申请人提供有关资质、业绩和能力等的证明，并对投标申请人进行资格审查。资格审查分为</w:t>
      </w:r>
      <w:r>
        <w:rPr>
          <w:rStyle w:val="font14zd2"/>
          <w:rFonts w:ascii="宋体" w:hAnsi="宋体" w:hint="eastAsia"/>
        </w:rPr>
        <w:t>资格预审和资格后审</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5</w:t>
      </w:r>
      <w:r>
        <w:rPr>
          <w:rFonts w:ascii="宋体" w:hAnsi="宋体" w:hint="eastAsia"/>
          <w:color w:val="000000"/>
          <w:sz w:val="21"/>
          <w:szCs w:val="21"/>
        </w:rPr>
        <w:t>）标前会议</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标前会议也称为投标预备会或招标文件交底会，是招标人按投标须知规定的时间和地点召开的会议。标前会议上，招标人除了介绍工程概况以外，还可以对招标文件中的某些内容加以修改或补充说明，以及</w:t>
      </w:r>
      <w:r>
        <w:rPr>
          <w:rFonts w:ascii="宋体" w:hAnsi="宋体" w:hint="eastAsia"/>
          <w:color w:val="000000"/>
          <w:sz w:val="21"/>
          <w:szCs w:val="21"/>
        </w:rPr>
        <w:lastRenderedPageBreak/>
        <w:t>对投标意向者书面提出的问题和会议上即席提出的问题给以解答，会议结束后，招标人应将会议纪要用书面通知的形式发给每一个投标意向者。</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6</w:t>
      </w:r>
      <w:r>
        <w:rPr>
          <w:rFonts w:ascii="宋体" w:hAnsi="宋体" w:hint="eastAsia"/>
          <w:color w:val="000000"/>
          <w:sz w:val="21"/>
          <w:szCs w:val="21"/>
        </w:rPr>
        <w:t>）开标、评标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）开标应当在招标文件确定的提交投标文件截止时间的同一时间公开进行；开标地点应当为招标文件中预先确定的地点。</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投标人</w:t>
      </w:r>
      <w:r>
        <w:rPr>
          <w:rStyle w:val="font14zd2"/>
          <w:rFonts w:ascii="宋体" w:hAnsi="宋体" w:hint="eastAsia"/>
        </w:rPr>
        <w:t>少于</w:t>
      </w:r>
      <w:r>
        <w:rPr>
          <w:rStyle w:val="font14zd2"/>
          <w:rFonts w:ascii="宋体" w:hAnsi="宋体" w:hint="eastAsia"/>
        </w:rPr>
        <w:t>3</w:t>
      </w:r>
      <w:r>
        <w:rPr>
          <w:rStyle w:val="font14zd2"/>
          <w:rFonts w:ascii="宋体" w:hAnsi="宋体" w:hint="eastAsia"/>
        </w:rPr>
        <w:t>个的，不得开标</w:t>
      </w:r>
      <w:r>
        <w:rPr>
          <w:rFonts w:ascii="宋体" w:hAnsi="宋体" w:hint="eastAsia"/>
          <w:color w:val="000000"/>
          <w:sz w:val="21"/>
          <w:szCs w:val="21"/>
        </w:rPr>
        <w:t>，投标文件应当当场退还给投标人；招标人应当重新招标。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）投标文件按照招标文件规定采用双信封形式密封的，开标分两个步骤公开进行：</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第一步骤对第一信封内的商务文件和技术文件进行开标，对第二信封不予拆封并由招标人予以封存。</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第二步骤宣布通过商务文件和技术文件评审的投标人名单</w:t>
      </w:r>
      <w:r>
        <w:rPr>
          <w:rFonts w:ascii="宋体" w:hAnsi="宋体" w:hint="eastAsia"/>
          <w:color w:val="000000"/>
          <w:sz w:val="21"/>
          <w:szCs w:val="21"/>
        </w:rPr>
        <w:t>，对其第二信封内的报价文件进行开标，宣读投标报价。未通过商务文件和技术文件评审的，对其第二信封不予拆封，并当场退还给投标人；投标人未参加第二信封开标的，招标人应当在评标结束后及时将第二信封原封退还投标人。</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）公路工程勘察设计和施工监理招标，应当采用综合评估法进行评标，对投标人的商务文件、技术文件和报价文件进行评分，按照综合得分由高到低排序，推荐中标候选人。</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5</w:t>
      </w:r>
      <w:r>
        <w:rPr>
          <w:rFonts w:ascii="宋体" w:hAnsi="宋体" w:hint="eastAsia"/>
          <w:color w:val="000000"/>
          <w:sz w:val="21"/>
          <w:szCs w:val="21"/>
        </w:rPr>
        <w:t>）公路工程施工招标，评标采用综合评估法或者经评审的最低投标价法。综合评估法包括合理低价法、技术评分最低标价法和综合评分法。</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合</w:t>
      </w:r>
      <w:r>
        <w:rPr>
          <w:rFonts w:ascii="宋体" w:hAnsi="宋体" w:hint="eastAsia"/>
          <w:color w:val="000000"/>
          <w:sz w:val="21"/>
          <w:szCs w:val="21"/>
        </w:rPr>
        <w:t>理低价法，是指对通过初步评审的投标人，不再对其施工组织设计、项目管理机构、技术能力等因素进行评分，仅依据评标基准价对评标价进行评分，</w:t>
      </w:r>
      <w:r>
        <w:rPr>
          <w:rStyle w:val="font14zd2"/>
          <w:rFonts w:ascii="宋体" w:hAnsi="宋体" w:hint="eastAsia"/>
        </w:rPr>
        <w:t>按照得分由高到低排序，推荐中标候选人的评标方法。</w:t>
      </w:r>
      <w:r>
        <w:rPr>
          <w:rStyle w:val="font14zd2"/>
          <w:rFonts w:ascii="宋体" w:hAnsi="宋体" w:hint="eastAsia"/>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说明：</w:t>
      </w:r>
      <w:r>
        <w:rPr>
          <w:rFonts w:ascii="宋体" w:hAnsi="宋体" w:hint="eastAsia"/>
          <w:color w:val="000000"/>
          <w:sz w:val="21"/>
          <w:szCs w:val="21"/>
        </w:rPr>
        <w:t>“合理低价法”是综合评估法的评分因素中评标价得分为</w:t>
      </w:r>
      <w:r>
        <w:rPr>
          <w:rFonts w:ascii="宋体" w:hAnsi="宋体" w:hint="eastAsia"/>
          <w:color w:val="000000"/>
          <w:sz w:val="21"/>
          <w:szCs w:val="21"/>
        </w:rPr>
        <w:t>100</w:t>
      </w:r>
      <w:r>
        <w:rPr>
          <w:rFonts w:ascii="宋体" w:hAnsi="宋体" w:hint="eastAsia"/>
          <w:color w:val="000000"/>
          <w:sz w:val="21"/>
          <w:szCs w:val="21"/>
        </w:rPr>
        <w:t>分、其他评分因素分值为</w:t>
      </w:r>
      <w:r>
        <w:rPr>
          <w:rFonts w:ascii="宋体" w:hAnsi="宋体" w:hint="eastAsia"/>
          <w:color w:val="000000"/>
          <w:sz w:val="21"/>
          <w:szCs w:val="21"/>
        </w:rPr>
        <w:t>0</w:t>
      </w:r>
      <w:r>
        <w:rPr>
          <w:rFonts w:ascii="宋体" w:hAnsi="宋体" w:hint="eastAsia"/>
          <w:color w:val="000000"/>
          <w:sz w:val="21"/>
          <w:szCs w:val="21"/>
        </w:rPr>
        <w:t>分的特例。“合理低价法”中，第一个信封（商务及技术文件）的评审应采用合格制。</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偏差率</w:t>
      </w:r>
      <w:r>
        <w:rPr>
          <w:rFonts w:ascii="宋体" w:hAnsi="宋体" w:hint="eastAsia"/>
          <w:color w:val="000000"/>
          <w:sz w:val="21"/>
          <w:szCs w:val="21"/>
        </w:rPr>
        <w:t>=100%</w:t>
      </w:r>
      <w:r>
        <w:rPr>
          <w:rFonts w:ascii="宋体" w:hAnsi="宋体" w:hint="eastAsia"/>
          <w:color w:val="000000"/>
          <w:sz w:val="21"/>
          <w:szCs w:val="21"/>
        </w:rPr>
        <w:t>×（投标人评标价－评标基准价）</w:t>
      </w:r>
      <w:r>
        <w:rPr>
          <w:rFonts w:ascii="宋体" w:hAnsi="宋体" w:hint="eastAsia"/>
          <w:color w:val="000000"/>
          <w:sz w:val="21"/>
          <w:szCs w:val="21"/>
        </w:rPr>
        <w:t>/</w:t>
      </w:r>
      <w:r>
        <w:rPr>
          <w:rFonts w:ascii="宋体" w:hAnsi="宋体" w:hint="eastAsia"/>
          <w:color w:val="000000"/>
          <w:sz w:val="21"/>
          <w:szCs w:val="21"/>
        </w:rPr>
        <w:t>评标基准价</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偏差率保留　位小数</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）如果投标人的</w:t>
      </w:r>
      <w:r>
        <w:rPr>
          <w:rStyle w:val="font14zd2"/>
          <w:rFonts w:ascii="宋体" w:hAnsi="宋体" w:hint="eastAsia"/>
        </w:rPr>
        <w:t>评标价＞评标基准价</w:t>
      </w:r>
      <w:r>
        <w:rPr>
          <w:rFonts w:ascii="宋体" w:hAnsi="宋体" w:hint="eastAsia"/>
          <w:color w:val="000000"/>
          <w:sz w:val="21"/>
          <w:szCs w:val="21"/>
        </w:rPr>
        <w:t>，则评标价得分＝</w:t>
      </w:r>
      <w:r>
        <w:rPr>
          <w:rFonts w:ascii="宋体" w:hAnsi="宋体" w:hint="eastAsia"/>
          <w:color w:val="000000"/>
          <w:sz w:val="21"/>
          <w:szCs w:val="21"/>
        </w:rPr>
        <w:t>100</w:t>
      </w:r>
      <w:r>
        <w:rPr>
          <w:rFonts w:ascii="宋体" w:hAnsi="宋体" w:hint="eastAsia"/>
          <w:color w:val="000000"/>
          <w:sz w:val="21"/>
          <w:szCs w:val="21"/>
        </w:rPr>
        <w:t>－偏</w:t>
      </w:r>
      <w:r>
        <w:rPr>
          <w:rFonts w:ascii="宋体" w:hAnsi="宋体" w:hint="eastAsia"/>
          <w:color w:val="000000"/>
          <w:sz w:val="21"/>
          <w:szCs w:val="21"/>
        </w:rPr>
        <w:t>差率×</w:t>
      </w:r>
      <w:r>
        <w:rPr>
          <w:rFonts w:ascii="宋体" w:hAnsi="宋体" w:hint="eastAsia"/>
          <w:color w:val="000000"/>
          <w:sz w:val="21"/>
          <w:szCs w:val="21"/>
        </w:rPr>
        <w:t>100</w:t>
      </w:r>
      <w:r>
        <w:rPr>
          <w:rFonts w:ascii="宋体" w:hAnsi="宋体" w:hint="eastAsia"/>
          <w:color w:val="000000"/>
          <w:sz w:val="21"/>
          <w:szCs w:val="21"/>
        </w:rPr>
        <w:t>×</w:t>
      </w:r>
      <w:r>
        <w:rPr>
          <w:rFonts w:ascii="宋体" w:hAnsi="宋体" w:hint="eastAsia"/>
          <w:color w:val="000000"/>
          <w:sz w:val="21"/>
          <w:szCs w:val="21"/>
        </w:rPr>
        <w:t>E</w:t>
      </w:r>
      <w:r>
        <w:rPr>
          <w:rFonts w:ascii="宋体" w:hAnsi="宋体" w:hint="eastAsia"/>
          <w:color w:val="000000"/>
          <w:sz w:val="21"/>
          <w:szCs w:val="21"/>
          <w:vertAlign w:val="subscript"/>
        </w:rPr>
        <w:t>1</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）如果投标人的</w:t>
      </w:r>
      <w:r>
        <w:rPr>
          <w:rStyle w:val="font14zd2"/>
          <w:rFonts w:ascii="宋体" w:hAnsi="宋体" w:hint="eastAsia"/>
        </w:rPr>
        <w:t>评标价≤评标基准价</w:t>
      </w:r>
      <w:r>
        <w:rPr>
          <w:rFonts w:ascii="宋体" w:hAnsi="宋体" w:hint="eastAsia"/>
          <w:color w:val="000000"/>
          <w:sz w:val="21"/>
          <w:szCs w:val="21"/>
        </w:rPr>
        <w:t>，则评标价得分＝</w:t>
      </w:r>
      <w:r>
        <w:rPr>
          <w:rFonts w:ascii="宋体" w:hAnsi="宋体" w:hint="eastAsia"/>
          <w:color w:val="000000"/>
          <w:sz w:val="21"/>
          <w:szCs w:val="21"/>
        </w:rPr>
        <w:t>100</w:t>
      </w:r>
      <w:r>
        <w:rPr>
          <w:rFonts w:ascii="宋体" w:hAnsi="宋体" w:hint="eastAsia"/>
          <w:color w:val="000000"/>
          <w:sz w:val="21"/>
          <w:szCs w:val="21"/>
        </w:rPr>
        <w:t>＋偏差率×</w:t>
      </w:r>
      <w:r>
        <w:rPr>
          <w:rFonts w:ascii="宋体" w:hAnsi="宋体" w:hint="eastAsia"/>
          <w:color w:val="000000"/>
          <w:sz w:val="21"/>
          <w:szCs w:val="21"/>
        </w:rPr>
        <w:t>100</w:t>
      </w:r>
      <w:r>
        <w:rPr>
          <w:rFonts w:ascii="宋体" w:hAnsi="宋体" w:hint="eastAsia"/>
          <w:color w:val="000000"/>
          <w:sz w:val="21"/>
          <w:szCs w:val="21"/>
        </w:rPr>
        <w:t>×</w:t>
      </w:r>
      <w:r>
        <w:rPr>
          <w:rFonts w:ascii="宋体" w:hAnsi="宋体" w:hint="eastAsia"/>
          <w:color w:val="000000"/>
          <w:sz w:val="21"/>
          <w:szCs w:val="21"/>
        </w:rPr>
        <w:t>E</w:t>
      </w:r>
      <w:r>
        <w:rPr>
          <w:rFonts w:ascii="宋体" w:hAnsi="宋体" w:hint="eastAsia"/>
          <w:color w:val="000000"/>
          <w:sz w:val="21"/>
          <w:szCs w:val="21"/>
          <w:vertAlign w:val="subscript"/>
        </w:rPr>
        <w:t>2</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其中：</w:t>
      </w:r>
      <w:r>
        <w:rPr>
          <w:rFonts w:ascii="宋体" w:hAnsi="宋体" w:hint="eastAsia"/>
          <w:color w:val="000000"/>
          <w:sz w:val="21"/>
          <w:szCs w:val="21"/>
        </w:rPr>
        <w:t>E</w:t>
      </w:r>
      <w:r>
        <w:rPr>
          <w:rFonts w:ascii="宋体" w:hAnsi="宋体" w:hint="eastAsia"/>
          <w:color w:val="000000"/>
          <w:sz w:val="21"/>
          <w:szCs w:val="21"/>
          <w:vertAlign w:val="subscript"/>
        </w:rPr>
        <w:t>1</w:t>
      </w:r>
      <w:r>
        <w:rPr>
          <w:rFonts w:ascii="宋体" w:hAnsi="宋体" w:hint="eastAsia"/>
          <w:color w:val="000000"/>
          <w:sz w:val="21"/>
          <w:szCs w:val="21"/>
        </w:rPr>
        <w:t>是评标价每高于评标基准价一个百分点的扣分值，</w:t>
      </w:r>
      <w:r>
        <w:rPr>
          <w:rFonts w:ascii="宋体" w:hAnsi="宋体" w:hint="eastAsia"/>
          <w:color w:val="000000"/>
          <w:sz w:val="21"/>
          <w:szCs w:val="21"/>
        </w:rPr>
        <w:t>E</w:t>
      </w:r>
      <w:r>
        <w:rPr>
          <w:rFonts w:ascii="宋体" w:hAnsi="宋体" w:hint="eastAsia"/>
          <w:color w:val="000000"/>
          <w:sz w:val="21"/>
          <w:szCs w:val="21"/>
          <w:vertAlign w:val="subscript"/>
        </w:rPr>
        <w:t>2</w:t>
      </w:r>
      <w:r>
        <w:rPr>
          <w:rFonts w:ascii="宋体" w:hAnsi="宋体" w:hint="eastAsia"/>
          <w:color w:val="000000"/>
          <w:sz w:val="21"/>
          <w:szCs w:val="21"/>
        </w:rPr>
        <w:t>是评标价每低于评标基准价一个百分点的扣分值；招标人可依据招标项目具体特点和实际需要设置</w:t>
      </w:r>
      <w:r>
        <w:rPr>
          <w:rFonts w:ascii="宋体" w:hAnsi="宋体" w:hint="eastAsia"/>
          <w:color w:val="000000"/>
          <w:sz w:val="21"/>
          <w:szCs w:val="21"/>
        </w:rPr>
        <w:t>E</w:t>
      </w:r>
      <w:r>
        <w:rPr>
          <w:rFonts w:ascii="宋体" w:hAnsi="宋体" w:hint="eastAsia"/>
          <w:color w:val="000000"/>
          <w:sz w:val="21"/>
          <w:szCs w:val="21"/>
          <w:vertAlign w:val="subscript"/>
        </w:rPr>
        <w:t>1</w:t>
      </w:r>
      <w:r>
        <w:rPr>
          <w:rFonts w:ascii="宋体" w:hAnsi="宋体" w:hint="eastAsia"/>
          <w:color w:val="000000"/>
          <w:sz w:val="21"/>
          <w:szCs w:val="21"/>
        </w:rPr>
        <w:t>、</w:t>
      </w:r>
      <w:r>
        <w:rPr>
          <w:rFonts w:ascii="宋体" w:hAnsi="宋体" w:hint="eastAsia"/>
          <w:color w:val="000000"/>
          <w:sz w:val="21"/>
          <w:szCs w:val="21"/>
        </w:rPr>
        <w:t>E</w:t>
      </w:r>
      <w:r>
        <w:rPr>
          <w:rFonts w:ascii="宋体" w:hAnsi="宋体" w:hint="eastAsia"/>
          <w:color w:val="000000"/>
          <w:sz w:val="21"/>
          <w:szCs w:val="21"/>
          <w:vertAlign w:val="subscript"/>
        </w:rPr>
        <w:t>2</w:t>
      </w:r>
      <w:r>
        <w:rPr>
          <w:rFonts w:ascii="宋体" w:hAnsi="宋体" w:hint="eastAsia"/>
          <w:color w:val="000000"/>
          <w:sz w:val="21"/>
          <w:szCs w:val="21"/>
        </w:rPr>
        <w:t>，但</w:t>
      </w:r>
      <w:r>
        <w:rPr>
          <w:rFonts w:ascii="宋体" w:hAnsi="宋体" w:hint="eastAsia"/>
          <w:color w:val="000000"/>
          <w:sz w:val="21"/>
          <w:szCs w:val="21"/>
        </w:rPr>
        <w:t>E</w:t>
      </w:r>
      <w:r>
        <w:rPr>
          <w:rFonts w:ascii="宋体" w:hAnsi="宋体" w:hint="eastAsia"/>
          <w:color w:val="000000"/>
          <w:sz w:val="21"/>
          <w:szCs w:val="21"/>
          <w:vertAlign w:val="subscript"/>
        </w:rPr>
        <w:t>1</w:t>
      </w:r>
      <w:r>
        <w:rPr>
          <w:rFonts w:ascii="宋体" w:hAnsi="宋体" w:hint="eastAsia"/>
          <w:color w:val="000000"/>
          <w:sz w:val="21"/>
          <w:szCs w:val="21"/>
        </w:rPr>
        <w:t>应大于</w:t>
      </w:r>
      <w:r>
        <w:rPr>
          <w:rFonts w:ascii="宋体" w:hAnsi="宋体" w:hint="eastAsia"/>
          <w:color w:val="000000"/>
          <w:sz w:val="21"/>
          <w:szCs w:val="21"/>
        </w:rPr>
        <w:t>E</w:t>
      </w:r>
      <w:r>
        <w:rPr>
          <w:rFonts w:ascii="宋体" w:hAnsi="宋体" w:hint="eastAsia"/>
          <w:color w:val="000000"/>
          <w:sz w:val="21"/>
          <w:szCs w:val="21"/>
          <w:vertAlign w:val="subscript"/>
        </w:rPr>
        <w:t>2</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技术评分最低标价法，是指对通过初步评审的投标人的施工组织设计、项目管理机构、技术能力等因素进行评分，按照</w:t>
      </w:r>
      <w:r>
        <w:rPr>
          <w:rStyle w:val="font14zd2"/>
          <w:rFonts w:ascii="宋体" w:hAnsi="宋体" w:hint="eastAsia"/>
        </w:rPr>
        <w:t>得分由高到低排序</w:t>
      </w:r>
      <w:r>
        <w:rPr>
          <w:rFonts w:ascii="宋体" w:hAnsi="宋体" w:hint="eastAsia"/>
          <w:color w:val="000000"/>
          <w:sz w:val="21"/>
          <w:szCs w:val="21"/>
        </w:rPr>
        <w:t>，对排名在招标文件规定数量以内的投标人的报价文件进行评审，按照</w:t>
      </w:r>
      <w:r>
        <w:rPr>
          <w:rStyle w:val="font14zd2"/>
          <w:rFonts w:ascii="宋体" w:hAnsi="宋体" w:hint="eastAsia"/>
        </w:rPr>
        <w:t>评标价由低到高的顺序推荐中标候</w:t>
      </w:r>
      <w:r>
        <w:rPr>
          <w:rStyle w:val="font14zd2"/>
          <w:rFonts w:ascii="宋体" w:hAnsi="宋体" w:hint="eastAsia"/>
        </w:rPr>
        <w:t>选人的评标方法</w:t>
      </w:r>
      <w:r>
        <w:rPr>
          <w:rFonts w:ascii="宋体" w:hAnsi="宋体" w:hint="eastAsia"/>
          <w:color w:val="000000"/>
          <w:sz w:val="21"/>
          <w:szCs w:val="21"/>
        </w:rPr>
        <w:t>。招标人在招标文件中规定的参与报价文件评审的投标人数量不得少于</w:t>
      </w:r>
      <w:r>
        <w:rPr>
          <w:rFonts w:ascii="宋体" w:hAnsi="宋体" w:hint="eastAsia"/>
          <w:color w:val="000000"/>
          <w:sz w:val="21"/>
          <w:szCs w:val="21"/>
        </w:rPr>
        <w:t>3</w:t>
      </w:r>
      <w:r>
        <w:rPr>
          <w:rFonts w:ascii="宋体" w:hAnsi="宋体" w:hint="eastAsia"/>
          <w:color w:val="000000"/>
          <w:sz w:val="21"/>
          <w:szCs w:val="21"/>
        </w:rPr>
        <w:t>个。</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说明：</w:t>
      </w:r>
      <w:r>
        <w:rPr>
          <w:rFonts w:ascii="宋体" w:hAnsi="宋体" w:hint="eastAsia"/>
          <w:color w:val="000000"/>
          <w:sz w:val="21"/>
          <w:szCs w:val="21"/>
        </w:rPr>
        <w:t>第一个信封评分分值构成（总分</w:t>
      </w:r>
      <w:r>
        <w:rPr>
          <w:rFonts w:ascii="宋体" w:hAnsi="宋体" w:hint="eastAsia"/>
          <w:color w:val="000000"/>
          <w:sz w:val="21"/>
          <w:szCs w:val="21"/>
        </w:rPr>
        <w:t>100</w:t>
      </w:r>
      <w:r>
        <w:rPr>
          <w:rFonts w:ascii="宋体" w:hAnsi="宋体" w:hint="eastAsia"/>
          <w:color w:val="000000"/>
          <w:sz w:val="21"/>
          <w:szCs w:val="21"/>
        </w:rPr>
        <w:t>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施工组织设计：　　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主要人员：　　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技术能力：　　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履约信誉：　　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各评分因素权重分值范围如下：</w:t>
      </w:r>
      <w:r>
        <w:rPr>
          <w:rStyle w:val="font14zd2"/>
          <w:rFonts w:ascii="宋体" w:hAnsi="宋体" w:hint="eastAsia"/>
        </w:rPr>
        <w:t>施工组织设计</w:t>
      </w:r>
      <w:r>
        <w:rPr>
          <w:rStyle w:val="font14zd2"/>
          <w:rFonts w:ascii="宋体" w:hAnsi="宋体" w:hint="eastAsia"/>
        </w:rPr>
        <w:t>25</w:t>
      </w:r>
      <w:r>
        <w:rPr>
          <w:rStyle w:val="font14zd2"/>
          <w:rFonts w:ascii="宋体" w:hAnsi="宋体" w:hint="eastAsia"/>
        </w:rPr>
        <w:t>～</w:t>
      </w:r>
      <w:r>
        <w:rPr>
          <w:rStyle w:val="font14zd2"/>
          <w:rFonts w:ascii="宋体" w:hAnsi="宋体" w:hint="eastAsia"/>
        </w:rPr>
        <w:t>40</w:t>
      </w:r>
      <w:r>
        <w:rPr>
          <w:rStyle w:val="font14zd2"/>
          <w:rFonts w:ascii="宋体" w:hAnsi="宋体" w:hint="eastAsia"/>
        </w:rPr>
        <w:t>分；主要人员</w:t>
      </w:r>
      <w:r>
        <w:rPr>
          <w:rStyle w:val="font14zd2"/>
          <w:rFonts w:ascii="宋体" w:hAnsi="宋体" w:hint="eastAsia"/>
        </w:rPr>
        <w:t>25</w:t>
      </w:r>
      <w:r>
        <w:rPr>
          <w:rStyle w:val="font14zd2"/>
          <w:rFonts w:ascii="宋体" w:hAnsi="宋体" w:hint="eastAsia"/>
        </w:rPr>
        <w:t>～</w:t>
      </w:r>
      <w:r>
        <w:rPr>
          <w:rStyle w:val="font14zd2"/>
          <w:rFonts w:ascii="宋体" w:hAnsi="宋体" w:hint="eastAsia"/>
        </w:rPr>
        <w:t>40</w:t>
      </w:r>
      <w:r>
        <w:rPr>
          <w:rStyle w:val="font14zd2"/>
          <w:rFonts w:ascii="宋体" w:hAnsi="宋体" w:hint="eastAsia"/>
        </w:rPr>
        <w:t>分；技术能力</w:t>
      </w:r>
      <w:r>
        <w:rPr>
          <w:rStyle w:val="font14zd2"/>
          <w:rFonts w:ascii="宋体" w:hAnsi="宋体" w:hint="eastAsia"/>
        </w:rPr>
        <w:t>10</w:t>
      </w:r>
      <w:r>
        <w:rPr>
          <w:rStyle w:val="font14zd2"/>
          <w:rFonts w:ascii="宋体" w:hAnsi="宋体" w:hint="eastAsia"/>
        </w:rPr>
        <w:t>～</w:t>
      </w:r>
      <w:r>
        <w:rPr>
          <w:rStyle w:val="font14zd2"/>
          <w:rFonts w:ascii="宋体" w:hAnsi="宋体" w:hint="eastAsia"/>
        </w:rPr>
        <w:t>20</w:t>
      </w:r>
      <w:r>
        <w:rPr>
          <w:rStyle w:val="font14zd2"/>
          <w:rFonts w:ascii="宋体" w:hAnsi="宋体" w:hint="eastAsia"/>
        </w:rPr>
        <w:t>分；履约信誉</w:t>
      </w:r>
      <w:r>
        <w:rPr>
          <w:rStyle w:val="font14zd2"/>
          <w:rFonts w:ascii="宋体" w:hAnsi="宋体" w:hint="eastAsia"/>
        </w:rPr>
        <w:t>15</w:t>
      </w:r>
      <w:r>
        <w:rPr>
          <w:rStyle w:val="font14zd2"/>
          <w:rFonts w:ascii="宋体" w:hAnsi="宋体" w:hint="eastAsia"/>
        </w:rPr>
        <w:t>～</w:t>
      </w:r>
      <w:r>
        <w:rPr>
          <w:rStyle w:val="font14zd2"/>
          <w:rFonts w:ascii="宋体" w:hAnsi="宋体" w:hint="eastAsia"/>
        </w:rPr>
        <w:t>25</w:t>
      </w:r>
      <w:r>
        <w:rPr>
          <w:rStyle w:val="font14zd2"/>
          <w:rFonts w:ascii="宋体" w:hAnsi="宋体" w:hint="eastAsia"/>
        </w:rPr>
        <w:t>分</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第二个信封详细评审标准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评标价＝</w:t>
      </w:r>
      <w:r>
        <w:rPr>
          <w:rStyle w:val="font14zd2"/>
          <w:rFonts w:ascii="宋体" w:hAnsi="宋体" w:hint="eastAsia"/>
        </w:rPr>
        <w:t>修正后的投标报价－暂估价－暂列金额</w:t>
      </w:r>
      <w:r>
        <w:rPr>
          <w:rFonts w:ascii="宋体" w:hAnsi="宋体" w:hint="eastAsia"/>
          <w:color w:val="000000"/>
          <w:sz w:val="21"/>
          <w:szCs w:val="21"/>
        </w:rPr>
        <w:t>（不含计日工总额）</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综合评分法，是指对通过初步评审的投标人的评标价、施工组织设计、项目管理机构、技术能力等因素进行评分，按照综合得分由高到低排序，推荐中标候选人的评标方法。</w:t>
      </w:r>
      <w:r>
        <w:rPr>
          <w:rStyle w:val="font14zd2"/>
          <w:rFonts w:ascii="宋体" w:hAnsi="宋体" w:hint="eastAsia"/>
        </w:rPr>
        <w:t>其中评标价的评分权重不得低于</w:t>
      </w:r>
      <w:r>
        <w:rPr>
          <w:rStyle w:val="font14zd2"/>
          <w:rFonts w:ascii="宋体" w:hAnsi="宋体" w:hint="eastAsia"/>
        </w:rPr>
        <w:t>50%</w:t>
      </w:r>
      <w:r>
        <w:rPr>
          <w:rStyle w:val="font14zd2"/>
          <w:rFonts w:ascii="宋体" w:hAnsi="宋体" w:hint="eastAsia"/>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说明：</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第一个信封（商务及技术文件）评分分值构成：</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施工组织设计：　　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主要人员：　　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技术能力：　　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财务能力：　　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业绩：　　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履约信誉：　</w:t>
      </w:r>
      <w:r>
        <w:rPr>
          <w:rFonts w:ascii="宋体" w:hAnsi="宋体" w:hint="eastAsia"/>
          <w:color w:val="000000"/>
          <w:sz w:val="21"/>
          <w:szCs w:val="21"/>
        </w:rPr>
        <w:t xml:space="preserve"> </w:t>
      </w:r>
      <w:r>
        <w:rPr>
          <w:rFonts w:ascii="宋体" w:hAnsi="宋体" w:hint="eastAsia"/>
          <w:color w:val="000000"/>
          <w:sz w:val="21"/>
          <w:szCs w:val="21"/>
        </w:rPr>
        <w:t>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第二个信封（报价文件）评分分值构成：</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评标价：　　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经评审的最低投标价法，是指对通过初步评</w:t>
      </w:r>
      <w:r>
        <w:rPr>
          <w:rFonts w:ascii="宋体" w:hAnsi="宋体" w:hint="eastAsia"/>
          <w:color w:val="000000"/>
          <w:sz w:val="21"/>
          <w:szCs w:val="21"/>
        </w:rPr>
        <w:t>审的投标人，按照评标价由低到高排序，推荐中标候选人的评标方法。</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说明：</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详细评审标准：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经评审的投标价（评标价）＝</w:t>
      </w:r>
      <w:r>
        <w:rPr>
          <w:rStyle w:val="font14zd2"/>
          <w:rFonts w:ascii="宋体" w:hAnsi="宋体" w:hint="eastAsia"/>
        </w:rPr>
        <w:t>修正后的投标报价－暂估价－暂列金额（不含计日工总额）</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公路工程施工招标评标，</w:t>
      </w:r>
      <w:r>
        <w:rPr>
          <w:rStyle w:val="font14zd2"/>
          <w:rFonts w:ascii="宋体" w:hAnsi="宋体" w:hint="eastAsia"/>
        </w:rPr>
        <w:t>一般采用合理低价法或者技术评分最低标价法。</w:t>
      </w:r>
      <w:r>
        <w:rPr>
          <w:rFonts w:ascii="宋体" w:hAnsi="宋体" w:hint="eastAsia"/>
          <w:color w:val="000000"/>
          <w:sz w:val="21"/>
          <w:szCs w:val="21"/>
        </w:rPr>
        <w:t>技术特别复杂的特大桥梁和特长隧道项目主体工程，</w:t>
      </w:r>
      <w:r>
        <w:rPr>
          <w:rStyle w:val="font14zd2"/>
          <w:rFonts w:ascii="宋体" w:hAnsi="宋体" w:hint="eastAsia"/>
        </w:rPr>
        <w:t>可以采用综合评分法。</w:t>
      </w:r>
      <w:r>
        <w:rPr>
          <w:rFonts w:ascii="宋体" w:hAnsi="宋体" w:hint="eastAsia"/>
          <w:color w:val="000000"/>
          <w:sz w:val="21"/>
          <w:szCs w:val="21"/>
        </w:rPr>
        <w:t>工程规模较小、技术含量较低的工程，</w:t>
      </w:r>
      <w:r>
        <w:rPr>
          <w:rStyle w:val="font14zd2"/>
          <w:rFonts w:ascii="宋体" w:hAnsi="宋体" w:hint="eastAsia"/>
        </w:rPr>
        <w:t>可以采用经评审的最低投标价法。</w:t>
      </w:r>
      <w:r>
        <w:rPr>
          <w:rStyle w:val="font14zd2"/>
          <w:rFonts w:ascii="宋体" w:hAnsi="宋体" w:hint="eastAsia"/>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8</w:t>
      </w:r>
      <w:r>
        <w:rPr>
          <w:rFonts w:ascii="宋体" w:hAnsi="宋体" w:hint="eastAsia"/>
          <w:color w:val="000000"/>
          <w:sz w:val="21"/>
          <w:szCs w:val="21"/>
        </w:rPr>
        <w:t>）评标委员会发现投标人的投标报价</w:t>
      </w:r>
      <w:r>
        <w:rPr>
          <w:rStyle w:val="font14zd2"/>
          <w:rFonts w:ascii="宋体" w:hAnsi="宋体" w:hint="eastAsia"/>
        </w:rPr>
        <w:t>明显低于其他投标人报价或者在设有标底时明显低于标底的</w:t>
      </w:r>
      <w:r>
        <w:rPr>
          <w:rFonts w:ascii="宋体" w:hAnsi="宋体" w:hint="eastAsia"/>
          <w:color w:val="000000"/>
          <w:sz w:val="21"/>
          <w:szCs w:val="21"/>
        </w:rPr>
        <w:t>，应当要求该投标人对相应投标</w:t>
      </w:r>
      <w:r>
        <w:rPr>
          <w:rFonts w:ascii="宋体" w:hAnsi="宋体" w:hint="eastAsia"/>
          <w:color w:val="000000"/>
          <w:sz w:val="21"/>
          <w:szCs w:val="21"/>
        </w:rPr>
        <w:t>报价作出书面说明，并提供相关证明材料。投标人不能证明可以按照其报价以及招标文件规定的质量标准和履行期限完成招标项目的，评标委员会应当认定该投标人以低于成本价竞标，并否决其投标。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w:t>
      </w:r>
      <w:r>
        <w:rPr>
          <w:rFonts w:ascii="宋体" w:hAnsi="宋体" w:hint="eastAsia"/>
          <w:color w:val="000000"/>
          <w:sz w:val="21"/>
          <w:szCs w:val="21"/>
        </w:rPr>
        <w:t>）中标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）依法必须进行招标的公路工程建设项目，招标人应当自收到评标报告</w:t>
      </w:r>
      <w:r>
        <w:rPr>
          <w:rStyle w:val="font14zd2"/>
          <w:rFonts w:ascii="宋体" w:hAnsi="宋体" w:hint="eastAsia"/>
        </w:rPr>
        <w:t>之日起</w:t>
      </w:r>
      <w:r>
        <w:rPr>
          <w:rStyle w:val="font14zd2"/>
          <w:rFonts w:ascii="宋体" w:hAnsi="宋体" w:hint="eastAsia"/>
        </w:rPr>
        <w:t>3</w:t>
      </w:r>
      <w:r>
        <w:rPr>
          <w:rStyle w:val="font14zd2"/>
          <w:rFonts w:ascii="宋体" w:hAnsi="宋体" w:hint="eastAsia"/>
        </w:rPr>
        <w:t>日内</w:t>
      </w:r>
      <w:r>
        <w:rPr>
          <w:rFonts w:ascii="宋体" w:hAnsi="宋体" w:hint="eastAsia"/>
          <w:color w:val="000000"/>
          <w:sz w:val="21"/>
          <w:szCs w:val="21"/>
        </w:rPr>
        <w:t>，在对该项目具有招标监督职责的交通运输主管部门政府网站或者其指定的其他网站上公示中标候选人，公示期不得少于</w:t>
      </w:r>
      <w:r>
        <w:rPr>
          <w:rFonts w:ascii="宋体" w:hAnsi="宋体" w:hint="eastAsia"/>
          <w:color w:val="000000"/>
          <w:sz w:val="21"/>
          <w:szCs w:val="21"/>
        </w:rPr>
        <w:t>3</w:t>
      </w:r>
      <w:r>
        <w:rPr>
          <w:rFonts w:ascii="宋体" w:hAnsi="宋体" w:hint="eastAsia"/>
          <w:color w:val="000000"/>
          <w:sz w:val="21"/>
          <w:szCs w:val="21"/>
        </w:rPr>
        <w:t>日。</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）招标人和中标人应当自中标通知书</w:t>
      </w:r>
      <w:r>
        <w:rPr>
          <w:rStyle w:val="font14zd2"/>
          <w:rFonts w:ascii="宋体" w:hAnsi="宋体" w:hint="eastAsia"/>
        </w:rPr>
        <w:t>发出之日起</w:t>
      </w:r>
      <w:r>
        <w:rPr>
          <w:rStyle w:val="font14zd2"/>
          <w:rFonts w:ascii="宋体" w:hAnsi="宋体" w:hint="eastAsia"/>
        </w:rPr>
        <w:t>30</w:t>
      </w:r>
      <w:r>
        <w:rPr>
          <w:rStyle w:val="font14zd2"/>
          <w:rFonts w:ascii="宋体" w:hAnsi="宋体" w:hint="eastAsia"/>
        </w:rPr>
        <w:t>日内</w:t>
      </w:r>
      <w:r>
        <w:rPr>
          <w:rFonts w:ascii="宋体" w:hAnsi="宋体" w:hint="eastAsia"/>
          <w:color w:val="000000"/>
          <w:sz w:val="21"/>
          <w:szCs w:val="21"/>
        </w:rPr>
        <w:t>，按照招标文件和中标人的投标文件订立书面合同。</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招标人最迟应当在中标通知书发出后</w:t>
      </w:r>
      <w:r>
        <w:rPr>
          <w:rFonts w:ascii="宋体" w:hAnsi="宋体" w:hint="eastAsia"/>
          <w:color w:val="000000"/>
          <w:sz w:val="21"/>
          <w:szCs w:val="21"/>
        </w:rPr>
        <w:t>5</w:t>
      </w:r>
      <w:r>
        <w:rPr>
          <w:rFonts w:ascii="宋体" w:hAnsi="宋体" w:hint="eastAsia"/>
          <w:color w:val="000000"/>
          <w:sz w:val="21"/>
          <w:szCs w:val="21"/>
        </w:rPr>
        <w:t>日内向中标候选人以外的其他投标人退还投标保证金，与中标人签订书面合同后</w:t>
      </w:r>
      <w:r>
        <w:rPr>
          <w:rFonts w:ascii="宋体" w:hAnsi="宋体" w:hint="eastAsia"/>
          <w:color w:val="000000"/>
          <w:sz w:val="21"/>
          <w:szCs w:val="21"/>
        </w:rPr>
        <w:t>5</w:t>
      </w:r>
      <w:r>
        <w:rPr>
          <w:rFonts w:ascii="宋体" w:hAnsi="宋体" w:hint="eastAsia"/>
          <w:color w:val="000000"/>
          <w:sz w:val="21"/>
          <w:szCs w:val="21"/>
        </w:rPr>
        <w:t>日内向中标人和其他中标候选人退还投标保证金。</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）招标文件要求中标人提交履约保证金的，中标人应当按照招标文件的要求提交。</w:t>
      </w:r>
      <w:r>
        <w:rPr>
          <w:rStyle w:val="font14zd2"/>
          <w:rFonts w:ascii="宋体" w:hAnsi="宋体" w:hint="eastAsia"/>
        </w:rPr>
        <w:t>履约保证金不得超过中标合同金额的</w:t>
      </w:r>
      <w:r>
        <w:rPr>
          <w:rStyle w:val="font14zd2"/>
          <w:rFonts w:ascii="宋体" w:hAnsi="宋体" w:hint="eastAsia"/>
        </w:rPr>
        <w:t>10%</w:t>
      </w:r>
      <w:r>
        <w:rPr>
          <w:rStyle w:val="font14zd2"/>
          <w:rFonts w:ascii="宋体" w:hAnsi="宋体" w:hint="eastAsia"/>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施工投标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）研究招标文件</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）投标人须知</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“投标人须知”是招标人向投标人传递基础信息的文件，包括工程概况、招标内容、招标文件的组成、投标文件的组成、报价的原则、招标投标时间安排等关键的信息。</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）复核工程量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对于单价合同，尽管工程量清单中所列工程数量是估算或设计的预计数量，</w:t>
      </w:r>
      <w:r>
        <w:rPr>
          <w:rStyle w:val="font14zd2"/>
          <w:rFonts w:ascii="宋体" w:hAnsi="宋体" w:hint="eastAsia"/>
        </w:rPr>
        <w:t>仅作为投标报价的共同基础，实际支付应按监理工程师认可的实际完成的工程量结算</w:t>
      </w:r>
      <w:r>
        <w:rPr>
          <w:rFonts w:ascii="宋体" w:hAnsi="宋体" w:hint="eastAsia"/>
          <w:color w:val="000000"/>
          <w:sz w:val="21"/>
          <w:szCs w:val="21"/>
        </w:rPr>
        <w:t>，但投标人仍应根据图纸仔细核算工程量。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当发现相差较大时或存在重要清单子目漏项，投标人应向招标人要求澄清，否则容易影响清单子目单价公正性，工程结算时容易引起纠纷。</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对于总价固定合同，</w:t>
      </w:r>
      <w:r>
        <w:rPr>
          <w:rStyle w:val="font14zd2"/>
          <w:rFonts w:ascii="宋体" w:hAnsi="宋体" w:hint="eastAsia"/>
        </w:rPr>
        <w:t>更需特别重视工程量复核，工程量估算的错误可能带来无法弥补的经济损失</w:t>
      </w:r>
      <w:r>
        <w:rPr>
          <w:rFonts w:ascii="宋体" w:hAnsi="宋体" w:hint="eastAsia"/>
          <w:color w:val="000000"/>
          <w:sz w:val="21"/>
          <w:szCs w:val="21"/>
        </w:rPr>
        <w:t>，因总价合同是以总报价为基础进行结算。若工程量出现差异，可能导致很大的不公平性，引起合同纠</w:t>
      </w:r>
      <w:r>
        <w:rPr>
          <w:rFonts w:ascii="宋体" w:hAnsi="宋体" w:hint="eastAsia"/>
          <w:color w:val="000000"/>
          <w:sz w:val="21"/>
          <w:szCs w:val="21"/>
        </w:rPr>
        <w:t>纷，对甲乙双方均不利。对于总价合同，若业主在投标前对投标者不利的争议工程量不予更正，投标人应按实际工程量调整报价。</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）制定施工方案</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施工方案主要</w:t>
      </w:r>
      <w:r>
        <w:rPr>
          <w:rStyle w:val="font14zd2"/>
          <w:rFonts w:ascii="宋体" w:hAnsi="宋体" w:hint="eastAsia"/>
        </w:rPr>
        <w:t>应考虑施工方法、主要施工机具的配置、各工种劳动力的安排及现场施工人员的平衡、施工进度及分批交（竣）工的安排、安全措施</w:t>
      </w:r>
      <w:r>
        <w:rPr>
          <w:rFonts w:ascii="宋体" w:hAnsi="宋体" w:hint="eastAsia"/>
          <w:color w:val="000000"/>
          <w:sz w:val="21"/>
          <w:szCs w:val="21"/>
        </w:rPr>
        <w:t>等。</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5</w:t>
      </w:r>
      <w:r>
        <w:rPr>
          <w:rFonts w:ascii="宋体" w:hAnsi="宋体" w:hint="eastAsia"/>
          <w:color w:val="000000"/>
          <w:sz w:val="21"/>
          <w:szCs w:val="21"/>
        </w:rPr>
        <w:t>）确定投标策略</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常用的投标策略有以</w:t>
      </w:r>
      <w:r>
        <w:rPr>
          <w:rStyle w:val="font14zd2"/>
          <w:rFonts w:ascii="宋体" w:hAnsi="宋体" w:hint="eastAsia"/>
        </w:rPr>
        <w:t>信誉取胜、以低价取胜、以缩短工期取胜、以改进设计取胜或者以先进或特殊的施工方案</w:t>
      </w:r>
      <w:r>
        <w:rPr>
          <w:rFonts w:ascii="宋体" w:hAnsi="宋体" w:hint="eastAsia"/>
          <w:color w:val="000000"/>
          <w:sz w:val="21"/>
          <w:szCs w:val="21"/>
        </w:rPr>
        <w:t>取胜等。</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6</w:t>
      </w:r>
      <w:r>
        <w:rPr>
          <w:rFonts w:ascii="宋体" w:hAnsi="宋体" w:hint="eastAsia"/>
          <w:color w:val="000000"/>
          <w:sz w:val="21"/>
          <w:szCs w:val="21"/>
        </w:rPr>
        <w:t>）正式投标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9.1.2 </w:t>
      </w:r>
      <w:r>
        <w:rPr>
          <w:rFonts w:ascii="宋体" w:hAnsi="宋体" w:hint="eastAsia"/>
          <w:color w:val="000000"/>
          <w:sz w:val="21"/>
          <w:szCs w:val="21"/>
        </w:rPr>
        <w:t>公路工程工程量清单编制</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工程量清单的概念</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工程量清单，是工程招标及实施工程时计量与支付的重要依据，是招标单位（业主）将要招标的工程按一定的原则（如按工程部位、性质等）进行分解，以明确工程的内容和范围，并将这些内容数量化而得到的一套工程项目表。每个表中既有工程部位和该部位需实施的各个子项目（工程子目），又有每个子项目的工程量和计价要求（单价或包干价）以及总计金额，单价与总价两个栏目由投标单位填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招标工程的工程量清单通常由业主提供。</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需要特别指出的是工程量清单中所列的工程数量（也称为清单工程量），是在实际施工生产前根据设计施工图纸和说明及工程量计算规则所得到的一种</w:t>
      </w:r>
      <w:r>
        <w:rPr>
          <w:rStyle w:val="font14zd2"/>
          <w:rFonts w:ascii="宋体" w:hAnsi="宋体" w:hint="eastAsia"/>
        </w:rPr>
        <w:t>准确性较高的预算数量</w:t>
      </w:r>
      <w:r>
        <w:rPr>
          <w:rFonts w:ascii="宋体" w:hAnsi="宋体" w:hint="eastAsia"/>
          <w:color w:val="000000"/>
          <w:sz w:val="21"/>
          <w:szCs w:val="21"/>
        </w:rPr>
        <w:t>，并不是中标者在施工时应予完成的实际的工程量。因为在实际施工过程中，可能会因各种原因与设计条件不一致，从而产生工程量的数量变化，</w:t>
      </w:r>
      <w:r>
        <w:rPr>
          <w:rStyle w:val="font14zd2"/>
          <w:rFonts w:ascii="宋体" w:hAnsi="宋体" w:hint="eastAsia"/>
        </w:rPr>
        <w:t>业主应按约定好的计量规则计算出实际工程量支付工程费用。</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工程量清单的内容</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根据《公路工程标准施工招标文件》（</w:t>
      </w:r>
      <w:r>
        <w:rPr>
          <w:rFonts w:ascii="宋体" w:hAnsi="宋体" w:hint="eastAsia"/>
          <w:color w:val="000000"/>
          <w:sz w:val="21"/>
          <w:szCs w:val="21"/>
        </w:rPr>
        <w:t>2018</w:t>
      </w:r>
      <w:r>
        <w:rPr>
          <w:rFonts w:ascii="宋体" w:hAnsi="宋体" w:hint="eastAsia"/>
          <w:color w:val="000000"/>
          <w:sz w:val="21"/>
          <w:szCs w:val="21"/>
        </w:rPr>
        <w:t>年版）的相关规定，工程量清单内容包括</w:t>
      </w:r>
      <w:r>
        <w:rPr>
          <w:rStyle w:val="font14zd2"/>
          <w:rFonts w:ascii="宋体" w:hAnsi="宋体" w:hint="eastAsia"/>
        </w:rPr>
        <w:t>说明、工程量清单、计日工表、暂估价表和工程量清单汇总表</w:t>
      </w:r>
      <w:r>
        <w:rPr>
          <w:rFonts w:ascii="宋体" w:hAnsi="宋体" w:hint="eastAsia"/>
          <w:color w:val="000000"/>
          <w:sz w:val="21"/>
          <w:szCs w:val="21"/>
        </w:rPr>
        <w:t>五部分。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）说明</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）工程量清单说明</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工程量清单是根据招标文件中包括的有合同约束力的工程量清单计量规则、图纸以及有关工程量清单的国家标准、行业标准、合同条款中约定的其他规则编制。约定计量规则中没有的子目，其工程量按照有合同约束力的图纸所标示尺寸的理论净量计算。</w:t>
      </w:r>
      <w:r>
        <w:rPr>
          <w:rStyle w:val="font14zd2"/>
          <w:rFonts w:ascii="宋体" w:hAnsi="宋体" w:hint="eastAsia"/>
        </w:rPr>
        <w:t>计量采用中华人民共和国法定计量单位</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②工程量清单应与招标文件中的投标人须知、通用合同条款、专用合同条款、工程量清单计量规则、技术规范及图纸等一起阅读和理解。</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③工程量清单中所列工程数量是估算的或设计的预计数量，仅作为投标报价</w:t>
      </w:r>
      <w:r>
        <w:rPr>
          <w:rFonts w:ascii="宋体" w:hAnsi="宋体" w:hint="eastAsia"/>
          <w:color w:val="000000"/>
          <w:sz w:val="21"/>
          <w:szCs w:val="21"/>
        </w:rPr>
        <w:t>的共同基础，</w:t>
      </w:r>
      <w:r>
        <w:rPr>
          <w:rStyle w:val="font14zd2"/>
          <w:rFonts w:ascii="宋体" w:hAnsi="宋体" w:hint="eastAsia"/>
        </w:rPr>
        <w:t>不能作为最终结算与支付的依据</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⑥</w:t>
      </w:r>
      <w:r>
        <w:rPr>
          <w:rStyle w:val="font14zd2"/>
          <w:rFonts w:ascii="宋体" w:hAnsi="宋体" w:hint="eastAsia"/>
        </w:rPr>
        <w:t>工程量清单中所列工程量的变动，丝毫不会降低或影响合同条款的效力</w:t>
      </w:r>
      <w:r>
        <w:rPr>
          <w:rFonts w:ascii="宋体" w:hAnsi="宋体" w:hint="eastAsia"/>
          <w:color w:val="000000"/>
          <w:sz w:val="21"/>
          <w:szCs w:val="21"/>
        </w:rPr>
        <w:t>，也不免除承包人按规定的标准进行施工和修复缺陷的责任。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⑦图纸中所列的工程数量表及数量汇总表仅是提供资料，</w:t>
      </w:r>
      <w:r>
        <w:rPr>
          <w:rStyle w:val="font14zd2"/>
          <w:rFonts w:ascii="宋体" w:hAnsi="宋体" w:hint="eastAsia"/>
        </w:rPr>
        <w:t>不是工程量清单的外延</w:t>
      </w:r>
      <w:r>
        <w:rPr>
          <w:rFonts w:ascii="宋体" w:hAnsi="宋体" w:hint="eastAsia"/>
          <w:color w:val="000000"/>
          <w:sz w:val="21"/>
          <w:szCs w:val="21"/>
        </w:rPr>
        <w:t>。</w:t>
      </w:r>
      <w:r>
        <w:rPr>
          <w:rStyle w:val="font14zd2"/>
          <w:rFonts w:ascii="宋体" w:hAnsi="宋体" w:hint="eastAsia"/>
        </w:rPr>
        <w:t>当图纸与工程量清单所列数量不一致时，以工程量清单所列数量作为报价的依据</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）投标报价说明</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①工程量清单中的每一子目须填入单价或价格，且只允许有一个报价。</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②除非合同另有规定，工程量清单中有标价的单价和总额价均已包括了为实施和完成合同工程所需的</w:t>
      </w:r>
      <w:r>
        <w:rPr>
          <w:rFonts w:ascii="宋体" w:hAnsi="宋体" w:hint="eastAsia"/>
          <w:color w:val="000000"/>
          <w:sz w:val="21"/>
          <w:szCs w:val="21"/>
        </w:rPr>
        <w:t>劳务、材料、机械、等费用，以及合同明示或暗示的所有责任、义务和一般风险。</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③工程量清单中投标人没有填入单价或价格的子目，</w:t>
      </w:r>
      <w:r>
        <w:rPr>
          <w:rStyle w:val="font14zd2"/>
          <w:rFonts w:ascii="宋体" w:hAnsi="宋体" w:hint="eastAsia"/>
        </w:rPr>
        <w:t>其费用视为已分摊在工程量清单中其他相关子目的单价或价格之</w:t>
      </w:r>
      <w:r>
        <w:rPr>
          <w:rFonts w:ascii="宋体" w:hAnsi="宋体" w:hint="eastAsia"/>
          <w:color w:val="000000"/>
          <w:sz w:val="21"/>
          <w:szCs w:val="21"/>
        </w:rPr>
        <w:t>中。承包人必须按监理工程师指令完成工程量清单中未填入单价或价格的子目，但不能得到结算与支付。</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）计日工说明</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①计日工总则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A.</w:t>
      </w:r>
      <w:r>
        <w:rPr>
          <w:rStyle w:val="font14zd2"/>
          <w:rFonts w:ascii="宋体" w:hAnsi="宋体" w:hint="eastAsia"/>
        </w:rPr>
        <w:t>未经监理人书面指令，任何工程不得按计日工施工</w:t>
      </w:r>
      <w:r>
        <w:rPr>
          <w:rFonts w:ascii="宋体" w:hAnsi="宋体" w:hint="eastAsia"/>
          <w:color w:val="000000"/>
          <w:sz w:val="21"/>
          <w:szCs w:val="21"/>
        </w:rPr>
        <w:t>；接到监理工程师按计日工施工的书面指令，承包人也不得拒绝。</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B.</w:t>
      </w:r>
      <w:r>
        <w:rPr>
          <w:rFonts w:ascii="宋体" w:hAnsi="宋体" w:hint="eastAsia"/>
          <w:color w:val="000000"/>
          <w:sz w:val="21"/>
          <w:szCs w:val="21"/>
        </w:rPr>
        <w:t>投标人应在计日工单价表中填列计日工子目的基本单价或租价，该基本单价或租价适用于监理工程师指令的任何数量的计日工的结算与支付。计日工的劳务、材料和施工机械由招标人（或发包人）列出正常的估计数量，</w:t>
      </w:r>
      <w:r>
        <w:rPr>
          <w:rStyle w:val="font14zd2"/>
          <w:rFonts w:ascii="宋体" w:hAnsi="宋体" w:hint="eastAsia"/>
        </w:rPr>
        <w:t>投标人报出单价，计算出计日工总额后列入工程量清单汇总表中并进入评标价</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C.</w:t>
      </w:r>
      <w:r>
        <w:rPr>
          <w:rStyle w:val="font14zd2"/>
          <w:rFonts w:ascii="宋体" w:hAnsi="宋体" w:hint="eastAsia"/>
        </w:rPr>
        <w:t>计日工不调价</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②计日工劳务</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A.</w:t>
      </w:r>
      <w:r>
        <w:rPr>
          <w:rFonts w:ascii="宋体" w:hAnsi="宋体" w:hint="eastAsia"/>
          <w:color w:val="000000"/>
          <w:sz w:val="21"/>
          <w:szCs w:val="21"/>
        </w:rPr>
        <w:t>只有直接从事指定的工作，且能胜任该工作的工人才能计工，</w:t>
      </w:r>
      <w:r>
        <w:rPr>
          <w:rStyle w:val="font14zd2"/>
          <w:rFonts w:ascii="宋体" w:hAnsi="宋体" w:hint="eastAsia"/>
        </w:rPr>
        <w:t>随同工人一起做工的班长应计算在内</w:t>
      </w:r>
      <w:r>
        <w:rPr>
          <w:rFonts w:ascii="宋体" w:hAnsi="宋体" w:hint="eastAsia"/>
          <w:color w:val="000000"/>
          <w:sz w:val="21"/>
          <w:szCs w:val="21"/>
        </w:rPr>
        <w:t>，</w:t>
      </w:r>
      <w:r>
        <w:rPr>
          <w:rStyle w:val="font14zd2"/>
          <w:rFonts w:ascii="宋体" w:hAnsi="宋体" w:hint="eastAsia"/>
        </w:rPr>
        <w:t>但不包括领工（工长）和其他质检管理人员。</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B.</w:t>
      </w:r>
      <w:r>
        <w:rPr>
          <w:rFonts w:ascii="宋体" w:hAnsi="宋体" w:hint="eastAsia"/>
          <w:color w:val="000000"/>
          <w:sz w:val="21"/>
          <w:szCs w:val="21"/>
        </w:rPr>
        <w:t>承包人可以得到用于计日工劳务的全部工时的支付，此支付按承包人填报的“计日工劳务单价表”所列单价计算，该单价应包括基本单价及承包人的管理费、税费、利润等所有附加费。</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③计日工材料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承包人可以得到计日工使用的材料费用（上述已计入计日工劳务费内的材料费用除外）的支付，此费用按承包人“计日工材料单价表”中所填报的单价计算，该单价应包括</w:t>
      </w:r>
      <w:r>
        <w:rPr>
          <w:rStyle w:val="font14zd2"/>
          <w:rFonts w:ascii="宋体" w:hAnsi="宋体" w:hint="eastAsia"/>
        </w:rPr>
        <w:t>基本单价及承包人的管理费、税费、利润等所有附加费。</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④计日工施工机械</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A.</w:t>
      </w:r>
      <w:r>
        <w:rPr>
          <w:rFonts w:ascii="宋体" w:hAnsi="宋体" w:hint="eastAsia"/>
          <w:color w:val="000000"/>
          <w:sz w:val="21"/>
          <w:szCs w:val="21"/>
        </w:rPr>
        <w:t>承包人可以得到用于计日工作业的施工机械费用的支付。</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B.</w:t>
      </w:r>
      <w:r>
        <w:rPr>
          <w:rFonts w:ascii="宋体" w:hAnsi="宋体" w:hint="eastAsia"/>
          <w:color w:val="000000"/>
          <w:sz w:val="21"/>
          <w:szCs w:val="21"/>
        </w:rPr>
        <w:t>在计日工作业中，承包</w:t>
      </w:r>
      <w:r>
        <w:rPr>
          <w:rFonts w:ascii="宋体" w:hAnsi="宋体" w:hint="eastAsia"/>
          <w:color w:val="000000"/>
          <w:sz w:val="21"/>
          <w:szCs w:val="21"/>
        </w:rPr>
        <w:t>人计算所用的施工机械费用时，</w:t>
      </w:r>
      <w:r>
        <w:rPr>
          <w:rStyle w:val="font14zd2"/>
          <w:rFonts w:ascii="宋体" w:hAnsi="宋体" w:hint="eastAsia"/>
        </w:rPr>
        <w:t>应按实际工作小时支付</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）工程量清单</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工程量清单又叫子目清单表，是招标工程中按章的顺序排列的各个子目表。表中有子目号、子目名称、工程数量、单位、单价及金额栏目，其格式见表</w:t>
      </w:r>
      <w:r>
        <w:rPr>
          <w:rFonts w:ascii="宋体" w:hAnsi="宋体" w:hint="eastAsia"/>
          <w:color w:val="000000"/>
          <w:sz w:val="21"/>
          <w:szCs w:val="21"/>
        </w:rPr>
        <w:t>9.1-1</w:t>
      </w:r>
      <w:r>
        <w:rPr>
          <w:rFonts w:ascii="宋体" w:hAnsi="宋体" w:hint="eastAsia"/>
          <w:color w:val="000000"/>
          <w:sz w:val="21"/>
          <w:szCs w:val="21"/>
        </w:rPr>
        <w:t>，</w:t>
      </w:r>
      <w:r>
        <w:rPr>
          <w:rStyle w:val="font14zd2"/>
          <w:rFonts w:ascii="宋体" w:hAnsi="宋体" w:hint="eastAsia"/>
        </w:rPr>
        <w:t>其中单价或金额栏的数字一般由承包人投标时填写，</w:t>
      </w:r>
      <w:r>
        <w:rPr>
          <w:rFonts w:ascii="宋体" w:hAnsi="宋体" w:hint="eastAsia"/>
          <w:color w:val="000000"/>
          <w:sz w:val="21"/>
          <w:szCs w:val="21"/>
        </w:rPr>
        <w:t>其他部分一般由业主或者招标人在编制工程量清单时确定。</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表</w:t>
      </w:r>
      <w:r>
        <w:rPr>
          <w:rFonts w:ascii="宋体" w:hAnsi="宋体" w:hint="eastAsia"/>
          <w:color w:val="000000"/>
          <w:sz w:val="21"/>
          <w:szCs w:val="21"/>
        </w:rPr>
        <w:t>9.1-1</w:t>
      </w:r>
      <w:r>
        <w:rPr>
          <w:rFonts w:ascii="宋体" w:hAnsi="宋体" w:hint="eastAsia"/>
          <w:color w:val="000000"/>
          <w:sz w:val="21"/>
          <w:szCs w:val="21"/>
        </w:rPr>
        <w:t>工程量清单格式</w:t>
      </w:r>
      <w:r>
        <w:rPr>
          <w:rFonts w:ascii="宋体" w:hAnsi="宋体" w:hint="eastAsia"/>
          <w:color w:val="000000"/>
          <w:sz w:val="21"/>
          <w:szCs w:val="21"/>
        </w:rPr>
        <w:t xml:space="preserve"> </w:t>
      </w:r>
    </w:p>
    <w:tbl>
      <w:tblPr>
        <w:tblW w:w="8810" w:type="dxa"/>
        <w:jc w:val="center"/>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tblPr>
      <w:tblGrid>
        <w:gridCol w:w="1347"/>
        <w:gridCol w:w="1710"/>
        <w:gridCol w:w="985"/>
        <w:gridCol w:w="1710"/>
        <w:gridCol w:w="985"/>
        <w:gridCol w:w="2073"/>
      </w:tblGrid>
      <w:tr w:rsidR="00F01A7D">
        <w:trPr>
          <w:trHeight w:val="300"/>
          <w:jc w:val="center"/>
        </w:trPr>
        <w:tc>
          <w:tcPr>
            <w:tcW w:w="134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子目号</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子目名称</w:t>
            </w:r>
          </w:p>
        </w:tc>
        <w:tc>
          <w:tcPr>
            <w:tcW w:w="985"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单位</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工程数量</w:t>
            </w:r>
          </w:p>
        </w:tc>
        <w:tc>
          <w:tcPr>
            <w:tcW w:w="985"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单价</w:t>
            </w:r>
          </w:p>
        </w:tc>
        <w:tc>
          <w:tcPr>
            <w:tcW w:w="2073"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合价或金额</w:t>
            </w:r>
          </w:p>
        </w:tc>
      </w:tr>
      <w:tr w:rsidR="00F01A7D">
        <w:trPr>
          <w:trHeight w:val="300"/>
          <w:jc w:val="center"/>
        </w:trPr>
        <w:tc>
          <w:tcPr>
            <w:tcW w:w="134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985"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985"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2073"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134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985"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985"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2073"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bl>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）计日工表</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计日工表由</w:t>
      </w:r>
      <w:r>
        <w:rPr>
          <w:rStyle w:val="font14zd2"/>
          <w:rFonts w:ascii="宋体" w:hAnsi="宋体" w:hint="eastAsia"/>
        </w:rPr>
        <w:t>计日工劳务、计日工材料、计日工施工机械、计日工汇总表等</w:t>
      </w:r>
      <w:r>
        <w:rPr>
          <w:rFonts w:ascii="宋体" w:hAnsi="宋体" w:hint="eastAsia"/>
          <w:color w:val="000000"/>
          <w:sz w:val="21"/>
          <w:szCs w:val="21"/>
        </w:rPr>
        <w:t>方面的内容组成。</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）暂估价表</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暂估价是发包人在工程量清单中给定的用于</w:t>
      </w:r>
      <w:r>
        <w:rPr>
          <w:rStyle w:val="font14zd2"/>
          <w:rFonts w:ascii="宋体" w:hAnsi="宋体" w:hint="eastAsia"/>
        </w:rPr>
        <w:t>支付必然发生但暂时不能确定价格的材料、设备以及专业工程的金额</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5</w:t>
      </w:r>
      <w:r>
        <w:rPr>
          <w:rFonts w:ascii="宋体" w:hAnsi="宋体" w:hint="eastAsia"/>
          <w:color w:val="000000"/>
          <w:sz w:val="21"/>
          <w:szCs w:val="21"/>
        </w:rPr>
        <w:t>）工程量清单汇总表</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工程量清单汇总表是将各章的工程子目表及计日工明细表进行汇总，再加上一定比例或数量（按招标文件规定）的暂列金额而得出该项目的总报价，该报价与投标书中填写的投标总价是一致的，其格式见表</w:t>
      </w:r>
      <w:r>
        <w:rPr>
          <w:rFonts w:ascii="宋体" w:hAnsi="宋体" w:hint="eastAsia"/>
          <w:color w:val="000000"/>
          <w:sz w:val="21"/>
          <w:szCs w:val="21"/>
        </w:rPr>
        <w:t>9.1-2</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暂列金额是指用于在签订协议书时</w:t>
      </w:r>
      <w:r>
        <w:rPr>
          <w:rStyle w:val="font14zd2"/>
          <w:rFonts w:ascii="宋体" w:hAnsi="宋体" w:hint="eastAsia"/>
        </w:rPr>
        <w:t>尚未确定或不可预见变更的施工及其所需材料、工程设备、服务等的金额</w:t>
      </w:r>
      <w:r>
        <w:rPr>
          <w:rFonts w:ascii="宋体" w:hAnsi="宋体" w:hint="eastAsia"/>
          <w:color w:val="000000"/>
          <w:sz w:val="21"/>
          <w:szCs w:val="21"/>
        </w:rPr>
        <w:t>，包括以计日工方式支付的金额。</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表</w:t>
      </w:r>
      <w:r>
        <w:rPr>
          <w:rStyle w:val="font14zd2"/>
          <w:rFonts w:ascii="宋体" w:hAnsi="宋体" w:hint="eastAsia"/>
        </w:rPr>
        <w:t>9.1-2</w:t>
      </w:r>
      <w:r>
        <w:rPr>
          <w:rStyle w:val="font14zd2"/>
          <w:rFonts w:ascii="宋体" w:hAnsi="宋体" w:hint="eastAsia"/>
        </w:rPr>
        <w:t>工程量清单汇总表</w:t>
      </w:r>
      <w:r>
        <w:rPr>
          <w:rFonts w:ascii="宋体" w:hAnsi="宋体" w:hint="eastAsia"/>
          <w:color w:val="000000"/>
          <w:sz w:val="21"/>
          <w:szCs w:val="21"/>
        </w:rPr>
        <w:t xml:space="preserve"> </w:t>
      </w:r>
    </w:p>
    <w:tbl>
      <w:tblPr>
        <w:tblW w:w="8810" w:type="dxa"/>
        <w:jc w:val="center"/>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tblPr>
      <w:tblGrid>
        <w:gridCol w:w="628"/>
        <w:gridCol w:w="627"/>
        <w:gridCol w:w="6928"/>
        <w:gridCol w:w="627"/>
      </w:tblGrid>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序号</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章次</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项目名称</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金额</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100</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总则</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2</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200</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路基</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3</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300</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路面</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4</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400</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桥梁、涵洞</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5</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500</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隧道</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6</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600</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安全设施及预埋管线</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7</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700</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绿化及环境保护设施</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8</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第</w:t>
            </w:r>
            <w:r>
              <w:rPr>
                <w:rFonts w:ascii="宋体" w:hAnsi="宋体" w:cs="宋体" w:hint="eastAsia"/>
                <w:color w:val="000000"/>
                <w:sz w:val="21"/>
                <w:szCs w:val="21"/>
              </w:rPr>
              <w:t>100</w:t>
            </w:r>
            <w:r>
              <w:rPr>
                <w:rFonts w:ascii="宋体" w:hAnsi="宋体" w:cs="宋体" w:hint="eastAsia"/>
                <w:color w:val="000000"/>
                <w:sz w:val="21"/>
                <w:szCs w:val="21"/>
              </w:rPr>
              <w:t>～</w:t>
            </w:r>
            <w:r>
              <w:rPr>
                <w:rFonts w:ascii="宋体" w:hAnsi="宋体" w:cs="宋体" w:hint="eastAsia"/>
                <w:color w:val="000000"/>
                <w:sz w:val="21"/>
                <w:szCs w:val="21"/>
              </w:rPr>
              <w:t>700</w:t>
            </w:r>
            <w:r>
              <w:rPr>
                <w:rFonts w:ascii="宋体" w:hAnsi="宋体" w:cs="宋体" w:hint="eastAsia"/>
                <w:color w:val="000000"/>
                <w:sz w:val="21"/>
                <w:szCs w:val="21"/>
              </w:rPr>
              <w:t>章清单合计</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9</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已包含在清单合计中的材料、工程设备、专业工程暂估价合计</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10</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清单合计减去材料、工程设备、专业工程暂估价合计（即</w:t>
            </w:r>
            <w:r>
              <w:rPr>
                <w:rFonts w:ascii="宋体" w:hAnsi="宋体" w:cs="宋体" w:hint="eastAsia"/>
                <w:color w:val="000000"/>
                <w:sz w:val="21"/>
                <w:szCs w:val="21"/>
              </w:rPr>
              <w:t>8-9=10</w:t>
            </w:r>
            <w:r>
              <w:rPr>
                <w:rFonts w:ascii="宋体" w:hAnsi="宋体" w:cs="宋体" w:hint="eastAsia"/>
                <w:color w:val="000000"/>
                <w:sz w:val="21"/>
                <w:szCs w:val="21"/>
              </w:rPr>
              <w:t>）</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11</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计日工合计</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12</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暂列金额（不含计日工总额）</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6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13</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9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投标报价（</w:t>
            </w:r>
            <w:r>
              <w:rPr>
                <w:rFonts w:ascii="宋体" w:hAnsi="宋体" w:cs="宋体" w:hint="eastAsia"/>
                <w:color w:val="000000"/>
                <w:sz w:val="21"/>
                <w:szCs w:val="21"/>
              </w:rPr>
              <w:t>8+11+12</w:t>
            </w:r>
            <w:r>
              <w:rPr>
                <w:rFonts w:ascii="宋体" w:hAnsi="宋体" w:cs="宋体" w:hint="eastAsia"/>
                <w:color w:val="000000"/>
                <w:sz w:val="21"/>
                <w:szCs w:val="21"/>
              </w:rPr>
              <w:t>）</w:t>
            </w:r>
            <w:r>
              <w:rPr>
                <w:rFonts w:ascii="宋体" w:hAnsi="宋体" w:cs="宋体" w:hint="eastAsia"/>
                <w:color w:val="000000"/>
                <w:sz w:val="21"/>
                <w:szCs w:val="21"/>
              </w:rPr>
              <w:t>=13</w:t>
            </w:r>
          </w:p>
        </w:tc>
        <w:tc>
          <w:tcPr>
            <w:tcW w:w="62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bl>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注：</w:t>
      </w:r>
      <w:r>
        <w:rPr>
          <w:rFonts w:ascii="宋体" w:hAnsi="宋体" w:hint="eastAsia"/>
          <w:color w:val="000000"/>
          <w:sz w:val="21"/>
          <w:szCs w:val="21"/>
        </w:rPr>
        <w:t>1.</w:t>
      </w:r>
      <w:r>
        <w:rPr>
          <w:rFonts w:ascii="宋体" w:hAnsi="宋体" w:hint="eastAsia"/>
          <w:color w:val="000000"/>
          <w:sz w:val="21"/>
          <w:szCs w:val="21"/>
        </w:rPr>
        <w:t>材料、工程设备、专业工程暂估价已包括在清单合计中，不应重复计入投标报价。</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暂列金额的设置不宜超过工程量清单第</w:t>
      </w:r>
      <w:r>
        <w:rPr>
          <w:rFonts w:ascii="宋体" w:hAnsi="宋体" w:hint="eastAsia"/>
          <w:color w:val="000000"/>
          <w:sz w:val="21"/>
          <w:szCs w:val="21"/>
        </w:rPr>
        <w:t>100</w:t>
      </w:r>
      <w:r>
        <w:rPr>
          <w:rFonts w:ascii="宋体" w:hAnsi="宋体" w:hint="eastAsia"/>
          <w:color w:val="000000"/>
          <w:sz w:val="21"/>
          <w:szCs w:val="21"/>
        </w:rPr>
        <w:t>～</w:t>
      </w:r>
      <w:r>
        <w:rPr>
          <w:rFonts w:ascii="宋体" w:hAnsi="宋体" w:hint="eastAsia"/>
          <w:color w:val="000000"/>
          <w:sz w:val="21"/>
          <w:szCs w:val="21"/>
        </w:rPr>
        <w:t>700</w:t>
      </w:r>
      <w:r>
        <w:rPr>
          <w:rFonts w:ascii="宋体" w:hAnsi="宋体" w:hint="eastAsia"/>
          <w:color w:val="000000"/>
          <w:sz w:val="21"/>
          <w:szCs w:val="21"/>
        </w:rPr>
        <w:t>章合计金额的</w:t>
      </w:r>
      <w:r>
        <w:rPr>
          <w:rFonts w:ascii="宋体" w:hAnsi="宋体" w:hint="eastAsia"/>
          <w:color w:val="000000"/>
          <w:sz w:val="21"/>
          <w:szCs w:val="21"/>
        </w:rPr>
        <w:t xml:space="preserve">3%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编制工程量清单注意事项</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1</w:t>
      </w:r>
      <w:r>
        <w:rPr>
          <w:rFonts w:ascii="宋体" w:hAnsi="宋体" w:hint="eastAsia"/>
          <w:color w:val="000000"/>
          <w:sz w:val="21"/>
          <w:szCs w:val="21"/>
        </w:rPr>
        <w:t>）将开办项目作为独立的工程子目单列出来</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）合理划分工程子目</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）工程子目的划分要大小合适</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）计日工清单或专项暂定金额不可缺少</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5</w:t>
      </w:r>
      <w:r>
        <w:rPr>
          <w:rFonts w:ascii="宋体" w:hAnsi="宋体" w:hint="eastAsia"/>
          <w:color w:val="000000"/>
          <w:sz w:val="21"/>
          <w:szCs w:val="21"/>
        </w:rPr>
        <w:t>）应与工程量清单计量规则一致</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9.1.3</w:t>
      </w:r>
      <w:r>
        <w:rPr>
          <w:rFonts w:ascii="宋体" w:hAnsi="宋体" w:hint="eastAsia"/>
          <w:color w:val="000000"/>
          <w:sz w:val="21"/>
          <w:szCs w:val="21"/>
        </w:rPr>
        <w:t>投标报价编制</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投标报价编制原则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投标报价编制依据</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投标报价中的清单复核</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1</w:t>
      </w:r>
      <w:r>
        <w:rPr>
          <w:rStyle w:val="font14zd2"/>
          <w:rFonts w:ascii="宋体" w:hAnsi="宋体" w:hint="eastAsia"/>
        </w:rPr>
        <w:t>）清单项目完整性复核</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2</w:t>
      </w:r>
      <w:r>
        <w:rPr>
          <w:rStyle w:val="font14zd2"/>
          <w:rFonts w:ascii="宋体" w:hAnsi="宋体" w:hint="eastAsia"/>
        </w:rPr>
        <w:t>）清单项目一致性复核</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3</w:t>
      </w:r>
      <w:r>
        <w:rPr>
          <w:rStyle w:val="font14zd2"/>
          <w:rFonts w:ascii="宋体" w:hAnsi="宋体" w:hint="eastAsia"/>
        </w:rPr>
        <w:t>）清单工程量准确性复核</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投标报价的计算方式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）投标报价的组成</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投标报价的组成主要有</w:t>
      </w:r>
      <w:r>
        <w:rPr>
          <w:rStyle w:val="font14zd2"/>
          <w:rFonts w:ascii="宋体" w:hAnsi="宋体" w:hint="eastAsia"/>
        </w:rPr>
        <w:t>直接费、措施费、企业管理费、利润、规费、税金和风险费</w:t>
      </w:r>
      <w:r>
        <w:rPr>
          <w:rFonts w:ascii="宋体" w:hAnsi="宋体" w:hint="eastAsia"/>
          <w:color w:val="000000"/>
          <w:sz w:val="21"/>
          <w:szCs w:val="21"/>
        </w:rPr>
        <w:t>等。</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）标价的计算</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投标报价计算有</w:t>
      </w:r>
      <w:r>
        <w:rPr>
          <w:rStyle w:val="font14zd2"/>
          <w:rFonts w:ascii="宋体" w:hAnsi="宋体" w:hint="eastAsia"/>
        </w:rPr>
        <w:t>工料单价计算法和综合单价计算法</w:t>
      </w:r>
      <w:r>
        <w:rPr>
          <w:rFonts w:ascii="宋体" w:hAnsi="宋体" w:hint="eastAsia"/>
          <w:color w:val="000000"/>
          <w:sz w:val="21"/>
          <w:szCs w:val="21"/>
        </w:rPr>
        <w:t>两种。</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）标价分析</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初步计算出标价后，应对标价进行多方面的分析和评估。其目的是探讨标价的经济合理性，从而作出最终报价决策。</w:t>
      </w:r>
      <w:r>
        <w:rPr>
          <w:rStyle w:val="font14zd2"/>
          <w:rFonts w:ascii="宋体" w:hAnsi="宋体" w:hint="eastAsia"/>
        </w:rPr>
        <w:t>标价分析包括单价分析与总价分析。</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Fonts w:ascii="楷体" w:eastAsia="楷体" w:hAnsi="楷体" w:hint="eastAsia"/>
          <w:b/>
          <w:bCs/>
          <w:color w:val="FD7400"/>
          <w:sz w:val="23"/>
          <w:szCs w:val="23"/>
        </w:rPr>
        <w:br/>
      </w:r>
      <w:r>
        <w:rPr>
          <w:rStyle w:val="barfont1"/>
          <w:rFonts w:hint="default"/>
        </w:rPr>
        <w:t>第</w:t>
      </w:r>
      <w:r>
        <w:rPr>
          <w:rStyle w:val="barfont1"/>
          <w:rFonts w:hint="default"/>
        </w:rPr>
        <w:t>02</w:t>
      </w:r>
      <w:r>
        <w:rPr>
          <w:rStyle w:val="barfont1"/>
          <w:rFonts w:hint="default"/>
        </w:rPr>
        <w:t>讲</w:t>
      </w:r>
      <w:r>
        <w:rPr>
          <w:rStyle w:val="barfont1"/>
          <w:rFonts w:hint="default"/>
        </w:rPr>
        <w:t xml:space="preserve"> </w:t>
      </w:r>
      <w:r>
        <w:rPr>
          <w:rStyle w:val="barfont1"/>
          <w:rFonts w:hint="default"/>
        </w:rPr>
        <w:t>工程合同管理（一）</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9.2 </w:t>
      </w:r>
      <w:r>
        <w:rPr>
          <w:rFonts w:ascii="宋体" w:hAnsi="宋体" w:hint="eastAsia"/>
          <w:color w:val="000000"/>
          <w:sz w:val="21"/>
          <w:szCs w:val="21"/>
        </w:rPr>
        <w:t>工程合同管理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9.2.1 </w:t>
      </w:r>
      <w:r>
        <w:rPr>
          <w:rFonts w:ascii="宋体" w:hAnsi="宋体" w:hint="eastAsia"/>
          <w:color w:val="000000"/>
          <w:sz w:val="21"/>
          <w:szCs w:val="21"/>
        </w:rPr>
        <w:t>公路工程合同体系结构</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公路工程的合同体系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通过合同形成了不同的经济关系，从而形成了复杂的合同体系（图</w:t>
      </w:r>
      <w:r>
        <w:rPr>
          <w:rFonts w:ascii="宋体" w:hAnsi="宋体" w:hint="eastAsia"/>
          <w:color w:val="000000"/>
          <w:sz w:val="21"/>
          <w:szCs w:val="21"/>
        </w:rPr>
        <w:t>9.2-1</w:t>
      </w:r>
      <w:r>
        <w:rPr>
          <w:rFonts w:ascii="宋体" w:hAnsi="宋体" w:hint="eastAsia"/>
          <w:color w:val="000000"/>
          <w:sz w:val="21"/>
          <w:szCs w:val="21"/>
        </w:rPr>
        <w:t>）。其中，</w:t>
      </w:r>
      <w:r>
        <w:rPr>
          <w:rStyle w:val="font14zd2"/>
          <w:rFonts w:ascii="宋体" w:hAnsi="宋体" w:hint="eastAsia"/>
        </w:rPr>
        <w:t>业主和承包人依法签订的施工合同是“核心合同”，业主又处于合同体系中的“核心位置”。</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857750" cy="2847975"/>
            <wp:effectExtent l="19050" t="0" r="0" b="0"/>
            <wp:docPr id="14" name="图片_x002059d8a3f4-5034-4089-a680-4deeec88b50d" descr="89a04169-fbe8-4a7b-a672-2f6bf67e9c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_x002059d8a3f4-5034-4089-a680-4deeec88b50d" descr="89a04169-fbe8-4a7b-a672-2f6bf67e9c63"/>
                    <pic:cNvPicPr>
                      <a:picLocks noChangeAspect="1" noChangeArrowheads="1"/>
                    </pic:cNvPicPr>
                  </pic:nvPicPr>
                  <pic:blipFill>
                    <a:blip r:embed="rId7" cstate="print"/>
                    <a:srcRect/>
                    <a:stretch>
                      <a:fillRect/>
                    </a:stretch>
                  </pic:blipFill>
                  <pic:spPr>
                    <a:xfrm>
                      <a:off x="0" y="0"/>
                      <a:ext cx="4857750" cy="2847975"/>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Style w:val="font14zd2"/>
          <w:rFonts w:ascii="宋体" w:hAnsi="宋体" w:hint="eastAsia"/>
        </w:rPr>
        <w:t>图</w:t>
      </w:r>
      <w:r>
        <w:rPr>
          <w:rStyle w:val="font14zd2"/>
          <w:rFonts w:ascii="宋体" w:hAnsi="宋体" w:hint="eastAsia"/>
        </w:rPr>
        <w:t>9.2-1</w:t>
      </w:r>
      <w:r>
        <w:rPr>
          <w:rStyle w:val="font14zd2"/>
          <w:rFonts w:ascii="宋体" w:hAnsi="宋体" w:hint="eastAsia"/>
        </w:rPr>
        <w:t xml:space="preserve">　公路工程合同体系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承包商的主要合同关系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承包商是工程施工的具体实施者，是工程承包合同的履行者。承包商通过投标接受业主的委托，签订工程承包合同。承包商要完成承包合同中约定的责任，包括工程量清单中所确定工程范围的施工、竣工后缺陷责任及保修，并为完成这些工程提供劳动力、施工设备、材料，有时也包括技术设计。除了与业主签订的承包合同之外，还形成了承包商复杂的合同关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9.2.2 </w:t>
      </w:r>
      <w:r>
        <w:rPr>
          <w:rFonts w:ascii="宋体" w:hAnsi="宋体" w:hint="eastAsia"/>
          <w:color w:val="000000"/>
          <w:sz w:val="21"/>
          <w:szCs w:val="21"/>
        </w:rPr>
        <w:t>公路工程施工合同履行与管理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合同文件的优先顺序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除项目专用合同条款另有约定外，解释合同文件的优先顺序如下：</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w:t>
      </w:r>
      <w:r>
        <w:rPr>
          <w:rStyle w:val="font14zd2"/>
          <w:rFonts w:ascii="宋体" w:hAnsi="宋体" w:hint="eastAsia"/>
        </w:rPr>
        <w:t>1</w:t>
      </w:r>
      <w:r>
        <w:rPr>
          <w:rStyle w:val="font14zd2"/>
          <w:rFonts w:ascii="宋体" w:hAnsi="宋体" w:hint="eastAsia"/>
        </w:rPr>
        <w:t>）合同协议书及各种合同附件（含评标期间和合同谈判过程中的澄清文件和补充资料）。（</w:t>
      </w:r>
      <w:r>
        <w:rPr>
          <w:rStyle w:val="font14zd2"/>
          <w:rFonts w:ascii="宋体" w:hAnsi="宋体" w:hint="eastAsia"/>
        </w:rPr>
        <w:t>2</w:t>
      </w:r>
      <w:r>
        <w:rPr>
          <w:rStyle w:val="font14zd2"/>
          <w:rFonts w:ascii="宋体" w:hAnsi="宋体" w:hint="eastAsia"/>
        </w:rPr>
        <w:t>）中标通知书。（</w:t>
      </w:r>
      <w:r>
        <w:rPr>
          <w:rStyle w:val="font14zd2"/>
          <w:rFonts w:ascii="宋体" w:hAnsi="宋体" w:hint="eastAsia"/>
        </w:rPr>
        <w:t>3</w:t>
      </w:r>
      <w:r>
        <w:rPr>
          <w:rStyle w:val="font14zd2"/>
          <w:rFonts w:ascii="宋体" w:hAnsi="宋体" w:hint="eastAsia"/>
        </w:rPr>
        <w:t>）投标函及投标函附录。</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）项目专用合同条款。（</w:t>
      </w:r>
      <w:r>
        <w:rPr>
          <w:rFonts w:ascii="宋体" w:hAnsi="宋体" w:hint="eastAsia"/>
          <w:color w:val="000000"/>
          <w:sz w:val="21"/>
          <w:szCs w:val="21"/>
        </w:rPr>
        <w:t>5</w:t>
      </w:r>
      <w:r>
        <w:rPr>
          <w:rFonts w:ascii="宋体" w:hAnsi="宋体" w:hint="eastAsia"/>
          <w:color w:val="000000"/>
          <w:sz w:val="21"/>
          <w:szCs w:val="21"/>
        </w:rPr>
        <w:t>）公路工程专用合同条款。（</w:t>
      </w:r>
      <w:r>
        <w:rPr>
          <w:rFonts w:ascii="宋体" w:hAnsi="宋体" w:hint="eastAsia"/>
          <w:color w:val="000000"/>
          <w:sz w:val="21"/>
          <w:szCs w:val="21"/>
        </w:rPr>
        <w:t>6</w:t>
      </w:r>
      <w:r>
        <w:rPr>
          <w:rFonts w:ascii="宋体" w:hAnsi="宋体" w:hint="eastAsia"/>
          <w:color w:val="000000"/>
          <w:sz w:val="21"/>
          <w:szCs w:val="21"/>
        </w:rPr>
        <w:t>）通用合同条款。（</w:t>
      </w:r>
      <w:r>
        <w:rPr>
          <w:rFonts w:ascii="宋体" w:hAnsi="宋体" w:hint="eastAsia"/>
          <w:color w:val="000000"/>
          <w:sz w:val="21"/>
          <w:szCs w:val="21"/>
        </w:rPr>
        <w:t>7</w:t>
      </w:r>
      <w:r>
        <w:rPr>
          <w:rFonts w:ascii="宋体" w:hAnsi="宋体" w:hint="eastAsia"/>
          <w:color w:val="000000"/>
          <w:sz w:val="21"/>
          <w:szCs w:val="21"/>
        </w:rPr>
        <w:t>）工程量清单计量规则。（</w:t>
      </w:r>
      <w:r>
        <w:rPr>
          <w:rFonts w:ascii="宋体" w:hAnsi="宋体" w:hint="eastAsia"/>
          <w:color w:val="000000"/>
          <w:sz w:val="21"/>
          <w:szCs w:val="21"/>
        </w:rPr>
        <w:t>8</w:t>
      </w:r>
      <w:r>
        <w:rPr>
          <w:rFonts w:ascii="宋体" w:hAnsi="宋体" w:hint="eastAsia"/>
          <w:color w:val="000000"/>
          <w:sz w:val="21"/>
          <w:szCs w:val="21"/>
        </w:rPr>
        <w:t>）技术规范。（</w:t>
      </w:r>
      <w:r>
        <w:rPr>
          <w:rFonts w:ascii="宋体" w:hAnsi="宋体" w:hint="eastAsia"/>
          <w:color w:val="000000"/>
          <w:sz w:val="21"/>
          <w:szCs w:val="21"/>
        </w:rPr>
        <w:t>9</w:t>
      </w:r>
      <w:r>
        <w:rPr>
          <w:rFonts w:ascii="宋体" w:hAnsi="宋体" w:hint="eastAsia"/>
          <w:color w:val="000000"/>
          <w:sz w:val="21"/>
          <w:szCs w:val="21"/>
        </w:rPr>
        <w:t>）图纸。（</w:t>
      </w:r>
      <w:r>
        <w:rPr>
          <w:rFonts w:ascii="宋体" w:hAnsi="宋体" w:hint="eastAsia"/>
          <w:color w:val="000000"/>
          <w:sz w:val="21"/>
          <w:szCs w:val="21"/>
        </w:rPr>
        <w:t>10</w:t>
      </w:r>
      <w:r>
        <w:rPr>
          <w:rFonts w:ascii="宋体" w:hAnsi="宋体" w:hint="eastAsia"/>
          <w:color w:val="000000"/>
          <w:sz w:val="21"/>
          <w:szCs w:val="21"/>
        </w:rPr>
        <w:t>）已标价工程量清单。等等</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公路工程施工合同的履行</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）承包人人员履约的管理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）承包人应在接到</w:t>
      </w:r>
      <w:r>
        <w:rPr>
          <w:rStyle w:val="font14zd2"/>
          <w:rFonts w:ascii="宋体" w:hAnsi="宋体" w:hint="eastAsia"/>
        </w:rPr>
        <w:t>开工通知后</w:t>
      </w:r>
      <w:r>
        <w:rPr>
          <w:rStyle w:val="font14zd2"/>
          <w:rFonts w:ascii="宋体" w:hAnsi="宋体" w:hint="eastAsia"/>
        </w:rPr>
        <w:t>28d</w:t>
      </w:r>
      <w:r>
        <w:rPr>
          <w:rStyle w:val="font14zd2"/>
          <w:rFonts w:ascii="宋体" w:hAnsi="宋体" w:hint="eastAsia"/>
        </w:rPr>
        <w:t>内</w:t>
      </w:r>
      <w:r>
        <w:rPr>
          <w:rFonts w:ascii="宋体" w:hAnsi="宋体" w:hint="eastAsia"/>
          <w:color w:val="000000"/>
          <w:sz w:val="21"/>
          <w:szCs w:val="21"/>
        </w:rPr>
        <w:t>，向监理工程师提交施工场地的管理机构以及人员安排的报</w:t>
      </w:r>
      <w:r>
        <w:rPr>
          <w:rFonts w:ascii="宋体" w:hAnsi="宋体" w:hint="eastAsia"/>
          <w:color w:val="000000"/>
          <w:sz w:val="21"/>
          <w:szCs w:val="21"/>
        </w:rPr>
        <w:t>告，内容应包括管理机构的设置、各主要岗位的技术和管理人员名单及其资格、各工种技术工人的安排状况。</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）承包人安排在施工场地的主要管理人员和技术骨干应与承包人承诺的名单一致，并保持相对稳定。未经监理工程师批准，上述人员不应无故不到位或被替换。</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6</w:t>
      </w:r>
      <w:r>
        <w:rPr>
          <w:rFonts w:ascii="宋体" w:hAnsi="宋体" w:hint="eastAsia"/>
          <w:color w:val="000000"/>
          <w:sz w:val="21"/>
          <w:szCs w:val="21"/>
        </w:rPr>
        <w:t>）撤换承包人项目经理和其他人员。</w:t>
      </w:r>
      <w:r>
        <w:rPr>
          <w:rStyle w:val="font14zd2"/>
          <w:rFonts w:ascii="宋体" w:hAnsi="宋体" w:hint="eastAsia"/>
        </w:rPr>
        <w:t>承包人应对其项目经理和其他人员进行有效管理。</w:t>
      </w:r>
      <w:r>
        <w:rPr>
          <w:rFonts w:ascii="宋体" w:hAnsi="宋体" w:hint="eastAsia"/>
          <w:color w:val="000000"/>
          <w:sz w:val="21"/>
          <w:szCs w:val="21"/>
        </w:rPr>
        <w:t>监理工程师要求撤换不能胜任本职工作、行为不端或玩忽职守的承包人项目经理和其他人员的，承包人应予以撤换，同时委派经发包人与监理工程师同意的新的项目经理和其他人员。</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9.2.</w:t>
      </w:r>
      <w:r>
        <w:rPr>
          <w:rFonts w:ascii="宋体" w:hAnsi="宋体" w:hint="eastAsia"/>
          <w:color w:val="000000"/>
          <w:sz w:val="21"/>
          <w:szCs w:val="21"/>
        </w:rPr>
        <w:t xml:space="preserve">3 </w:t>
      </w:r>
      <w:r>
        <w:rPr>
          <w:rFonts w:ascii="宋体" w:hAnsi="宋体" w:hint="eastAsia"/>
          <w:color w:val="000000"/>
          <w:sz w:val="21"/>
          <w:szCs w:val="21"/>
        </w:rPr>
        <w:t>公路工程分包合同管理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分包工程的管理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）严格履行开工申请手续</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2</w:t>
      </w:r>
      <w:r>
        <w:rPr>
          <w:rFonts w:ascii="宋体" w:hAnsi="宋体" w:hint="eastAsia"/>
          <w:color w:val="000000"/>
          <w:sz w:val="21"/>
          <w:szCs w:val="21"/>
        </w:rPr>
        <w:t>）将分包工程列入工地会议议程</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）检查核实分包人实施分包工程的主要人员与施工设备</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）对分包工程实施现场监督检查</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分包合同管理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）分包合同的管理关系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发包人与分包人没有合同关系，</w:t>
      </w:r>
      <w:r>
        <w:rPr>
          <w:rStyle w:val="font14zd2"/>
          <w:rFonts w:ascii="宋体" w:hAnsi="宋体" w:hint="eastAsia"/>
        </w:rPr>
        <w:t>但发包人作为工程项目的投资方和施工合同的当事人，对</w:t>
      </w:r>
      <w:r>
        <w:rPr>
          <w:rFonts w:ascii="宋体" w:hAnsi="宋体" w:hint="eastAsia"/>
          <w:color w:val="000000"/>
          <w:sz w:val="21"/>
          <w:szCs w:val="21"/>
        </w:rPr>
        <w:t>分包合同的管理主要表现为对分包工程的批准。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监理工程师只与承包人有监理与被监理的关系，</w:t>
      </w:r>
      <w:r>
        <w:rPr>
          <w:rFonts w:ascii="宋体" w:hAnsi="宋体" w:hint="eastAsia"/>
          <w:color w:val="000000"/>
          <w:sz w:val="21"/>
          <w:szCs w:val="21"/>
        </w:rPr>
        <w:t>对分包人在现场施工不承担协调管理义务。</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承包人作为两个合同的当事人，不仅对发包人承担确保整个合同工程按预期目标实现的义务，而且对分包工程的实施具有全面管理责任。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）分包工程的支付管理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分包人不能直接向监理工程师提出支付要求，必须通过承包人。</w:t>
      </w:r>
      <w:r>
        <w:rPr>
          <w:rStyle w:val="font14zd2"/>
          <w:rFonts w:ascii="宋体" w:hAnsi="宋体" w:hint="eastAsia"/>
        </w:rPr>
        <w:t>发包人也不能直接向分包人付款，也必须通过承包人</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）分包工程的变更管理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监理工程师</w:t>
      </w:r>
      <w:r>
        <w:rPr>
          <w:rStyle w:val="font14zd2"/>
          <w:rFonts w:ascii="宋体" w:hAnsi="宋体" w:hint="eastAsia"/>
        </w:rPr>
        <w:t>一般不能直接向分包人下达变更指令</w:t>
      </w:r>
      <w:r>
        <w:rPr>
          <w:rFonts w:ascii="宋体" w:hAnsi="宋体" w:hint="eastAsia"/>
          <w:color w:val="000000"/>
          <w:sz w:val="21"/>
          <w:szCs w:val="21"/>
        </w:rPr>
        <w:t>，必须通过承包人。分包人不能直接向监理工程师提出分包工程的变更要求，也必须由承包人提出。</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）分包工程的索赔管理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分包合同履行过程中，当分包人认为自己的合法权</w:t>
      </w:r>
      <w:r>
        <w:rPr>
          <w:rFonts w:ascii="宋体" w:hAnsi="宋体" w:hint="eastAsia"/>
          <w:color w:val="000000"/>
          <w:sz w:val="21"/>
          <w:szCs w:val="21"/>
        </w:rPr>
        <w:t>益受到损害，无论事件起因于发包人或监理，还是承包人的责任，他都只能向承包人提出索赔要求。</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对于由承包人原因或责任引起分包人提出索赔，这类索赔产生于承包人与分包人之间，双方通过协商解决。</w:t>
      </w:r>
      <w:r>
        <w:rPr>
          <w:rStyle w:val="font14zd2"/>
          <w:rFonts w:ascii="宋体" w:hAnsi="宋体" w:hint="eastAsia"/>
        </w:rPr>
        <w:t>监理工程师不参与该索赔的处理。</w:t>
      </w:r>
      <w:r>
        <w:rPr>
          <w:rStyle w:val="font14zd2"/>
          <w:rFonts w:ascii="宋体" w:hAnsi="宋体" w:hint="eastAsia"/>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9.2.4 </w:t>
      </w:r>
      <w:r>
        <w:rPr>
          <w:rFonts w:ascii="宋体" w:hAnsi="宋体" w:hint="eastAsia"/>
          <w:color w:val="000000"/>
          <w:sz w:val="21"/>
          <w:szCs w:val="21"/>
        </w:rPr>
        <w:t>公路工程施工阶段工程变更管理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工程变更的概念及产生原因</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工程变更的基本类型</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变更程序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）变更的提出</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）在合同履行过程中，可能发生合同约定变更情形的，</w:t>
      </w:r>
      <w:r>
        <w:rPr>
          <w:rStyle w:val="font14zd2"/>
          <w:rFonts w:ascii="宋体" w:hAnsi="宋体" w:hint="eastAsia"/>
        </w:rPr>
        <w:t>监理工程师可向承包人发出变更意向书。</w:t>
      </w:r>
      <w:r>
        <w:rPr>
          <w:rFonts w:ascii="宋体" w:hAnsi="宋体" w:hint="eastAsia"/>
          <w:color w:val="000000"/>
          <w:sz w:val="21"/>
          <w:szCs w:val="21"/>
        </w:rPr>
        <w:t>变更意向书应要求承包人提交包括拟实施变更工作的计划、措施和竣工时间等内容的实施方案。</w:t>
      </w:r>
      <w:r>
        <w:rPr>
          <w:rStyle w:val="font14zd2"/>
          <w:rFonts w:ascii="宋体" w:hAnsi="宋体" w:hint="eastAsia"/>
        </w:rPr>
        <w:t>发包人同意承包人根据变更意向书要求提交变更实施方案的，由监理工程师按合同约定发出变更指示</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）在合同履行过程中，</w:t>
      </w:r>
      <w:r>
        <w:rPr>
          <w:rStyle w:val="font14zd2"/>
          <w:rFonts w:ascii="宋体" w:hAnsi="宋体" w:hint="eastAsia"/>
        </w:rPr>
        <w:t>发生合同约定变更情形的，</w:t>
      </w:r>
      <w:r>
        <w:rPr>
          <w:rFonts w:ascii="宋体" w:hAnsi="宋体" w:hint="eastAsia"/>
          <w:color w:val="000000"/>
          <w:sz w:val="21"/>
          <w:szCs w:val="21"/>
        </w:rPr>
        <w:t>监理工程师应按照合同约定向承包人发出变更指示。</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）承包人收到监理工程师按合同约定发出的图纸和文件，经检查</w:t>
      </w:r>
      <w:r>
        <w:rPr>
          <w:rStyle w:val="font14zd2"/>
          <w:rFonts w:ascii="宋体" w:hAnsi="宋体" w:hint="eastAsia"/>
        </w:rPr>
        <w:t>认为其中存在合同约定变更情形的</w:t>
      </w:r>
      <w:r>
        <w:rPr>
          <w:rFonts w:ascii="宋体" w:hAnsi="宋体" w:hint="eastAsia"/>
          <w:color w:val="000000"/>
          <w:sz w:val="21"/>
          <w:szCs w:val="21"/>
        </w:rPr>
        <w:t>，</w:t>
      </w:r>
      <w:r>
        <w:rPr>
          <w:rStyle w:val="font14zd2"/>
          <w:rFonts w:ascii="宋体" w:hAnsi="宋体" w:hint="eastAsia"/>
        </w:rPr>
        <w:t>可向监理工程师提出书面变更建议</w:t>
      </w:r>
      <w:r>
        <w:rPr>
          <w:rFonts w:ascii="宋体" w:hAnsi="宋体" w:hint="eastAsia"/>
          <w:color w:val="000000"/>
          <w:sz w:val="21"/>
          <w:szCs w:val="21"/>
        </w:rPr>
        <w:t>。变更建议应阐明要求变更的依据，并附必要的图纸和说明。监理工程师在收到承包人书面建议后，应与发包人共同研究</w:t>
      </w:r>
      <w:r>
        <w:rPr>
          <w:rFonts w:ascii="宋体" w:hAnsi="宋体" w:hint="eastAsia"/>
          <w:color w:val="000000"/>
          <w:sz w:val="21"/>
          <w:szCs w:val="21"/>
        </w:rPr>
        <w:t>，确认存在变更的，</w:t>
      </w:r>
      <w:r>
        <w:rPr>
          <w:rStyle w:val="font14zd2"/>
          <w:rFonts w:ascii="宋体" w:hAnsi="宋体" w:hint="eastAsia"/>
        </w:rPr>
        <w:t>应在收到承包人书面建议后的</w:t>
      </w:r>
      <w:r>
        <w:rPr>
          <w:rStyle w:val="font14zd2"/>
          <w:rFonts w:ascii="宋体" w:hAnsi="宋体" w:hint="eastAsia"/>
        </w:rPr>
        <w:t>14d</w:t>
      </w:r>
      <w:r>
        <w:rPr>
          <w:rStyle w:val="font14zd2"/>
          <w:rFonts w:ascii="宋体" w:hAnsi="宋体" w:hint="eastAsia"/>
        </w:rPr>
        <w:t>内作出变更指示。</w:t>
      </w:r>
      <w:r>
        <w:rPr>
          <w:rFonts w:ascii="宋体" w:hAnsi="宋体" w:hint="eastAsia"/>
          <w:color w:val="000000"/>
          <w:sz w:val="21"/>
          <w:szCs w:val="21"/>
        </w:rPr>
        <w:t>经研究后不同意作为变更的，应由监理工程师书面答复承包人。</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）若承包人收到监理工程师的变更意向书后认为难以实施此项变更，应立即通知监理工程师，对其说明原因并附详细依据。监理工程师与承包人和发包人协商后</w:t>
      </w:r>
      <w:r>
        <w:rPr>
          <w:rStyle w:val="font14zd2"/>
          <w:rFonts w:ascii="宋体" w:hAnsi="宋体" w:hint="eastAsia"/>
        </w:rPr>
        <w:t>确定撤销、改变或不改变原变更意向书。</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）工程变更的审批程序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工程变更通常实行分级审批的管理制度。</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）一般工程变更的审批程序。所谓一般工程变更，通常指一些小型的监理工程师有权直接批准的工程变更工作。其审批程序大致如下：</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①工程变更的提出人向驻地监理工程师提出工程变更的申请，包括变更的原因、工程变更对造价的影响等分析，必要时附上有关的变更设计资料。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②驻地监理工程师对变更申请的可行性进行评估，并写出初步的审查意见。</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③总监理工程师对驻地监理工程师审查的变更申请进行进一步的审定，并签署审批意见。</w:t>
      </w:r>
      <w:r>
        <w:rPr>
          <w:rStyle w:val="font14zd2"/>
          <w:rFonts w:ascii="宋体" w:hAnsi="宋体" w:hint="eastAsia"/>
        </w:rPr>
        <w:t>总监理工程师签署工程变更令</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④承包单位组织变更工程的施工（包括可能的设计工作）。</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spancdelblanksign"/>
          <w:rFonts w:ascii="宋体" w:hAnsi="宋体" w:hint="eastAsia"/>
          <w:color w:val="000000"/>
          <w:sz w:val="21"/>
          <w:szCs w:val="21"/>
        </w:rPr>
        <w:t xml:space="preserve">　</w:t>
      </w:r>
      <w:r>
        <w:rPr>
          <w:rFonts w:ascii="宋体" w:hAnsi="宋体" w:hint="eastAsia"/>
          <w:color w:val="000000"/>
          <w:sz w:val="21"/>
          <w:szCs w:val="21"/>
        </w:rPr>
        <w:t>⑤监理工程师和承包人协商</w:t>
      </w:r>
      <w:r>
        <w:rPr>
          <w:rStyle w:val="font14zd2"/>
          <w:rFonts w:ascii="宋体" w:hAnsi="宋体" w:hint="eastAsia"/>
        </w:rPr>
        <w:t>确定变更工程的造价及办理有关的结算工作。</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）重要工程变更的审批程序。重要工程变更通常指对工程造价影响较大、需要业主批准的工程变更工作。其审批程序是：监理工程师下达工程变更令前，</w:t>
      </w:r>
      <w:r>
        <w:rPr>
          <w:rStyle w:val="font14zd2"/>
          <w:rFonts w:ascii="宋体" w:hAnsi="宋体" w:hint="eastAsia"/>
        </w:rPr>
        <w:t>一是要报业主批准，二是要同承包人协商确定变更工程的价格不超过业主批准的范围</w:t>
      </w:r>
      <w:r>
        <w:rPr>
          <w:rFonts w:ascii="宋体" w:hAnsi="宋体" w:hint="eastAsia"/>
          <w:color w:val="000000"/>
          <w:sz w:val="21"/>
          <w:szCs w:val="21"/>
        </w:rPr>
        <w:t>。如果超过业主批准的总额，监理工程师应在下达工程变更令前请求业主作进一步的批准或授权。</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）重大工程变更的审批程序。重大工程变更通常指一些对工程造价的影响很大、可能超出设计概算（甚至投资估算）的工程变更。对这些工程变更</w:t>
      </w:r>
      <w:r>
        <w:rPr>
          <w:rFonts w:ascii="宋体" w:hAnsi="宋体" w:hint="eastAsia"/>
          <w:color w:val="000000"/>
          <w:sz w:val="21"/>
          <w:szCs w:val="21"/>
        </w:rPr>
        <w:t>工作，</w:t>
      </w:r>
      <w:r>
        <w:rPr>
          <w:rStyle w:val="font14zd2"/>
          <w:rFonts w:ascii="宋体" w:hAnsi="宋体" w:hint="eastAsia"/>
        </w:rPr>
        <w:t>业主在审批工程变更前应事先取得国家计划主管部门的批准。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变更工程的造价管理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）变更估价</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）除专用合同条款对期限另有约定外，</w:t>
      </w:r>
      <w:r>
        <w:rPr>
          <w:rStyle w:val="font14zd2"/>
          <w:rFonts w:ascii="宋体" w:hAnsi="宋体" w:hint="eastAsia"/>
        </w:rPr>
        <w:t>承包人应在收到变更指示或变更意向书后的</w:t>
      </w:r>
      <w:r>
        <w:rPr>
          <w:rStyle w:val="font14zd2"/>
          <w:rFonts w:ascii="宋体" w:hAnsi="宋体" w:hint="eastAsia"/>
        </w:rPr>
        <w:t>14d</w:t>
      </w:r>
      <w:r>
        <w:rPr>
          <w:rStyle w:val="font14zd2"/>
          <w:rFonts w:ascii="宋体" w:hAnsi="宋体" w:hint="eastAsia"/>
        </w:rPr>
        <w:t>内，向监理工程师提交变更报价书。</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）变更工程影响工期的，承包人应提出调整工期的具体细节。</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）除专用合同条款对期限另有约定外，</w:t>
      </w:r>
      <w:r>
        <w:rPr>
          <w:rStyle w:val="font14zd2"/>
          <w:rFonts w:ascii="宋体" w:hAnsi="宋体" w:hint="eastAsia"/>
        </w:rPr>
        <w:t>监理工程师应在收到承包人变更报价书后的</w:t>
      </w:r>
      <w:r>
        <w:rPr>
          <w:rStyle w:val="font14zd2"/>
          <w:rFonts w:ascii="宋体" w:hAnsi="宋体" w:hint="eastAsia"/>
        </w:rPr>
        <w:t>14d</w:t>
      </w:r>
      <w:r>
        <w:rPr>
          <w:rStyle w:val="font14zd2"/>
          <w:rFonts w:ascii="宋体" w:hAnsi="宋体" w:hint="eastAsia"/>
        </w:rPr>
        <w:t>内，</w:t>
      </w:r>
      <w:r>
        <w:rPr>
          <w:rFonts w:ascii="宋体" w:hAnsi="宋体" w:hint="eastAsia"/>
          <w:color w:val="000000"/>
          <w:sz w:val="21"/>
          <w:szCs w:val="21"/>
        </w:rPr>
        <w:t>根据合同约定的估价原则，按照合同约定商定或确定变更价格。</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）变更估价的原则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除专用合同条款另有约定外，因变</w:t>
      </w:r>
      <w:r>
        <w:rPr>
          <w:rFonts w:ascii="宋体" w:hAnsi="宋体" w:hint="eastAsia"/>
          <w:color w:val="000000"/>
          <w:sz w:val="21"/>
          <w:szCs w:val="21"/>
        </w:rPr>
        <w:t>更引起的价格调整按照如下约定处理：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）如果取消某项工作，则该项工作的总额价不予支付。</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）已标价工程量清单中有适用于变更工作的子目的，采用该子目的单价。</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）已标价工程量清单中无适用于变更工作的子目，但有类似子目的，可在合理范围内参照类似子目的单价，</w:t>
      </w:r>
      <w:r>
        <w:rPr>
          <w:rStyle w:val="font14zd2"/>
          <w:rFonts w:ascii="宋体" w:hAnsi="宋体" w:hint="eastAsia"/>
        </w:rPr>
        <w:t>由监理工程师按合同约定商定或确定变更工作的单价。</w:t>
      </w:r>
      <w:r>
        <w:rPr>
          <w:rStyle w:val="font14zd2"/>
          <w:rFonts w:ascii="宋体" w:hAnsi="宋体" w:hint="eastAsia"/>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）已标价工程量清单中无适用或类似子目的单价，可在综合考虑承包人在投标时所提供的单价分析表的基础上，</w:t>
      </w:r>
      <w:r>
        <w:rPr>
          <w:rStyle w:val="font14zd2"/>
          <w:rFonts w:ascii="宋体" w:hAnsi="宋体" w:hint="eastAsia"/>
        </w:rPr>
        <w:t>由监理人按合同约定商定或确定变更工作的单价。</w:t>
      </w:r>
      <w:r>
        <w:rPr>
          <w:rStyle w:val="font14zd2"/>
          <w:rFonts w:ascii="宋体" w:hAnsi="宋体" w:hint="eastAsia"/>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5</w:t>
      </w:r>
      <w:r>
        <w:rPr>
          <w:rFonts w:ascii="宋体" w:hAnsi="宋体" w:hint="eastAsia"/>
          <w:color w:val="000000"/>
          <w:sz w:val="21"/>
          <w:szCs w:val="21"/>
        </w:rPr>
        <w:t>）如果本工程的变更指示是因承包人过错、承包人违反合同或承包人责任造成的，则这种违约引起的任何额外费用应由承包人承担。</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9.2.5 </w:t>
      </w:r>
      <w:r>
        <w:rPr>
          <w:rFonts w:ascii="宋体" w:hAnsi="宋体" w:hint="eastAsia"/>
          <w:color w:val="000000"/>
          <w:sz w:val="21"/>
          <w:szCs w:val="21"/>
        </w:rPr>
        <w:t>公路工程施工索赔管理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工期延误的分类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）按延误索赔结果划分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）可原谅可补偿的延误</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可原谅可补偿的延误是指由于业主或工程师的错误或失误而造成的工期延误。在这种情况下，</w:t>
      </w:r>
      <w:r>
        <w:rPr>
          <w:rStyle w:val="font14zd2"/>
          <w:rFonts w:ascii="宋体" w:hAnsi="宋体" w:hint="eastAsia"/>
        </w:rPr>
        <w:t>承包商不仅可以得到工期延长，还可以得到经济补偿。</w:t>
      </w:r>
      <w:r>
        <w:rPr>
          <w:rStyle w:val="font14zd2"/>
          <w:rFonts w:ascii="宋体" w:hAnsi="宋体" w:hint="eastAsia"/>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）可原谅不可补偿的延误</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可原谅不可补偿的延误是指既不是承包商也不是业主的原因，而是由客观原因引起的工期延误。在这种情况下，</w:t>
      </w:r>
      <w:r>
        <w:rPr>
          <w:rStyle w:val="font14zd2"/>
          <w:rFonts w:ascii="宋体" w:hAnsi="宋体" w:hint="eastAsia"/>
        </w:rPr>
        <w:t>承包商可获得一定的工期延长作为补偿，但一般得不到经济补偿</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）不可原谅的延误</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不可原谅的延误是指由于承包商的原因引起的工期延误。在这种情况下，</w:t>
      </w:r>
      <w:r>
        <w:rPr>
          <w:rStyle w:val="font14zd2"/>
          <w:rFonts w:ascii="宋体" w:hAnsi="宋体" w:hint="eastAsia"/>
        </w:rPr>
        <w:t>承包商不但不能得到工期延长和经济补偿，而且由这种延误造成的损失全部都要由承包商来负责</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共同延误的责任归属原则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）初始事件原则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初始事件原则：在多事件交叉时段中应判断哪一种原因是最先发生的，即找出“初始延误者”，</w:t>
      </w:r>
      <w:r>
        <w:rPr>
          <w:rStyle w:val="font14zd2"/>
          <w:rFonts w:ascii="宋体" w:hAnsi="宋体" w:hint="eastAsia"/>
        </w:rPr>
        <w:t>他首先要对延误负责</w:t>
      </w:r>
      <w:r>
        <w:rPr>
          <w:rFonts w:ascii="宋体" w:hAnsi="宋体" w:hint="eastAsia"/>
          <w:color w:val="000000"/>
          <w:sz w:val="21"/>
          <w:szCs w:val="21"/>
        </w:rPr>
        <w:t>。</w:t>
      </w:r>
      <w:r>
        <w:rPr>
          <w:rFonts w:ascii="宋体" w:hAnsi="宋体" w:hint="eastAsia"/>
          <w:color w:val="000000"/>
          <w:sz w:val="21"/>
          <w:szCs w:val="21"/>
        </w:rPr>
        <w:t>在初始延误发生作用的期间，</w:t>
      </w:r>
      <w:r>
        <w:rPr>
          <w:rStyle w:val="font14zd2"/>
          <w:rFonts w:ascii="宋体" w:hAnsi="宋体" w:hint="eastAsia"/>
        </w:rPr>
        <w:t>其他并发的延误者不承担延误责任。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）不利于承包商原则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不利于承包商原则：在交叉时段内，只要出现了承包商的责任或风险，不管其出现次序，亦不论干扰事件的性质，</w:t>
      </w:r>
      <w:r>
        <w:rPr>
          <w:rStyle w:val="font14zd2"/>
          <w:rFonts w:ascii="宋体" w:hAnsi="宋体" w:hint="eastAsia"/>
        </w:rPr>
        <w:t>该时段的责任全部由承包商承担。</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）责任分摊原则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责任分摊原则：当交叉时段内的事件由业主、承包商共同承担责任时，按各自干扰事件对干扰结果的影响分摊责任，并由双方共同承担。</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）工期从宽、费用从严原则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工期从宽、费用从严原则：工期索赔业主责任优先，费用索赔承包商责任优先。</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Fonts w:ascii="楷体" w:eastAsia="楷体" w:hAnsi="楷体" w:hint="eastAsia"/>
          <w:b/>
          <w:bCs/>
          <w:color w:val="FD7400"/>
          <w:sz w:val="23"/>
          <w:szCs w:val="23"/>
        </w:rPr>
        <w:br/>
      </w:r>
      <w:r>
        <w:rPr>
          <w:rStyle w:val="barfont1"/>
          <w:rFonts w:hint="default"/>
        </w:rPr>
        <w:t>第</w:t>
      </w:r>
      <w:r>
        <w:rPr>
          <w:rStyle w:val="barfont1"/>
          <w:rFonts w:hint="default"/>
        </w:rPr>
        <w:t>03</w:t>
      </w:r>
      <w:r>
        <w:rPr>
          <w:rStyle w:val="barfont1"/>
          <w:rFonts w:hint="default"/>
        </w:rPr>
        <w:t>讲</w:t>
      </w:r>
      <w:r>
        <w:rPr>
          <w:rStyle w:val="barfont1"/>
          <w:rFonts w:hint="default"/>
        </w:rPr>
        <w:t xml:space="preserve"> </w:t>
      </w:r>
      <w:r>
        <w:rPr>
          <w:rStyle w:val="barfont1"/>
          <w:rFonts w:hint="default"/>
        </w:rPr>
        <w:t>工程合同</w:t>
      </w:r>
      <w:r>
        <w:rPr>
          <w:rStyle w:val="barfont1"/>
          <w:rFonts w:hint="default"/>
        </w:rPr>
        <w:t>管理（二）</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9.2.6 </w:t>
      </w:r>
      <w:r>
        <w:rPr>
          <w:rFonts w:ascii="宋体" w:hAnsi="宋体" w:hint="eastAsia"/>
          <w:color w:val="000000"/>
          <w:sz w:val="21"/>
          <w:szCs w:val="21"/>
        </w:rPr>
        <w:t>公路工程计量管理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计量的概念</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计量是按照工程量清单计量规则所规定的方法对承包人符合要求的已完工程的实际数量所进行的测量、计算、核查和确认的过程。</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计量的任务是确定实际工程数量的多少</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工程计量程序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）现场计量的程序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工程计量由承包人向监理工程师提出并附有必要的中间交工验收资料或质量合格证明。</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计量工作可以由监理工程师和承包人双方委派合格人员在现场进行，也可以</w:t>
      </w:r>
      <w:r>
        <w:rPr>
          <w:rStyle w:val="font14zd2"/>
          <w:rFonts w:ascii="宋体" w:hAnsi="宋体" w:hint="eastAsia"/>
        </w:rPr>
        <w:t>采用记录和图纸在室内按计量规则进行计算</w:t>
      </w:r>
      <w:r>
        <w:rPr>
          <w:rFonts w:ascii="宋体" w:hAnsi="宋体" w:hint="eastAsia"/>
          <w:color w:val="000000"/>
          <w:sz w:val="21"/>
          <w:szCs w:val="21"/>
        </w:rPr>
        <w:t>。结果都必须经</w:t>
      </w:r>
      <w:r>
        <w:rPr>
          <w:rStyle w:val="font14zd2"/>
          <w:rFonts w:ascii="宋体" w:hAnsi="宋体" w:hint="eastAsia"/>
        </w:rPr>
        <w:t>监理工程师和承包人双方签字认可</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）驻地监理工程师对计量结果的审查</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驻地监理工程师对计量结果的审查包括：一是计量的工程质量是否达到合同标准；二是计量的过程是否符合合同条件。</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）总监理工程师代表处对工程计量项目的审定</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总监理工程师代表处在审定过程中有权对计量工程项目的质量进行抽检，抽检不合格的项目不予计量，对计量过程有错误的项目进行修正或不予计量。</w:t>
      </w:r>
      <w:r>
        <w:rPr>
          <w:rStyle w:val="font14zd2"/>
          <w:rFonts w:ascii="宋体" w:hAnsi="宋体" w:hint="eastAsia"/>
        </w:rPr>
        <w:t>只有经总监理工程师审查批准的工程项目，才予以支付工程款项</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工程量计量说明</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）一般要求</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）所有工程项目，除个</w:t>
      </w:r>
      <w:r>
        <w:rPr>
          <w:rFonts w:ascii="宋体" w:hAnsi="宋体" w:hint="eastAsia"/>
          <w:color w:val="000000"/>
          <w:sz w:val="21"/>
          <w:szCs w:val="21"/>
        </w:rPr>
        <w:t>别注明者外，</w:t>
      </w:r>
      <w:r>
        <w:rPr>
          <w:rStyle w:val="font14zd2"/>
          <w:rFonts w:ascii="宋体" w:hAnsi="宋体" w:hint="eastAsia"/>
        </w:rPr>
        <w:t>均采用我国法定的计量单位</w:t>
      </w:r>
      <w:r>
        <w:rPr>
          <w:rFonts w:ascii="宋体" w:hAnsi="宋体" w:hint="eastAsia"/>
          <w:color w:val="000000"/>
          <w:sz w:val="21"/>
          <w:szCs w:val="21"/>
        </w:rPr>
        <w:t>，即国际单位及国际单位制导出的辅助单位进行计量。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）计量与支付规则，应与合同条款、工程量清单以及图纸同时阅读。</w:t>
      </w:r>
      <w:r>
        <w:rPr>
          <w:rStyle w:val="font14zd2"/>
          <w:rFonts w:ascii="宋体" w:hAnsi="宋体" w:hint="eastAsia"/>
        </w:rPr>
        <w:t>工程量清单中的支付项目号和规则的章节编号一致</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）按合同提供的材料数量和完成的工程数量所采用的测量与计算方法，应经监理工程师批准或指示。承包人应提供一切计量设备和条件，并保证其设备精度符合要求。</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）除非监理人另有准许，一切计量工作都应在监理工程师在场情况下，由承包人测量、记录。</w:t>
      </w:r>
      <w:r>
        <w:rPr>
          <w:rStyle w:val="font14zd2"/>
          <w:rFonts w:ascii="宋体" w:hAnsi="宋体" w:hint="eastAsia"/>
        </w:rPr>
        <w:t>有承包人签名的计量记录原本，应提交给监理工程师审查和保存。</w:t>
      </w:r>
      <w:r>
        <w:rPr>
          <w:rStyle w:val="font14zd2"/>
          <w:rFonts w:ascii="宋体" w:hAnsi="宋体" w:hint="eastAsia"/>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5</w:t>
      </w:r>
      <w:r>
        <w:rPr>
          <w:rFonts w:ascii="宋体" w:hAnsi="宋体" w:hint="eastAsia"/>
          <w:color w:val="000000"/>
          <w:sz w:val="21"/>
          <w:szCs w:val="21"/>
        </w:rPr>
        <w:t>）工程量应由承包人计算，由监理工程师审核。</w:t>
      </w:r>
      <w:r>
        <w:rPr>
          <w:rStyle w:val="font14zd2"/>
          <w:rFonts w:ascii="宋体" w:hAnsi="宋体" w:hint="eastAsia"/>
        </w:rPr>
        <w:t>工程量计算的副本应提交给监理工程师并由监理工程师保存。</w:t>
      </w:r>
      <w:r>
        <w:rPr>
          <w:rStyle w:val="font14zd2"/>
          <w:rFonts w:ascii="宋体" w:hAnsi="宋体" w:hint="eastAsia"/>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6</w:t>
      </w:r>
      <w:r>
        <w:rPr>
          <w:rFonts w:ascii="宋体" w:hAnsi="宋体" w:hint="eastAsia"/>
          <w:color w:val="000000"/>
          <w:sz w:val="21"/>
          <w:szCs w:val="21"/>
        </w:rPr>
        <w:t>）除合同特殊约定单独计量之外，工程必需的模板、脚手架、装备、机具、螺栓</w:t>
      </w:r>
      <w:r>
        <w:rPr>
          <w:rFonts w:ascii="宋体" w:hAnsi="宋体" w:hint="eastAsia"/>
          <w:color w:val="000000"/>
          <w:sz w:val="21"/>
          <w:szCs w:val="21"/>
        </w:rPr>
        <w:t xml:space="preserve"> </w:t>
      </w:r>
      <w:r>
        <w:rPr>
          <w:rFonts w:ascii="宋体" w:hAnsi="宋体" w:hint="eastAsia"/>
          <w:color w:val="000000"/>
          <w:sz w:val="21"/>
          <w:szCs w:val="21"/>
        </w:rPr>
        <w:t>、垫圈和钢制件等其他材料，应包括在工程量清单所列的有关支付项目中，</w:t>
      </w:r>
      <w:r>
        <w:rPr>
          <w:rStyle w:val="font14zd2"/>
          <w:rFonts w:ascii="宋体" w:hAnsi="宋体" w:hint="eastAsia"/>
        </w:rPr>
        <w:t>均不单独计量</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7</w:t>
      </w:r>
      <w:r>
        <w:rPr>
          <w:rFonts w:ascii="宋体" w:hAnsi="宋体" w:hint="eastAsia"/>
          <w:color w:val="000000"/>
          <w:sz w:val="21"/>
          <w:szCs w:val="21"/>
        </w:rPr>
        <w:t>）除监理人另有批准外，</w:t>
      </w:r>
      <w:r>
        <w:rPr>
          <w:rStyle w:val="font14zd2"/>
          <w:rFonts w:ascii="宋体" w:hAnsi="宋体" w:hint="eastAsia"/>
        </w:rPr>
        <w:t>凡超过图纸所示的面积或体积，都不予计量与支付。</w:t>
      </w:r>
      <w:r>
        <w:rPr>
          <w:rStyle w:val="font14zd2"/>
          <w:rFonts w:ascii="宋体" w:hAnsi="宋体" w:hint="eastAsia"/>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8</w:t>
      </w:r>
      <w:r>
        <w:rPr>
          <w:rFonts w:ascii="宋体" w:hAnsi="宋体" w:hint="eastAsia"/>
          <w:color w:val="000000"/>
          <w:sz w:val="21"/>
          <w:szCs w:val="21"/>
        </w:rPr>
        <w:t>）承包人应严格标准计量基础工作和材料采购检验工作。沥青混凝土、沥青碎石、水泥混凝土、高强度等级水泥砂浆的施工现场必须使用电子计量设备称重。因不符合计量规定引发质量问题，所发生的费用由承包人承担。</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）重量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）钢筋、钢板或型钢计量时，应按图纸或其他资料标示的尺寸和净长计算。</w:t>
      </w:r>
      <w:r>
        <w:rPr>
          <w:rStyle w:val="font14zd2"/>
          <w:rFonts w:ascii="宋体" w:hAnsi="宋体" w:hint="eastAsia"/>
        </w:rPr>
        <w:t>搭接、接头套筒、焊接材料、下脚料和固定、定位架立钢筋等，则不予另行计量</w:t>
      </w:r>
      <w:r>
        <w:rPr>
          <w:rFonts w:ascii="宋体" w:hAnsi="宋体" w:hint="eastAsia"/>
          <w:color w:val="000000"/>
          <w:sz w:val="21"/>
          <w:szCs w:val="21"/>
        </w:rPr>
        <w:t>。钢筋、钢板或型钢应以千克计量，四舍五入，不计小数。</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）金属材料的质量不得包括施工需要加放或使用的灰浆、楔块、填缝料、垫衬物、油料、接缝料、</w:t>
      </w:r>
      <w:r>
        <w:rPr>
          <w:rFonts w:ascii="宋体" w:hAnsi="宋体" w:hint="eastAsia"/>
          <w:color w:val="000000"/>
          <w:sz w:val="21"/>
          <w:szCs w:val="21"/>
        </w:rPr>
        <w:t>焊条、涂敷料等质量。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）面积</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除非另有规定，计算面积时，其长、宽应按图纸所示尺寸线或按监理工程师指示计量。</w:t>
      </w:r>
      <w:r>
        <w:rPr>
          <w:rStyle w:val="font14zd2"/>
          <w:rFonts w:ascii="宋体" w:hAnsi="宋体" w:hint="eastAsia"/>
        </w:rPr>
        <w:t>对于面积在</w:t>
      </w:r>
      <w:r>
        <w:rPr>
          <w:rStyle w:val="font14zd2"/>
          <w:rFonts w:ascii="宋体" w:hAnsi="宋体" w:hint="eastAsia"/>
        </w:rPr>
        <w:t>1</w:t>
      </w:r>
      <w:r>
        <w:rPr>
          <w:rStyle w:val="font14zd2"/>
          <w:rFonts w:ascii="宋体" w:hAnsi="宋体" w:hint="eastAsia"/>
        </w:rPr>
        <w:t>㎡以下的固定物（如检查井等）不予扣除。</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）结构物</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）结构物应按</w:t>
      </w:r>
      <w:r>
        <w:rPr>
          <w:rStyle w:val="font14zd2"/>
          <w:rFonts w:ascii="宋体" w:hAnsi="宋体" w:hint="eastAsia"/>
        </w:rPr>
        <w:t>图纸所示净尺寸线</w:t>
      </w:r>
      <w:r>
        <w:rPr>
          <w:rFonts w:ascii="宋体" w:hAnsi="宋体" w:hint="eastAsia"/>
          <w:color w:val="000000"/>
          <w:sz w:val="21"/>
          <w:szCs w:val="21"/>
        </w:rPr>
        <w:t>，或根据监理人指示修改的尺寸线计量。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）水泥混凝土的计量应按监理人认可的并已完工工程的净尺寸计算，</w:t>
      </w:r>
      <w:r>
        <w:rPr>
          <w:rStyle w:val="font14zd2"/>
          <w:rFonts w:ascii="宋体" w:hAnsi="宋体" w:hint="eastAsia"/>
        </w:rPr>
        <w:t>钢筋的体积不扣除，</w:t>
      </w:r>
      <w:r>
        <w:rPr>
          <w:rFonts w:ascii="宋体" w:hAnsi="宋体" w:hint="eastAsia"/>
          <w:color w:val="000000"/>
          <w:sz w:val="21"/>
          <w:szCs w:val="21"/>
        </w:rPr>
        <w:t>倒角不超过</w:t>
      </w:r>
      <w:r>
        <w:rPr>
          <w:rFonts w:ascii="宋体" w:hAnsi="宋体" w:hint="eastAsia"/>
          <w:color w:val="000000"/>
          <w:sz w:val="21"/>
          <w:szCs w:val="21"/>
        </w:rPr>
        <w:t>0.15m</w:t>
      </w:r>
      <w:r>
        <w:rPr>
          <w:rFonts w:ascii="宋体" w:hAnsi="宋体" w:hint="eastAsia"/>
          <w:color w:val="000000"/>
          <w:sz w:val="21"/>
          <w:szCs w:val="21"/>
        </w:rPr>
        <w:t>×</w:t>
      </w:r>
      <w:r>
        <w:rPr>
          <w:rFonts w:ascii="宋体" w:hAnsi="宋体" w:hint="eastAsia"/>
          <w:color w:val="000000"/>
          <w:sz w:val="21"/>
          <w:szCs w:val="21"/>
        </w:rPr>
        <w:t>0.15m</w:t>
      </w:r>
      <w:r>
        <w:rPr>
          <w:rFonts w:ascii="宋体" w:hAnsi="宋体" w:hint="eastAsia"/>
          <w:color w:val="000000"/>
          <w:sz w:val="21"/>
          <w:szCs w:val="21"/>
        </w:rPr>
        <w:t>时不扣除，体积不超过</w:t>
      </w:r>
      <w:r>
        <w:rPr>
          <w:rFonts w:ascii="宋体" w:hAnsi="宋体" w:hint="eastAsia"/>
          <w:color w:val="000000"/>
          <w:sz w:val="21"/>
          <w:szCs w:val="21"/>
        </w:rPr>
        <w:t>0.03m</w:t>
      </w:r>
      <w:r>
        <w:rPr>
          <w:rFonts w:ascii="宋体" w:hAnsi="宋体" w:hint="eastAsia"/>
          <w:color w:val="000000"/>
          <w:sz w:val="21"/>
          <w:szCs w:val="21"/>
          <w:vertAlign w:val="superscript"/>
        </w:rPr>
        <w:t>3</w:t>
      </w:r>
      <w:r>
        <w:rPr>
          <w:rFonts w:ascii="宋体" w:hAnsi="宋体" w:hint="eastAsia"/>
          <w:color w:val="000000"/>
          <w:sz w:val="21"/>
          <w:szCs w:val="21"/>
        </w:rPr>
        <w:t>的开孔及开口不扣除，面积不超过</w:t>
      </w:r>
      <w:r>
        <w:rPr>
          <w:rFonts w:ascii="宋体" w:hAnsi="宋体" w:hint="eastAsia"/>
          <w:color w:val="000000"/>
          <w:sz w:val="21"/>
          <w:szCs w:val="21"/>
        </w:rPr>
        <w:t>0.15m</w:t>
      </w:r>
      <w:r>
        <w:rPr>
          <w:rFonts w:ascii="宋体" w:hAnsi="宋体" w:hint="eastAsia"/>
          <w:color w:val="000000"/>
          <w:sz w:val="21"/>
          <w:szCs w:val="21"/>
        </w:rPr>
        <w:t>×</w:t>
      </w:r>
      <w:r>
        <w:rPr>
          <w:rFonts w:ascii="宋体" w:hAnsi="宋体" w:hint="eastAsia"/>
          <w:color w:val="000000"/>
          <w:sz w:val="21"/>
          <w:szCs w:val="21"/>
        </w:rPr>
        <w:t>0.15m</w:t>
      </w:r>
      <w:r>
        <w:rPr>
          <w:rFonts w:ascii="宋体" w:hAnsi="宋体" w:hint="eastAsia"/>
          <w:color w:val="000000"/>
          <w:sz w:val="21"/>
          <w:szCs w:val="21"/>
        </w:rPr>
        <w:t>的填角部分也不增加。</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）所有以米</w:t>
      </w:r>
      <w:r>
        <w:rPr>
          <w:rFonts w:ascii="宋体" w:hAnsi="宋体" w:hint="eastAsia"/>
          <w:color w:val="000000"/>
          <w:sz w:val="21"/>
          <w:szCs w:val="21"/>
        </w:rPr>
        <w:t>计量的结构物（如管涵等），除非图纸另有表示，</w:t>
      </w:r>
      <w:r>
        <w:rPr>
          <w:rStyle w:val="font14zd2"/>
          <w:rFonts w:ascii="宋体" w:hAnsi="宋体" w:hint="eastAsia"/>
        </w:rPr>
        <w:t>应按平行于该结构物位置的基面或基础的中心方向计量</w:t>
      </w:r>
      <w:r>
        <w:rPr>
          <w:rFonts w:ascii="宋体" w:hAnsi="宋体" w:hint="eastAsia"/>
          <w:color w:val="000000"/>
          <w:sz w:val="21"/>
          <w:szCs w:val="21"/>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991100" cy="1638300"/>
            <wp:effectExtent l="19050" t="0" r="0" b="0"/>
            <wp:docPr id="2" name="图片_x002051d11d9c-af8a-4219-91c0-81503911d3c0" descr="f152970a-cb67-4362-a7f6-14f9e7e6a3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_x002051d11d9c-af8a-4219-91c0-81503911d3c0" descr="f152970a-cb67-4362-a7f6-14f9e7e6a38e"/>
                    <pic:cNvPicPr>
                      <a:picLocks noChangeAspect="1" noChangeArrowheads="1"/>
                    </pic:cNvPicPr>
                  </pic:nvPicPr>
                  <pic:blipFill>
                    <a:blip r:embed="rId8" cstate="print"/>
                    <a:srcRect/>
                    <a:stretch>
                      <a:fillRect/>
                    </a:stretch>
                  </pic:blipFill>
                  <pic:spPr>
                    <a:xfrm>
                      <a:off x="0" y="0"/>
                      <a:ext cx="4991100" cy="1638300"/>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5438775" cy="3057525"/>
            <wp:effectExtent l="0" t="0" r="9525" b="0"/>
            <wp:docPr id="3" name="图片_x0020c454411a-d6bc-4aef-86c7-c15da295c7f4" descr="6635ca5f-7db9-478d-a176-0a76b33a58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_x0020c454411a-d6bc-4aef-86c7-c15da295c7f4" descr="6635ca5f-7db9-478d-a176-0a76b33a58c2"/>
                    <pic:cNvPicPr>
                      <a:picLocks noChangeAspect="1" noChangeArrowheads="1"/>
                    </pic:cNvPicPr>
                  </pic:nvPicPr>
                  <pic:blipFill>
                    <a:blip r:embed="rId9" cstate="print"/>
                    <a:srcRect/>
                    <a:stretch>
                      <a:fillRect/>
                    </a:stretch>
                  </pic:blipFill>
                  <pic:spPr>
                    <a:xfrm>
                      <a:off x="0" y="0"/>
                      <a:ext cx="5438775" cy="3057525"/>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6067425" cy="1990725"/>
            <wp:effectExtent l="0" t="0" r="0" b="0"/>
            <wp:docPr id="4" name="图片_x0020c48c9fe6-0eee-4d81-8a27-67364b7b9900" descr="fe73dd74-b92e-492a-a930-b5b118954a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_x0020c48c9fe6-0eee-4d81-8a27-67364b7b9900" descr="fe73dd74-b92e-492a-a930-b5b118954a4c"/>
                    <pic:cNvPicPr>
                      <a:picLocks noChangeAspect="1" noChangeArrowheads="1"/>
                    </pic:cNvPicPr>
                  </pic:nvPicPr>
                  <pic:blipFill>
                    <a:blip r:embed="rId10" cstate="print"/>
                    <a:srcRect/>
                    <a:stretch>
                      <a:fillRect/>
                    </a:stretch>
                  </pic:blipFill>
                  <pic:spPr>
                    <a:xfrm>
                      <a:off x="0" y="0"/>
                      <a:ext cx="6067425" cy="1990725"/>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上图左图中</w:t>
      </w:r>
      <w:r>
        <w:rPr>
          <w:rStyle w:val="font14zd2"/>
          <w:rFonts w:ascii="宋体" w:hAnsi="宋体" w:hint="eastAsia"/>
        </w:rPr>
        <w:t>A</w:t>
      </w:r>
      <w:r>
        <w:rPr>
          <w:rStyle w:val="font14zd2"/>
          <w:rFonts w:ascii="宋体" w:hAnsi="宋体" w:hint="eastAsia"/>
        </w:rPr>
        <w:t>为面层顶面宽度，</w:t>
      </w:r>
      <w:r>
        <w:rPr>
          <w:rStyle w:val="font14zd2"/>
          <w:rFonts w:ascii="宋体" w:hAnsi="宋体" w:hint="eastAsia"/>
        </w:rPr>
        <w:t>B</w:t>
      </w:r>
      <w:r>
        <w:rPr>
          <w:rStyle w:val="font14zd2"/>
          <w:rFonts w:ascii="宋体" w:hAnsi="宋体" w:hint="eastAsia"/>
        </w:rPr>
        <w:t>为底面宽度。根据上述的规定，计量面层的数量时，只能以顶面宽</w:t>
      </w:r>
      <w:r>
        <w:rPr>
          <w:rStyle w:val="font14zd2"/>
          <w:rFonts w:ascii="宋体" w:hAnsi="宋体" w:hint="eastAsia"/>
        </w:rPr>
        <w:t>A</w:t>
      </w:r>
      <w:r>
        <w:rPr>
          <w:rStyle w:val="font14zd2"/>
          <w:rFonts w:ascii="宋体" w:hAnsi="宋体" w:hint="eastAsia"/>
        </w:rPr>
        <w:t>进行计算，以底面宽</w:t>
      </w:r>
      <w:r>
        <w:rPr>
          <w:rStyle w:val="font14zd2"/>
          <w:rFonts w:ascii="宋体" w:hAnsi="宋体" w:hint="eastAsia"/>
        </w:rPr>
        <w:t>B</w:t>
      </w:r>
      <w:r>
        <w:rPr>
          <w:rStyle w:val="font14zd2"/>
          <w:rFonts w:ascii="宋体" w:hAnsi="宋体" w:hint="eastAsia"/>
        </w:rPr>
        <w:t>或以</w:t>
      </w:r>
      <w:r>
        <w:rPr>
          <w:rStyle w:val="font14zd2"/>
          <w:rFonts w:ascii="宋体" w:hAnsi="宋体" w:hint="eastAsia"/>
        </w:rPr>
        <w:t>A</w:t>
      </w:r>
      <w:r>
        <w:rPr>
          <w:rStyle w:val="font14zd2"/>
          <w:rFonts w:ascii="宋体" w:hAnsi="宋体" w:hint="eastAsia"/>
        </w:rPr>
        <w:t>＋</w:t>
      </w:r>
      <w:r>
        <w:rPr>
          <w:rStyle w:val="font14zd2"/>
          <w:rFonts w:ascii="宋体" w:hAnsi="宋体" w:hint="eastAsia"/>
        </w:rPr>
        <w:t>B</w:t>
      </w:r>
      <w:r>
        <w:rPr>
          <w:rStyle w:val="font14zd2"/>
          <w:rFonts w:ascii="宋体" w:hAnsi="宋体" w:hint="eastAsia"/>
        </w:rPr>
        <w:t>的平均值计量都是不允许的。</w:t>
      </w:r>
      <w:r>
        <w:rPr>
          <w:rFonts w:ascii="宋体" w:hAnsi="宋体" w:hint="eastAsia"/>
          <w:color w:val="000000"/>
          <w:sz w:val="21"/>
          <w:szCs w:val="21"/>
        </w:rPr>
        <w:t>因为投标时，承包人根据规定，应当把该层断面内所有的材料及工作发生的费用，都包括在以顶面面积所确定的单价内。</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对就地灌注桩的支付计量，应根据图纸所示由监理人确定的从设计基础表面到下方桩底间的长度考虑。因此，</w:t>
      </w:r>
      <w:r>
        <w:rPr>
          <w:rStyle w:val="font14zd2"/>
          <w:rFonts w:ascii="宋体" w:hAnsi="宋体" w:hint="eastAsia"/>
        </w:rPr>
        <w:t>图中实际施工的灌注桩的长度虽然为</w:t>
      </w:r>
      <w:r>
        <w:rPr>
          <w:rStyle w:val="font14zd2"/>
          <w:rFonts w:ascii="宋体" w:hAnsi="宋体" w:hint="eastAsia"/>
        </w:rPr>
        <w:t>L</w:t>
      </w:r>
      <w:r>
        <w:rPr>
          <w:rStyle w:val="font14zd2"/>
          <w:rFonts w:ascii="宋体" w:hAnsi="宋体" w:hint="eastAsia"/>
          <w:vertAlign w:val="subscript"/>
        </w:rPr>
        <w:t>1</w:t>
      </w:r>
      <w:r>
        <w:rPr>
          <w:rStyle w:val="font14zd2"/>
          <w:rFonts w:ascii="宋体" w:hAnsi="宋体" w:hint="eastAsia"/>
        </w:rPr>
        <w:t>＋</w:t>
      </w:r>
      <w:r>
        <w:rPr>
          <w:rStyle w:val="font14zd2"/>
          <w:rFonts w:ascii="宋体" w:hAnsi="宋体" w:hint="eastAsia"/>
        </w:rPr>
        <w:t>L</w:t>
      </w:r>
      <w:r>
        <w:rPr>
          <w:rStyle w:val="font14zd2"/>
          <w:rFonts w:ascii="宋体" w:hAnsi="宋体" w:hint="eastAsia"/>
          <w:vertAlign w:val="subscript"/>
        </w:rPr>
        <w:t>2</w:t>
      </w:r>
      <w:r>
        <w:rPr>
          <w:rStyle w:val="font14zd2"/>
          <w:rFonts w:ascii="宋体" w:hAnsi="宋体" w:hint="eastAsia"/>
        </w:rPr>
        <w:t>，但是被计量支付的长度为</w:t>
      </w:r>
      <w:r>
        <w:rPr>
          <w:rStyle w:val="font14zd2"/>
          <w:rFonts w:ascii="宋体" w:hAnsi="宋体" w:hint="eastAsia"/>
        </w:rPr>
        <w:t>L</w:t>
      </w:r>
      <w:r>
        <w:rPr>
          <w:rStyle w:val="font14zd2"/>
          <w:rFonts w:ascii="宋体" w:hAnsi="宋体" w:hint="eastAsia"/>
          <w:vertAlign w:val="subscript"/>
        </w:rPr>
        <w:t>1</w:t>
      </w:r>
      <w:r>
        <w:rPr>
          <w:rStyle w:val="font14zd2"/>
          <w:rFonts w:ascii="宋体" w:hAnsi="宋体" w:hint="eastAsia"/>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5</w:t>
      </w:r>
      <w:r>
        <w:rPr>
          <w:rFonts w:ascii="宋体" w:hAnsi="宋体" w:hint="eastAsia"/>
          <w:color w:val="000000"/>
          <w:sz w:val="21"/>
          <w:szCs w:val="21"/>
        </w:rPr>
        <w:t>）土方</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）土方体积可采用平均断面积法计算，但与似棱体公式计算结果比较，如果误差超过±</w:t>
      </w:r>
      <w:r>
        <w:rPr>
          <w:rFonts w:ascii="宋体" w:hAnsi="宋体" w:hint="eastAsia"/>
          <w:color w:val="000000"/>
          <w:sz w:val="21"/>
          <w:szCs w:val="21"/>
        </w:rPr>
        <w:t>5%</w:t>
      </w:r>
      <w:r>
        <w:rPr>
          <w:rFonts w:ascii="宋体" w:hAnsi="宋体" w:hint="eastAsia"/>
          <w:color w:val="000000"/>
          <w:sz w:val="21"/>
          <w:szCs w:val="21"/>
        </w:rPr>
        <w:t>时，监理人可指示采用似棱体公式。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）各种不同类别的挖方与填方计量，</w:t>
      </w:r>
      <w:r>
        <w:rPr>
          <w:rStyle w:val="font14zd2"/>
          <w:rFonts w:ascii="宋体" w:hAnsi="宋体" w:hint="eastAsia"/>
        </w:rPr>
        <w:t>应以图纸所示界线为限，</w:t>
      </w:r>
      <w:r>
        <w:rPr>
          <w:rFonts w:ascii="宋体" w:hAnsi="宋体" w:hint="eastAsia"/>
          <w:color w:val="000000"/>
          <w:sz w:val="21"/>
          <w:szCs w:val="21"/>
        </w:rPr>
        <w:t>而且应在批准的横断面图上标明。</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）用于填方的土方量，</w:t>
      </w:r>
      <w:r>
        <w:rPr>
          <w:rStyle w:val="font14zd2"/>
          <w:rFonts w:ascii="宋体" w:hAnsi="宋体" w:hint="eastAsia"/>
        </w:rPr>
        <w:t>应按压实后的纵断面高程和路床面为准来计量。</w:t>
      </w:r>
      <w:r>
        <w:rPr>
          <w:rFonts w:ascii="宋体" w:hAnsi="宋体" w:hint="eastAsia"/>
          <w:color w:val="000000"/>
          <w:sz w:val="21"/>
          <w:szCs w:val="21"/>
        </w:rPr>
        <w:t>承包人报价时，应考虑在挖方或运输过程中引起的体积差。</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3924300" cy="1819275"/>
            <wp:effectExtent l="0" t="0" r="0" b="0"/>
            <wp:docPr id="5" name="图片_x0020638a8b7b-3d74-446c-9c10-82bad566ee4c" descr="926a77e1-a84a-422e-a6c9-de5184ab9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_x0020638a8b7b-3d74-446c-9c10-82bad566ee4c" descr="926a77e1-a84a-422e-a6c9-de5184ab9b07"/>
                    <pic:cNvPicPr>
                      <a:picLocks noChangeAspect="1" noChangeArrowheads="1"/>
                    </pic:cNvPicPr>
                  </pic:nvPicPr>
                  <pic:blipFill>
                    <a:blip r:embed="rId11" cstate="print"/>
                    <a:srcRect/>
                    <a:stretch>
                      <a:fillRect/>
                    </a:stretch>
                  </pic:blipFill>
                  <pic:spPr>
                    <a:xfrm>
                      <a:off x="0" y="0"/>
                      <a:ext cx="3924300" cy="1819275"/>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3914775" cy="1790700"/>
            <wp:effectExtent l="0" t="0" r="9525" b="0"/>
            <wp:docPr id="6" name="图片_x00204d4e657e-c368-4fd6-bd33-8cbbd50d92f9" descr="65c0ea80-d354-4429-a44f-61ad0536d0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_x00204d4e657e-c368-4fd6-bd33-8cbbd50d92f9" descr="65c0ea80-d354-4429-a44f-61ad0536d0df"/>
                    <pic:cNvPicPr>
                      <a:picLocks noChangeAspect="1" noChangeArrowheads="1"/>
                    </pic:cNvPicPr>
                  </pic:nvPicPr>
                  <pic:blipFill>
                    <a:blip r:embed="rId12" cstate="print"/>
                    <a:srcRect/>
                    <a:stretch>
                      <a:fillRect/>
                    </a:stretch>
                  </pic:blipFill>
                  <pic:spPr>
                    <a:xfrm>
                      <a:off x="0" y="0"/>
                      <a:ext cx="3914775" cy="1790700"/>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）在现场钉桩后</w:t>
      </w:r>
      <w:r>
        <w:rPr>
          <w:rFonts w:ascii="宋体" w:hAnsi="宋体" w:hint="eastAsia"/>
          <w:color w:val="000000"/>
          <w:sz w:val="21"/>
          <w:szCs w:val="21"/>
        </w:rPr>
        <w:t>56d</w:t>
      </w:r>
      <w:r>
        <w:rPr>
          <w:rFonts w:ascii="宋体" w:hAnsi="宋体" w:hint="eastAsia"/>
          <w:color w:val="000000"/>
          <w:sz w:val="21"/>
          <w:szCs w:val="21"/>
        </w:rPr>
        <w:t>内，承包人应将设计和进场复测的土方横断面图连同土方的面积与体积计算表一并提交监理工程师批准。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w:t>
      </w:r>
      <w:r>
        <w:rPr>
          <w:rFonts w:ascii="宋体" w:hAnsi="宋体" w:hint="eastAsia"/>
          <w:color w:val="000000"/>
          <w:sz w:val="21"/>
          <w:szCs w:val="21"/>
        </w:rPr>
        <w:t>）沥青和水泥</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）沥青和水泥应以千克为单位计量。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）水泥可以以袋作为计量的依据，但一袋的标准应为</w:t>
      </w:r>
      <w:r>
        <w:rPr>
          <w:rFonts w:ascii="宋体" w:hAnsi="宋体" w:hint="eastAsia"/>
          <w:color w:val="000000"/>
          <w:sz w:val="21"/>
          <w:szCs w:val="21"/>
        </w:rPr>
        <w:t>50kg</w:t>
      </w:r>
      <w:r>
        <w:rPr>
          <w:rFonts w:ascii="宋体" w:hAnsi="宋体" w:hint="eastAsia"/>
          <w:color w:val="000000"/>
          <w:sz w:val="21"/>
          <w:szCs w:val="21"/>
        </w:rPr>
        <w:t>。散装水泥应称重计量。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638675" cy="4772025"/>
            <wp:effectExtent l="0" t="0" r="0" b="0"/>
            <wp:docPr id="7" name="图片_x0020e8bc2754-f620-4297-b163-b268f7bd5e74" descr="399abadb-3375-4c10-99ec-c9697a628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_x0020e8bc2754-f620-4297-b163-b268f7bd5e74" descr="399abadb-3375-4c10-99ec-c9697a628ab3"/>
                    <pic:cNvPicPr>
                      <a:picLocks noChangeAspect="1" noChangeArrowheads="1"/>
                    </pic:cNvPicPr>
                  </pic:nvPicPr>
                  <pic:blipFill>
                    <a:blip r:embed="rId13" cstate="print"/>
                    <a:srcRect/>
                    <a:stretch>
                      <a:fillRect/>
                    </a:stretch>
                  </pic:blipFill>
                  <pic:spPr>
                    <a:xfrm>
                      <a:off x="0" y="0"/>
                      <a:ext cx="4638675" cy="4772025"/>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286250" cy="4314825"/>
            <wp:effectExtent l="0" t="0" r="0" b="0"/>
            <wp:docPr id="8" name="图片_x002075e285fd-6b3c-4315-91ee-50b2e5d4be39" descr="f3586522-3a9e-4909-b3ac-45ba5259e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_x002075e285fd-6b3c-4315-91ee-50b2e5d4be39" descr="f3586522-3a9e-4909-b3ac-45ba5259e402"/>
                    <pic:cNvPicPr>
                      <a:picLocks noChangeAspect="1" noChangeArrowheads="1"/>
                    </pic:cNvPicPr>
                  </pic:nvPicPr>
                  <pic:blipFill>
                    <a:blip r:embed="rId14" cstate="print"/>
                    <a:srcRect/>
                    <a:stretch>
                      <a:fillRect/>
                    </a:stretch>
                  </pic:blipFill>
                  <pic:spPr>
                    <a:xfrm>
                      <a:off x="0" y="0"/>
                      <a:ext cx="4286250" cy="4314825"/>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543425" cy="4219575"/>
            <wp:effectExtent l="0" t="0" r="0" b="0"/>
            <wp:docPr id="9" name="图片_x0020b1903e3b-5dec-4377-8dbe-db0fc769cc91" descr="da40fe86-2c86-47e4-b0ce-d427ef13e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_x0020b1903e3b-5dec-4377-8dbe-db0fc769cc91" descr="da40fe86-2c86-47e4-b0ce-d427ef13e425"/>
                    <pic:cNvPicPr>
                      <a:picLocks noChangeAspect="1" noChangeArrowheads="1"/>
                    </pic:cNvPicPr>
                  </pic:nvPicPr>
                  <pic:blipFill>
                    <a:blip r:embed="rId15" cstate="print"/>
                    <a:srcRect/>
                    <a:stretch>
                      <a:fillRect/>
                    </a:stretch>
                  </pic:blipFill>
                  <pic:spPr>
                    <a:xfrm>
                      <a:off x="0" y="0"/>
                      <a:ext cx="4543425" cy="4219575"/>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5000625" cy="3286125"/>
            <wp:effectExtent l="0" t="0" r="0" b="0"/>
            <wp:docPr id="10" name="图片_x00202389db76-b4b5-4271-8402-ba93d4f1f8f4" descr="08cc6fe8-f96d-484c-83fa-8ca5ab789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_x00202389db76-b4b5-4271-8402-ba93d4f1f8f4" descr="08cc6fe8-f96d-484c-83fa-8ca5ab789dbc"/>
                    <pic:cNvPicPr>
                      <a:picLocks noChangeAspect="1" noChangeArrowheads="1"/>
                    </pic:cNvPicPr>
                  </pic:nvPicPr>
                  <pic:blipFill>
                    <a:blip r:embed="rId16" cstate="print"/>
                    <a:srcRect/>
                    <a:stretch>
                      <a:fillRect/>
                    </a:stretch>
                  </pic:blipFill>
                  <pic:spPr>
                    <a:xfrm>
                      <a:off x="0" y="0"/>
                      <a:ext cx="5000625" cy="3286125"/>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工程变更通常实行分级审批管理制度，一般工程设计变更由（　）签署工程变更令。</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驻地监理工程师</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总监理工程师</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业主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国家计划主管部门</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B</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『答案解析』一般工程设计变更由总监理工程师签署工程变更令。</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合同中约定工期共同延误责任归属原则为不利于承包商原则，由于特殊异常恶劣天气和业主未及时下发设计图纸共同导致工期延误，承包商（　）。</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可要求工期延长和经济补偿</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可要求工期延长，不可要求经济补偿</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无权要求工期延长和经济补偿</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不可要求工期延长，可要求经济补偿</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B</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『答案解析』不利于承包商原则，故不可补偿延误与可补偿延误同时存在，承包人可获得工期延长，但不能要求经济补偿。</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某桥梁灌注桩清孔后沉积层仍超过规定厚度，二次清孔后，孔深增加，浇筑后的实际桩长比设计桩长增加了</w:t>
      </w:r>
      <w:r>
        <w:rPr>
          <w:rStyle w:val="fontkaiti1"/>
          <w:rFonts w:hint="default"/>
          <w:color w:val="000000"/>
        </w:rPr>
        <w:t>1.5m</w:t>
      </w:r>
      <w:r>
        <w:rPr>
          <w:rStyle w:val="fontkaiti1"/>
          <w:rFonts w:hint="default"/>
          <w:color w:val="000000"/>
        </w:rPr>
        <w:t>。承包人要求对增加的混凝土量给予计量。监理工程师应（　）。</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给予计量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不予计量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计量所增混凝土量的一半</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和承包人协商后予以计量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B</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lastRenderedPageBreak/>
        <w:t>  </w:t>
      </w:r>
      <w:r>
        <w:rPr>
          <w:rStyle w:val="fontkaiti1"/>
          <w:rFonts w:hint="default"/>
          <w:color w:val="000000"/>
        </w:rPr>
        <w:t>『答案解析』承包人应严格按合同设计图纸施工，由于承包人的原因超出设计范围的那部分工程量不予计量，因为工程计量应以净值为准。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以下关于计量规则的说法正确的是（　）。</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除监理人另有批准外，凡超过图纸所示的面积或体积，都不予计量与支付</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工程量应由承包人计算，由监理人审核</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钢筋、钢板或型钢计量时，应按图纸或其他资料标示的尺寸和净长计算</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钢筋搭接接头、接头套筒、焊接材料、下脚料和固定、定位架立钢筋等另行计量。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E.</w:t>
      </w:r>
      <w:r>
        <w:rPr>
          <w:rStyle w:val="fontkaiti1"/>
          <w:rFonts w:hint="default"/>
          <w:color w:val="000000"/>
        </w:rPr>
        <w:t>计算面积时，对于面积在</w:t>
      </w:r>
      <w:r>
        <w:rPr>
          <w:rStyle w:val="fontkaiti1"/>
          <w:rFonts w:hint="default"/>
          <w:color w:val="000000"/>
        </w:rPr>
        <w:t>1m</w:t>
      </w:r>
      <w:r>
        <w:rPr>
          <w:rStyle w:val="fontkaiti1"/>
          <w:rFonts w:hint="default"/>
          <w:color w:val="000000"/>
          <w:vertAlign w:val="superscript"/>
        </w:rPr>
        <w:t>2</w:t>
      </w:r>
      <w:r>
        <w:rPr>
          <w:rStyle w:val="fontkaiti1"/>
          <w:rFonts w:hint="default"/>
          <w:color w:val="000000"/>
        </w:rPr>
        <w:t>以内的固定物（如</w:t>
      </w:r>
      <w:r>
        <w:rPr>
          <w:rStyle w:val="fontkaiti1"/>
          <w:rFonts w:hint="default"/>
          <w:color w:val="000000"/>
        </w:rPr>
        <w:t>检查井等）不予扣除。</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ABCE</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『答案解析』钢筋搭接接头、接头套筒、焊接材料、下脚料和固定、定位架立钢筋等不另行计量。</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关于分包合同管理正确的有（　）。</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发包人对分包合同的管理主要表现为对分包工程的批准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监理工程师对承包人和分包人均有监理与被监理的关系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承包人对分包人具有全面管理责任</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特殊情况下发包人可以向分包人直接付款</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E.</w:t>
      </w:r>
      <w:r>
        <w:rPr>
          <w:rStyle w:val="fontkaiti1"/>
          <w:rFonts w:hint="default"/>
          <w:color w:val="000000"/>
        </w:rPr>
        <w:t>分包人可以按责任划分向承包人和监理工程师提出索赔要求</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AC</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『答案解析』发包人与分包人没有合同关系，但发包人作为工程项目的投资方和施工合同的当事人，对分包合同的管理主要表现为对分包工程的批准。</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b/>
          <w:bCs/>
          <w:color w:val="A50021"/>
          <w:u w:val="double"/>
        </w:rPr>
        <w:t>【背景资料】</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某公路工程采用工程量清单方式招标，甲公司中标并与发包人签订了施工承包合同，甲公司项目部编制了工程施工进度单代号网络计划图（见图</w:t>
      </w:r>
      <w:r>
        <w:rPr>
          <w:rStyle w:val="fontkaiti1"/>
          <w:rFonts w:hint="default"/>
          <w:color w:val="000000"/>
        </w:rPr>
        <w:t>1</w:t>
      </w:r>
      <w:r>
        <w:rPr>
          <w:rStyle w:val="fontkaiti1"/>
          <w:rFonts w:hint="default"/>
          <w:color w:val="000000"/>
        </w:rPr>
        <w:t>），监理工程师批准了该计划。</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合同约定当工程量增加超出清单工程量</w:t>
      </w:r>
      <w:r>
        <w:rPr>
          <w:rStyle w:val="fontkaiti1"/>
          <w:rFonts w:hint="default"/>
          <w:color w:val="000000"/>
        </w:rPr>
        <w:t>25%</w:t>
      </w:r>
      <w:r>
        <w:rPr>
          <w:rStyle w:val="fontkaiti1"/>
          <w:rFonts w:hint="default"/>
          <w:color w:val="000000"/>
        </w:rPr>
        <w:t>时，双方可以协商调整超出</w:t>
      </w:r>
      <w:r>
        <w:rPr>
          <w:rStyle w:val="fontkaiti1"/>
          <w:rFonts w:hint="default"/>
          <w:color w:val="000000"/>
        </w:rPr>
        <w:t>25</w:t>
      </w:r>
      <w:r>
        <w:rPr>
          <w:rStyle w:val="fontkaiti1"/>
          <w:rFonts w:hint="default"/>
          <w:color w:val="000000"/>
        </w:rPr>
        <w:t>％部分的单价，甲公司部分工程量清单报价见表</w:t>
      </w:r>
      <w:r>
        <w:rPr>
          <w:rStyle w:val="fontkaiti1"/>
          <w:rFonts w:hint="default"/>
          <w:color w:val="000000"/>
        </w:rPr>
        <w:t>1</w:t>
      </w:r>
      <w:r>
        <w:rPr>
          <w:rStyle w:val="fontkaiti1"/>
          <w:rFonts w:hint="default"/>
          <w:color w:val="000000"/>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5191125" cy="2800350"/>
            <wp:effectExtent l="0" t="0" r="0" b="0"/>
            <wp:docPr id="11" name="图片_x00207c5185d2-6c04-4189-aca5-756d0d5d0cd5" descr="40ea419b-507f-4532-8e1b-a6d26787a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_x00207c5185d2-6c04-4189-aca5-756d0d5d0cd5" descr="40ea419b-507f-4532-8e1b-a6d26787a5cf"/>
                    <pic:cNvPicPr>
                      <a:picLocks noChangeAspect="1" noChangeArrowheads="1"/>
                    </pic:cNvPicPr>
                  </pic:nvPicPr>
                  <pic:blipFill>
                    <a:blip r:embed="rId17" cstate="print"/>
                    <a:srcRect/>
                    <a:stretch>
                      <a:fillRect/>
                    </a:stretch>
                  </pic:blipFill>
                  <pic:spPr>
                    <a:xfrm>
                      <a:off x="0" y="0"/>
                      <a:ext cx="5191125" cy="2800350"/>
                    </a:xfrm>
                    <a:prstGeom prst="rect">
                      <a:avLst/>
                    </a:prstGeom>
                    <a:noFill/>
                    <a:ln w="9525">
                      <a:noFill/>
                      <a:miter lim="800000"/>
                      <a:headEnd/>
                      <a:tailEnd/>
                    </a:ln>
                  </pic:spPr>
                </pic:pic>
              </a:graphicData>
            </a:graphic>
          </wp:inline>
        </w:drawing>
      </w:r>
    </w:p>
    <w:tbl>
      <w:tblPr>
        <w:tblW w:w="8810" w:type="dxa"/>
        <w:jc w:val="center"/>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tblPr>
      <w:tblGrid>
        <w:gridCol w:w="934"/>
        <w:gridCol w:w="3009"/>
        <w:gridCol w:w="682"/>
        <w:gridCol w:w="1311"/>
        <w:gridCol w:w="1437"/>
        <w:gridCol w:w="1437"/>
      </w:tblGrid>
      <w:tr w:rsidR="00F01A7D">
        <w:trPr>
          <w:trHeight w:val="300"/>
          <w:jc w:val="center"/>
        </w:trPr>
        <w:tc>
          <w:tcPr>
            <w:tcW w:w="8810" w:type="dxa"/>
            <w:gridSpan w:val="6"/>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lastRenderedPageBreak/>
              <w:t>表</w:t>
            </w:r>
            <w:r>
              <w:rPr>
                <w:rFonts w:ascii="宋体" w:hAnsi="宋体" w:cs="宋体" w:hint="eastAsia"/>
                <w:color w:val="000000"/>
                <w:sz w:val="21"/>
                <w:szCs w:val="21"/>
              </w:rPr>
              <w:t>1</w:t>
            </w:r>
            <w:r>
              <w:rPr>
                <w:rFonts w:ascii="宋体" w:hAnsi="宋体" w:cs="宋体" w:hint="eastAsia"/>
                <w:color w:val="000000"/>
                <w:sz w:val="21"/>
                <w:szCs w:val="21"/>
              </w:rPr>
              <w:t>部分　工程量清单报价表</w:t>
            </w:r>
          </w:p>
        </w:tc>
      </w:tr>
      <w:tr w:rsidR="00F01A7D">
        <w:trPr>
          <w:trHeight w:val="300"/>
          <w:jc w:val="center"/>
        </w:trPr>
        <w:tc>
          <w:tcPr>
            <w:tcW w:w="8810" w:type="dxa"/>
            <w:gridSpan w:val="6"/>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第</w:t>
            </w:r>
            <w:r>
              <w:rPr>
                <w:rFonts w:ascii="宋体" w:hAnsi="宋体" w:cs="宋体" w:hint="eastAsia"/>
                <w:color w:val="000000"/>
                <w:sz w:val="21"/>
                <w:szCs w:val="21"/>
              </w:rPr>
              <w:t>200</w:t>
            </w:r>
            <w:r>
              <w:rPr>
                <w:rFonts w:ascii="宋体" w:hAnsi="宋体" w:cs="宋体" w:hint="eastAsia"/>
                <w:color w:val="000000"/>
                <w:sz w:val="21"/>
                <w:szCs w:val="21"/>
              </w:rPr>
              <w:t>章　路基</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子目号</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子目名称</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单位</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数量</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单价（元）</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合价（元）</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203</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挖方</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203</w:t>
            </w:r>
            <w:r>
              <w:rPr>
                <w:rFonts w:ascii="宋体" w:hAnsi="宋体" w:cs="宋体" w:hint="eastAsia"/>
                <w:color w:val="000000"/>
                <w:sz w:val="21"/>
                <w:szCs w:val="21"/>
              </w:rPr>
              <w:t>－</w:t>
            </w:r>
            <w:r>
              <w:rPr>
                <w:rFonts w:ascii="宋体" w:hAnsi="宋体" w:cs="宋体" w:hint="eastAsia"/>
                <w:color w:val="000000"/>
                <w:sz w:val="21"/>
                <w:szCs w:val="21"/>
              </w:rPr>
              <w:t>1</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路基挖方</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w:t>
            </w:r>
            <w:r>
              <w:rPr>
                <w:rFonts w:ascii="宋体" w:hAnsi="宋体" w:cs="宋体" w:hint="eastAsia"/>
                <w:color w:val="000000"/>
                <w:sz w:val="21"/>
                <w:szCs w:val="21"/>
              </w:rPr>
              <w:t>a</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挖土方（外运</w:t>
            </w:r>
            <w:r>
              <w:rPr>
                <w:rFonts w:ascii="宋体" w:hAnsi="宋体" w:cs="宋体" w:hint="eastAsia"/>
                <w:color w:val="000000"/>
                <w:sz w:val="21"/>
                <w:szCs w:val="21"/>
              </w:rPr>
              <w:t>1km</w:t>
            </w:r>
            <w:r>
              <w:rPr>
                <w:rFonts w:ascii="宋体" w:hAnsi="宋体" w:cs="宋体" w:hint="eastAsia"/>
                <w:color w:val="000000"/>
                <w:sz w:val="21"/>
                <w:szCs w:val="21"/>
              </w:rPr>
              <w:t>）</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m</w:t>
            </w:r>
            <w:r>
              <w:rPr>
                <w:rFonts w:ascii="宋体" w:hAnsi="宋体" w:cs="宋体" w:hint="eastAsia"/>
                <w:color w:val="000000"/>
                <w:sz w:val="21"/>
                <w:szCs w:val="21"/>
                <w:vertAlign w:val="superscript"/>
              </w:rPr>
              <w:t>3</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60000.000</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15.00</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900000</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204</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填方</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204</w:t>
            </w:r>
            <w:r>
              <w:rPr>
                <w:rFonts w:ascii="宋体" w:hAnsi="宋体" w:cs="宋体" w:hint="eastAsia"/>
                <w:color w:val="000000"/>
                <w:sz w:val="21"/>
                <w:szCs w:val="21"/>
              </w:rPr>
              <w:t>－</w:t>
            </w:r>
            <w:r>
              <w:rPr>
                <w:rFonts w:ascii="宋体" w:hAnsi="宋体" w:cs="宋体" w:hint="eastAsia"/>
                <w:color w:val="000000"/>
                <w:sz w:val="21"/>
                <w:szCs w:val="21"/>
              </w:rPr>
              <w:t>3</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结构物台背回填</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w:t>
            </w:r>
            <w:r>
              <w:rPr>
                <w:rFonts w:ascii="宋体" w:hAnsi="宋体" w:cs="宋体" w:hint="eastAsia"/>
                <w:color w:val="000000"/>
                <w:sz w:val="21"/>
                <w:szCs w:val="21"/>
              </w:rPr>
              <w:t>a</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台背回填</w:t>
            </w:r>
            <w:r>
              <w:rPr>
                <w:rFonts w:ascii="宋体" w:hAnsi="宋体" w:cs="宋体" w:hint="eastAsia"/>
                <w:color w:val="000000"/>
                <w:sz w:val="21"/>
                <w:szCs w:val="21"/>
              </w:rPr>
              <w:t>4%</w:t>
            </w:r>
            <w:r>
              <w:rPr>
                <w:rFonts w:ascii="宋体" w:hAnsi="宋体" w:cs="宋体" w:hint="eastAsia"/>
                <w:color w:val="000000"/>
                <w:sz w:val="21"/>
                <w:szCs w:val="21"/>
              </w:rPr>
              <w:t>水泥稳定碎石</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m</w:t>
            </w:r>
            <w:r>
              <w:rPr>
                <w:rFonts w:ascii="宋体" w:hAnsi="宋体" w:cs="宋体" w:hint="eastAsia"/>
                <w:color w:val="000000"/>
                <w:sz w:val="21"/>
                <w:szCs w:val="21"/>
                <w:vertAlign w:val="superscript"/>
              </w:rPr>
              <w:t>3</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146.000</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285.31</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41655</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207</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排水工程</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207</w:t>
            </w:r>
            <w:r>
              <w:rPr>
                <w:rFonts w:ascii="宋体" w:hAnsi="宋体" w:cs="宋体" w:hint="eastAsia"/>
                <w:color w:val="000000"/>
                <w:sz w:val="21"/>
                <w:szCs w:val="21"/>
              </w:rPr>
              <w:t>－</w:t>
            </w:r>
            <w:r>
              <w:rPr>
                <w:rFonts w:ascii="宋体" w:hAnsi="宋体" w:cs="宋体" w:hint="eastAsia"/>
                <w:color w:val="000000"/>
                <w:sz w:val="21"/>
                <w:szCs w:val="21"/>
              </w:rPr>
              <w:t>1</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边沟</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w:t>
            </w:r>
            <w:r>
              <w:rPr>
                <w:rFonts w:ascii="宋体" w:hAnsi="宋体" w:cs="宋体" w:hint="eastAsia"/>
                <w:color w:val="000000"/>
                <w:sz w:val="21"/>
                <w:szCs w:val="21"/>
              </w:rPr>
              <w:t>b</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M7.5</w:t>
            </w:r>
            <w:r>
              <w:rPr>
                <w:rFonts w:ascii="宋体" w:hAnsi="宋体" w:cs="宋体" w:hint="eastAsia"/>
                <w:color w:val="000000"/>
                <w:sz w:val="21"/>
                <w:szCs w:val="21"/>
              </w:rPr>
              <w:t>浆砌片石边沟</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m</w:t>
            </w:r>
            <w:r>
              <w:rPr>
                <w:rFonts w:ascii="宋体" w:hAnsi="宋体" w:cs="宋体" w:hint="eastAsia"/>
                <w:color w:val="000000"/>
                <w:sz w:val="21"/>
                <w:szCs w:val="21"/>
                <w:vertAlign w:val="superscript"/>
              </w:rPr>
              <w:t>3</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108.000</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415.42</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44865</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d</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边沟人工清淤挖运</w:t>
            </w:r>
            <w:r>
              <w:rPr>
                <w:rFonts w:ascii="宋体" w:hAnsi="宋体" w:cs="宋体" w:hint="eastAsia"/>
                <w:color w:val="000000"/>
                <w:sz w:val="21"/>
                <w:szCs w:val="21"/>
              </w:rPr>
              <w:t>20m</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m</w:t>
            </w:r>
            <w:r>
              <w:rPr>
                <w:rFonts w:ascii="宋体" w:hAnsi="宋体" w:cs="宋体" w:hint="eastAsia"/>
                <w:color w:val="000000"/>
                <w:sz w:val="21"/>
                <w:szCs w:val="21"/>
                <w:vertAlign w:val="superscript"/>
              </w:rPr>
              <w:t>3</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91.260</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93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w:t>
            </w:r>
          </w:p>
        </w:tc>
        <w:tc>
          <w:tcPr>
            <w:tcW w:w="300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31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1437"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F01A7D">
        <w:trPr>
          <w:trHeight w:val="300"/>
          <w:jc w:val="center"/>
        </w:trPr>
        <w:tc>
          <w:tcPr>
            <w:tcW w:w="8810" w:type="dxa"/>
            <w:gridSpan w:val="6"/>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F01A7D" w:rsidRDefault="00332F17">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第</w:t>
            </w:r>
            <w:r>
              <w:rPr>
                <w:rFonts w:ascii="宋体" w:hAnsi="宋体" w:cs="宋体" w:hint="eastAsia"/>
                <w:color w:val="000000"/>
                <w:sz w:val="21"/>
                <w:szCs w:val="21"/>
              </w:rPr>
              <w:t>200</w:t>
            </w:r>
            <w:r>
              <w:rPr>
                <w:rFonts w:ascii="宋体" w:hAnsi="宋体" w:cs="宋体" w:hint="eastAsia"/>
                <w:color w:val="000000"/>
                <w:sz w:val="21"/>
                <w:szCs w:val="21"/>
              </w:rPr>
              <w:t xml:space="preserve">章　合计人民币　</w:t>
            </w:r>
            <w:r>
              <w:rPr>
                <w:rFonts w:ascii="宋体" w:hAnsi="宋体" w:cs="宋体" w:hint="eastAsia"/>
                <w:color w:val="000000"/>
                <w:sz w:val="21"/>
                <w:szCs w:val="21"/>
              </w:rPr>
              <w:t>3033830</w:t>
            </w:r>
            <w:r>
              <w:rPr>
                <w:rFonts w:ascii="宋体" w:hAnsi="宋体" w:cs="宋体" w:hint="eastAsia"/>
                <w:color w:val="000000"/>
                <w:sz w:val="21"/>
                <w:szCs w:val="21"/>
              </w:rPr>
              <w:t>元</w:t>
            </w:r>
          </w:p>
        </w:tc>
      </w:tr>
    </w:tbl>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施工中发生如下事件：</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事件一：由于设计变更，路基挖土方实际完成工程量为</w:t>
      </w:r>
      <w:r>
        <w:rPr>
          <w:rStyle w:val="fontkaiti1"/>
          <w:rFonts w:hint="default"/>
          <w:color w:val="000000"/>
        </w:rPr>
        <w:t>90000m</w:t>
      </w:r>
      <w:r>
        <w:rPr>
          <w:rStyle w:val="fontkaiti1"/>
          <w:rFonts w:hint="default"/>
          <w:color w:val="000000"/>
          <w:vertAlign w:val="superscript"/>
        </w:rPr>
        <w:t>3</w:t>
      </w:r>
      <w:r>
        <w:rPr>
          <w:rStyle w:val="fontkaiti1"/>
          <w:rFonts w:hint="default"/>
          <w:color w:val="000000"/>
        </w:rPr>
        <w:t>，双方协商调整单价为</w:t>
      </w:r>
      <w:r>
        <w:rPr>
          <w:rStyle w:val="fontkaiti1"/>
          <w:rFonts w:hint="default"/>
          <w:color w:val="000000"/>
        </w:rPr>
        <w:t>14</w:t>
      </w:r>
      <w:r>
        <w:rPr>
          <w:rStyle w:val="fontkaiti1"/>
          <w:rFonts w:hint="default"/>
          <w:color w:val="000000"/>
        </w:rPr>
        <w:t>元</w:t>
      </w:r>
      <w:r>
        <w:rPr>
          <w:rStyle w:val="fontkaiti1"/>
          <w:rFonts w:hint="default"/>
          <w:color w:val="000000"/>
        </w:rPr>
        <w:t>/m</w:t>
      </w:r>
      <w:r>
        <w:rPr>
          <w:rStyle w:val="fontkaiti1"/>
          <w:rFonts w:hint="default"/>
          <w:color w:val="000000"/>
          <w:vertAlign w:val="superscript"/>
        </w:rPr>
        <w:t>3</w:t>
      </w:r>
      <w:r>
        <w:rPr>
          <w:rStyle w:val="fontkaiti1"/>
          <w:rFonts w:hint="default"/>
          <w:color w:val="000000"/>
        </w:rPr>
        <w:t>。边沟人工清淤挖运</w:t>
      </w:r>
      <w:r>
        <w:rPr>
          <w:rStyle w:val="fontkaiti1"/>
          <w:rFonts w:hint="default"/>
          <w:color w:val="000000"/>
        </w:rPr>
        <w:t>20m</w:t>
      </w:r>
      <w:r>
        <w:rPr>
          <w:rStyle w:val="fontkaiti1"/>
          <w:rFonts w:hint="default"/>
          <w:color w:val="000000"/>
        </w:rPr>
        <w:t>实际完成工程量</w:t>
      </w:r>
      <w:r>
        <w:rPr>
          <w:rStyle w:val="fontkaiti1"/>
          <w:rFonts w:hint="default"/>
          <w:color w:val="000000"/>
        </w:rPr>
        <w:t>82m</w:t>
      </w:r>
      <w:r>
        <w:rPr>
          <w:rStyle w:val="fontkaiti1"/>
          <w:rFonts w:hint="default"/>
          <w:color w:val="000000"/>
          <w:vertAlign w:val="superscript"/>
        </w:rPr>
        <w:t>3</w:t>
      </w:r>
      <w:r>
        <w:rPr>
          <w:rStyle w:val="fontkaiti1"/>
          <w:rFonts w:hint="default"/>
          <w:color w:val="000000"/>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事件二：</w:t>
      </w:r>
      <w:r>
        <w:rPr>
          <w:rStyle w:val="fontkaiti1"/>
          <w:rFonts w:hint="default"/>
          <w:color w:val="000000"/>
        </w:rPr>
        <w:t>A</w:t>
      </w:r>
      <w:r>
        <w:rPr>
          <w:rStyle w:val="fontkaiti1"/>
          <w:rFonts w:hint="default"/>
          <w:color w:val="000000"/>
        </w:rPr>
        <w:t>、</w:t>
      </w:r>
      <w:r>
        <w:rPr>
          <w:rStyle w:val="fontkaiti1"/>
          <w:rFonts w:hint="default"/>
          <w:color w:val="000000"/>
        </w:rPr>
        <w:t>B</w:t>
      </w:r>
      <w:r>
        <w:rPr>
          <w:rStyle w:val="fontkaiti1"/>
          <w:rFonts w:hint="default"/>
          <w:color w:val="000000"/>
        </w:rPr>
        <w:t>工作开工</w:t>
      </w:r>
      <w:r>
        <w:rPr>
          <w:rStyle w:val="fontkaiti1"/>
          <w:rFonts w:hint="default"/>
          <w:color w:val="000000"/>
        </w:rPr>
        <w:t>5</w:t>
      </w:r>
      <w:r>
        <w:rPr>
          <w:rStyle w:val="fontkaiti1"/>
          <w:rFonts w:hint="default"/>
          <w:color w:val="000000"/>
        </w:rPr>
        <w:t>天后开始下雨，因季节性下雨导致停工</w:t>
      </w:r>
      <w:r>
        <w:rPr>
          <w:rStyle w:val="fontkaiti1"/>
          <w:rFonts w:hint="default"/>
          <w:color w:val="000000"/>
        </w:rPr>
        <w:t>4</w:t>
      </w:r>
      <w:r>
        <w:rPr>
          <w:rStyle w:val="fontkaiti1"/>
          <w:rFonts w:hint="default"/>
          <w:color w:val="000000"/>
        </w:rPr>
        <w:t>天，后变为</w:t>
      </w:r>
      <w:r>
        <w:rPr>
          <w:rStyle w:val="fontkaiti1"/>
          <w:rFonts w:hint="default"/>
          <w:color w:val="000000"/>
        </w:rPr>
        <w:t>50</w:t>
      </w:r>
      <w:r>
        <w:rPr>
          <w:rStyle w:val="fontkaiti1"/>
          <w:rFonts w:hint="default"/>
          <w:color w:val="000000"/>
        </w:rPr>
        <w:t>年一遇特大暴雨，导致停工</w:t>
      </w:r>
      <w:r>
        <w:rPr>
          <w:rStyle w:val="fontkaiti1"/>
          <w:rFonts w:hint="default"/>
          <w:color w:val="000000"/>
        </w:rPr>
        <w:t>6</w:t>
      </w:r>
      <w:r>
        <w:rPr>
          <w:rStyle w:val="fontkaiti1"/>
          <w:rFonts w:hint="default"/>
          <w:color w:val="000000"/>
        </w:rPr>
        <w:t>天。承包商提出工程延期</w:t>
      </w:r>
      <w:r>
        <w:rPr>
          <w:rStyle w:val="fontkaiti1"/>
          <w:rFonts w:hint="default"/>
          <w:color w:val="000000"/>
        </w:rPr>
        <w:t>10</w:t>
      </w:r>
      <w:r>
        <w:rPr>
          <w:rStyle w:val="fontkaiti1"/>
          <w:rFonts w:hint="default"/>
          <w:color w:val="000000"/>
        </w:rPr>
        <w:t>天与窝工补偿</w:t>
      </w:r>
      <w:r>
        <w:rPr>
          <w:rStyle w:val="fontkaiti1"/>
          <w:rFonts w:hint="default"/>
          <w:color w:val="000000"/>
        </w:rPr>
        <w:t>2</w:t>
      </w:r>
      <w:r>
        <w:rPr>
          <w:rStyle w:val="fontkaiti1"/>
          <w:rFonts w:hint="default"/>
          <w:color w:val="000000"/>
        </w:rPr>
        <w:t>万元。</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事件三：由于设计变更，导致</w:t>
      </w:r>
      <w:r>
        <w:rPr>
          <w:rStyle w:val="fontkaiti1"/>
          <w:rFonts w:hint="default"/>
          <w:color w:val="000000"/>
        </w:rPr>
        <w:t>C</w:t>
      </w:r>
      <w:r>
        <w:rPr>
          <w:rStyle w:val="fontkaiti1"/>
          <w:rFonts w:hint="default"/>
          <w:color w:val="000000"/>
        </w:rPr>
        <w:t>工作推迟开工</w:t>
      </w:r>
      <w:r>
        <w:rPr>
          <w:rStyle w:val="fontkaiti1"/>
          <w:rFonts w:hint="default"/>
          <w:color w:val="000000"/>
        </w:rPr>
        <w:t>60</w:t>
      </w:r>
      <w:r>
        <w:rPr>
          <w:rStyle w:val="fontkaiti1"/>
          <w:rFonts w:hint="default"/>
          <w:color w:val="000000"/>
        </w:rPr>
        <w:t>天。</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事件四：</w:t>
      </w:r>
      <w:r>
        <w:rPr>
          <w:rStyle w:val="fontkaiti1"/>
          <w:rFonts w:hint="default"/>
          <w:color w:val="000000"/>
        </w:rPr>
        <w:t>D</w:t>
      </w:r>
      <w:r>
        <w:rPr>
          <w:rStyle w:val="fontkaiti1"/>
          <w:rFonts w:hint="default"/>
          <w:color w:val="000000"/>
        </w:rPr>
        <w:t>工作完成后，业主委托第三方检验，检验结果质量为不合格。承包商返工修复完工后，业主重新委托第三方检验。由于</w:t>
      </w:r>
      <w:r>
        <w:rPr>
          <w:rStyle w:val="fontkaiti1"/>
          <w:rFonts w:hint="default"/>
          <w:color w:val="000000"/>
        </w:rPr>
        <w:t>D</w:t>
      </w:r>
      <w:r>
        <w:rPr>
          <w:rStyle w:val="fontkaiti1"/>
          <w:rFonts w:hint="default"/>
          <w:color w:val="000000"/>
        </w:rPr>
        <w:t>工作返工，影响了</w:t>
      </w:r>
      <w:r>
        <w:rPr>
          <w:rStyle w:val="fontkaiti1"/>
          <w:rFonts w:hint="default"/>
          <w:color w:val="000000"/>
        </w:rPr>
        <w:t>G</w:t>
      </w:r>
      <w:r>
        <w:rPr>
          <w:rStyle w:val="fontkaiti1"/>
          <w:rFonts w:hint="default"/>
          <w:color w:val="000000"/>
        </w:rPr>
        <w:t>工作的开始时间，业主要求承包商赶工，监理工程师也需要一起加班。</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问题：</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1.</w:t>
      </w:r>
      <w:r>
        <w:rPr>
          <w:rStyle w:val="fontkaiti1"/>
          <w:rFonts w:hint="default"/>
          <w:color w:val="000000"/>
        </w:rPr>
        <w:t>事件一中，路基挖方的总价为多少元？边沟人工清淤挖运是否计价？说明理由。（计算结果保留整数）</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hint="default"/>
          <w:b/>
          <w:bCs/>
          <w:color w:val="A50021"/>
          <w:u w:val="double"/>
        </w:rPr>
        <w:t>【正确答案】</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1</w:t>
      </w:r>
      <w:r>
        <w:rPr>
          <w:rStyle w:val="fontkaiti1"/>
          <w:rFonts w:hint="default"/>
          <w:color w:val="000000"/>
        </w:rPr>
        <w:t>）路基挖方按原单价结算的工程量：</w:t>
      </w:r>
      <w:r>
        <w:rPr>
          <w:rStyle w:val="fontkaiti1"/>
          <w:rFonts w:hint="default"/>
          <w:color w:val="000000"/>
        </w:rPr>
        <w:t>60000×</w:t>
      </w:r>
      <w:r>
        <w:rPr>
          <w:rStyle w:val="fontkaiti1"/>
          <w:rFonts w:hint="default"/>
          <w:color w:val="000000"/>
        </w:rPr>
        <w:t>（</w:t>
      </w:r>
      <w:r>
        <w:rPr>
          <w:rStyle w:val="fontkaiti1"/>
          <w:rFonts w:hint="default"/>
          <w:color w:val="000000"/>
        </w:rPr>
        <w:t>1</w:t>
      </w:r>
      <w:r>
        <w:rPr>
          <w:rStyle w:val="fontkaiti1"/>
          <w:rFonts w:hint="default"/>
          <w:color w:val="000000"/>
        </w:rPr>
        <w:t>＋</w:t>
      </w:r>
      <w:r>
        <w:rPr>
          <w:rStyle w:val="fontkaiti1"/>
          <w:rFonts w:hint="default"/>
          <w:color w:val="000000"/>
        </w:rPr>
        <w:t>25%</w:t>
      </w:r>
      <w:r>
        <w:rPr>
          <w:rStyle w:val="fontkaiti1"/>
          <w:rFonts w:hint="default"/>
          <w:color w:val="000000"/>
        </w:rPr>
        <w:t>）＝</w:t>
      </w:r>
      <w:r>
        <w:rPr>
          <w:rStyle w:val="fontkaiti1"/>
          <w:rFonts w:hint="default"/>
          <w:color w:val="000000"/>
        </w:rPr>
        <w:t>75000m</w:t>
      </w:r>
      <w:r>
        <w:rPr>
          <w:rStyle w:val="fontkaiti1"/>
          <w:rFonts w:hint="default"/>
          <w:color w:val="000000"/>
          <w:vertAlign w:val="superscript"/>
        </w:rPr>
        <w:t>3</w:t>
      </w:r>
      <w:r>
        <w:rPr>
          <w:rStyle w:val="fontkaiti1"/>
          <w:rFonts w:hint="default"/>
          <w:color w:val="000000"/>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路基挖方按新单价结算的工程量：</w:t>
      </w:r>
      <w:r>
        <w:rPr>
          <w:rStyle w:val="fontkaiti1"/>
          <w:rFonts w:hint="default"/>
          <w:color w:val="000000"/>
        </w:rPr>
        <w:t>90000</w:t>
      </w:r>
      <w:r>
        <w:rPr>
          <w:rStyle w:val="fontkaiti1"/>
          <w:rFonts w:hint="default"/>
          <w:color w:val="000000"/>
        </w:rPr>
        <w:t>－</w:t>
      </w:r>
      <w:r>
        <w:rPr>
          <w:rStyle w:val="fontkaiti1"/>
          <w:rFonts w:hint="default"/>
          <w:color w:val="000000"/>
        </w:rPr>
        <w:t>75000</w:t>
      </w:r>
      <w:r>
        <w:rPr>
          <w:rStyle w:val="fontkaiti1"/>
          <w:rFonts w:hint="default"/>
          <w:color w:val="000000"/>
        </w:rPr>
        <w:t>＝</w:t>
      </w:r>
      <w:r>
        <w:rPr>
          <w:rStyle w:val="fontkaiti1"/>
          <w:rFonts w:hint="default"/>
          <w:color w:val="000000"/>
        </w:rPr>
        <w:t>15000m</w:t>
      </w:r>
      <w:r>
        <w:rPr>
          <w:rStyle w:val="fontkaiti1"/>
          <w:rFonts w:hint="default"/>
          <w:color w:val="000000"/>
          <w:vertAlign w:val="superscript"/>
        </w:rPr>
        <w:t>3</w:t>
      </w:r>
      <w:r>
        <w:rPr>
          <w:rStyle w:val="fontkaiti1"/>
          <w:rFonts w:hint="default"/>
          <w:color w:val="000000"/>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路基挖方总价：</w:t>
      </w:r>
      <w:r>
        <w:rPr>
          <w:rStyle w:val="fontkaiti1"/>
          <w:rFonts w:hint="default"/>
          <w:color w:val="000000"/>
        </w:rPr>
        <w:t>75000m</w:t>
      </w:r>
      <w:r>
        <w:rPr>
          <w:rStyle w:val="fontkaiti1"/>
          <w:rFonts w:hint="default"/>
          <w:color w:val="000000"/>
          <w:vertAlign w:val="superscript"/>
        </w:rPr>
        <w:t>3</w:t>
      </w:r>
      <w:r>
        <w:rPr>
          <w:rStyle w:val="fontkaiti1"/>
          <w:rFonts w:hint="default"/>
          <w:color w:val="000000"/>
        </w:rPr>
        <w:t>×15</w:t>
      </w:r>
      <w:r>
        <w:rPr>
          <w:rStyle w:val="fontkaiti1"/>
          <w:rFonts w:hint="default"/>
          <w:color w:val="000000"/>
        </w:rPr>
        <w:t>元</w:t>
      </w:r>
      <w:r>
        <w:rPr>
          <w:rStyle w:val="fontkaiti1"/>
          <w:rFonts w:hint="default"/>
          <w:color w:val="000000"/>
        </w:rPr>
        <w:t>/m</w:t>
      </w:r>
      <w:r>
        <w:rPr>
          <w:rStyle w:val="fontkaiti1"/>
          <w:rFonts w:hint="default"/>
          <w:color w:val="000000"/>
          <w:vertAlign w:val="superscript"/>
        </w:rPr>
        <w:t>3</w:t>
      </w:r>
      <w:r>
        <w:rPr>
          <w:rStyle w:val="fontkaiti1"/>
          <w:rFonts w:hint="default"/>
          <w:color w:val="000000"/>
        </w:rPr>
        <w:t>＋</w:t>
      </w:r>
      <w:r>
        <w:rPr>
          <w:rStyle w:val="fontkaiti1"/>
          <w:rFonts w:hint="default"/>
          <w:color w:val="000000"/>
        </w:rPr>
        <w:t>15000m</w:t>
      </w:r>
      <w:r>
        <w:rPr>
          <w:rStyle w:val="fontkaiti1"/>
          <w:rFonts w:hint="default"/>
          <w:color w:val="000000"/>
          <w:vertAlign w:val="superscript"/>
        </w:rPr>
        <w:t>3</w:t>
      </w:r>
      <w:r>
        <w:rPr>
          <w:rStyle w:val="fontkaiti1"/>
          <w:rFonts w:hint="default"/>
          <w:color w:val="000000"/>
        </w:rPr>
        <w:t>×14</w:t>
      </w:r>
      <w:r>
        <w:rPr>
          <w:rStyle w:val="fontkaiti1"/>
          <w:rFonts w:hint="default"/>
          <w:color w:val="000000"/>
        </w:rPr>
        <w:t>元</w:t>
      </w:r>
      <w:r>
        <w:rPr>
          <w:rStyle w:val="fontkaiti1"/>
          <w:rFonts w:hint="default"/>
          <w:color w:val="000000"/>
        </w:rPr>
        <w:t>/m</w:t>
      </w:r>
      <w:r>
        <w:rPr>
          <w:rStyle w:val="fontkaiti1"/>
          <w:rFonts w:hint="default"/>
          <w:color w:val="000000"/>
          <w:vertAlign w:val="superscript"/>
        </w:rPr>
        <w:t>3</w:t>
      </w:r>
      <w:r>
        <w:rPr>
          <w:rStyle w:val="fontkaiti1"/>
          <w:rFonts w:hint="default"/>
          <w:color w:val="000000"/>
        </w:rPr>
        <w:t>＝</w:t>
      </w:r>
      <w:r>
        <w:rPr>
          <w:rStyle w:val="fontkaiti1"/>
          <w:rFonts w:hint="default"/>
          <w:color w:val="000000"/>
        </w:rPr>
        <w:t>1335000</w:t>
      </w:r>
      <w:r>
        <w:rPr>
          <w:rStyle w:val="fontkaiti1"/>
          <w:rFonts w:hint="default"/>
          <w:color w:val="000000"/>
        </w:rPr>
        <w:t>元。</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2</w:t>
      </w:r>
      <w:r>
        <w:rPr>
          <w:rStyle w:val="fontkaiti1"/>
          <w:rFonts w:hint="default"/>
          <w:color w:val="000000"/>
        </w:rPr>
        <w:t>）边沟人工清淤挖运不予计价。</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理由是：此项工作出现在</w:t>
      </w:r>
      <w:r>
        <w:rPr>
          <w:rStyle w:val="fontkaiti1"/>
          <w:rFonts w:hint="default"/>
          <w:color w:val="000000"/>
        </w:rPr>
        <w:t>207</w:t>
      </w:r>
      <w:r>
        <w:rPr>
          <w:rStyle w:val="fontkaiti1"/>
          <w:rFonts w:hint="default"/>
          <w:color w:val="000000"/>
        </w:rPr>
        <w:t>－</w:t>
      </w:r>
      <w:r>
        <w:rPr>
          <w:rStyle w:val="fontkaiti1"/>
          <w:rFonts w:hint="default"/>
          <w:color w:val="000000"/>
        </w:rPr>
        <w:t>1</w:t>
      </w:r>
      <w:r>
        <w:rPr>
          <w:rStyle w:val="fontkaiti1"/>
          <w:rFonts w:hint="default"/>
          <w:color w:val="000000"/>
        </w:rPr>
        <w:t>－</w:t>
      </w:r>
      <w:r>
        <w:rPr>
          <w:rStyle w:val="fontkaiti1"/>
          <w:rFonts w:hint="default"/>
          <w:color w:val="000000"/>
        </w:rPr>
        <w:t>d</w:t>
      </w:r>
      <w:r>
        <w:rPr>
          <w:rStyle w:val="fontkaiti1"/>
          <w:rFonts w:hint="default"/>
          <w:color w:val="000000"/>
        </w:rPr>
        <w:t>中，按照规定，已经列出的工程量清单，只是没有填写价格的，表明此部分工程量投标人已经考虑到，因为其未填写价格，可以视为其价格已经包含在其他项目中。</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Style w:val="fontkaiti1"/>
          <w:rFonts w:hint="default"/>
          <w:color w:val="000000"/>
        </w:rPr>
        <w:t>2.</w:t>
      </w:r>
      <w:r>
        <w:rPr>
          <w:rStyle w:val="fontkaiti1"/>
          <w:rFonts w:hint="default"/>
          <w:color w:val="000000"/>
        </w:rPr>
        <w:t>事件二中，承包商可以获得的工期和窝工补偿各为多少？事件三中，承包商可以索赔的工期为多少？</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hint="default"/>
          <w:b/>
          <w:bCs/>
          <w:color w:val="A50021"/>
          <w:u w:val="double"/>
        </w:rPr>
        <w:t>【正确答案</w:t>
      </w:r>
      <w:r>
        <w:rPr>
          <w:rStyle w:val="fontkaiti1"/>
          <w:rFonts w:hint="default"/>
          <w:b/>
          <w:bCs/>
          <w:color w:val="A50021"/>
          <w:u w:val="double"/>
        </w:rPr>
        <w:t>】</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事件二中，承包商可以获得索赔补偿工期</w:t>
      </w:r>
      <w:r>
        <w:rPr>
          <w:rStyle w:val="fontkaiti1"/>
          <w:rFonts w:hint="default"/>
          <w:color w:val="000000"/>
        </w:rPr>
        <w:t>6</w:t>
      </w:r>
      <w:r>
        <w:rPr>
          <w:rStyle w:val="fontkaiti1"/>
          <w:rFonts w:hint="default"/>
          <w:color w:val="000000"/>
        </w:rPr>
        <w:t>天，无法获得窝工补偿（或窝工补偿为零）。</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事件三中，承包商可以索赔工期</w:t>
      </w:r>
      <w:r>
        <w:rPr>
          <w:rStyle w:val="fontkaiti1"/>
          <w:rFonts w:hint="default"/>
          <w:color w:val="000000"/>
        </w:rPr>
        <w:t>10</w:t>
      </w:r>
      <w:r>
        <w:rPr>
          <w:rStyle w:val="fontkaiti1"/>
          <w:rFonts w:hint="default"/>
          <w:color w:val="000000"/>
        </w:rPr>
        <w:t>天。</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3.</w:t>
      </w:r>
      <w:r>
        <w:rPr>
          <w:rStyle w:val="fontkaiti1"/>
          <w:rFonts w:hint="default"/>
          <w:color w:val="000000"/>
        </w:rPr>
        <w:t>将工程施工进度单代号网络计划转换为双代号网络图。</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hint="default"/>
          <w:b/>
          <w:bCs/>
          <w:color w:val="A50021"/>
          <w:u w:val="double"/>
        </w:rPr>
        <w:t>【正确答案】</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3752850" cy="1828800"/>
            <wp:effectExtent l="0" t="0" r="0" b="0"/>
            <wp:docPr id="12" name="图片_x00205a99ef77-1acc-45da-a217-ffe00e01ede4" descr="72380924-8e1c-462b-8a3f-28023e806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_x00205a99ef77-1acc-45da-a217-ffe00e01ede4" descr="72380924-8e1c-462b-8a3f-28023e806783"/>
                    <pic:cNvPicPr>
                      <a:picLocks noChangeAspect="1" noChangeArrowheads="1"/>
                    </pic:cNvPicPr>
                  </pic:nvPicPr>
                  <pic:blipFill>
                    <a:blip r:embed="rId18" cstate="print"/>
                    <a:srcRect/>
                    <a:stretch>
                      <a:fillRect/>
                    </a:stretch>
                  </pic:blipFill>
                  <pic:spPr>
                    <a:xfrm>
                      <a:off x="0" y="0"/>
                      <a:ext cx="3752850" cy="1828800"/>
                    </a:xfrm>
                    <a:prstGeom prst="rect">
                      <a:avLst/>
                    </a:prstGeom>
                    <a:noFill/>
                    <a:ln w="9525">
                      <a:noFill/>
                      <a:miter lim="800000"/>
                      <a:headEnd/>
                      <a:tailEnd/>
                    </a:ln>
                  </pic:spPr>
                </pic:pic>
              </a:graphicData>
            </a:graphic>
          </wp:inline>
        </w:drawing>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4.</w:t>
      </w:r>
      <w:r>
        <w:rPr>
          <w:rStyle w:val="fontkaiti1"/>
          <w:rFonts w:hint="default"/>
          <w:color w:val="000000"/>
        </w:rPr>
        <w:t>事件四中，业主可以向承包商提出索赔的费用有哪些？</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fontkaiti1"/>
          <w:rFonts w:hint="default"/>
          <w:b/>
          <w:bCs/>
          <w:color w:val="A50021"/>
          <w:u w:val="double"/>
        </w:rPr>
        <w:t>【正确答案】</w:t>
      </w:r>
      <w:r>
        <w:rPr>
          <w:rFonts w:ascii="宋体" w:hAnsi="宋体" w:hint="eastAsia"/>
          <w:color w:val="000000"/>
          <w:sz w:val="21"/>
          <w:szCs w:val="21"/>
        </w:rPr>
        <w:t xml:space="preserve"> </w:t>
      </w:r>
    </w:p>
    <w:p w:rsidR="00F01A7D" w:rsidRDefault="00332F17">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业主可以向承包商索赔：重新检验费和监理加班费。</w:t>
      </w:r>
      <w:r>
        <w:rPr>
          <w:rFonts w:ascii="宋体" w:hAnsi="宋体" w:hint="eastAsia"/>
          <w:color w:val="000000"/>
          <w:sz w:val="21"/>
          <w:szCs w:val="21"/>
        </w:rPr>
        <w:t xml:space="preserve"> </w:t>
      </w:r>
    </w:p>
    <w:sectPr w:rsidR="00F01A7D" w:rsidSect="00F01A7D">
      <w:headerReference w:type="even" r:id="rId19"/>
      <w:headerReference w:type="default" r:id="rId20"/>
      <w:footerReference w:type="even" r:id="rId21"/>
      <w:footerReference w:type="default" r:id="rId22"/>
      <w:headerReference w:type="first" r:id="rId23"/>
      <w:footerReference w:type="first" r:id="rId24"/>
      <w:pgSz w:w="11907" w:h="16840"/>
      <w:pgMar w:top="1304" w:right="1134" w:bottom="1304" w:left="1134" w:header="425" w:footer="709"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F17" w:rsidRDefault="00332F17" w:rsidP="00F01A7D">
      <w:r>
        <w:separator/>
      </w:r>
    </w:p>
  </w:endnote>
  <w:endnote w:type="continuationSeparator" w:id="0">
    <w:p w:rsidR="00332F17" w:rsidRDefault="00332F17" w:rsidP="00F01A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270" w:rsidRDefault="00435270">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7D" w:rsidRDefault="00332F17">
    <w:pPr>
      <w:pStyle w:val="a8"/>
      <w:rPr>
        <w:rFonts w:ascii="Arial Unicode MS" w:hAnsi="Arial Unicode MS" w:cs="Arial Unicode MS"/>
        <w:b/>
        <w:bCs/>
        <w:color w:val="000000"/>
        <w:sz w:val="24"/>
      </w:rPr>
    </w:pPr>
    <w:r>
      <w:rPr>
        <w:rFonts w:ascii="Arial Unicode MS" w:hAnsi="Arial Unicode MS" w:cs="Arial Unicode MS" w:hint="eastAsia"/>
        <w:b/>
        <w:bCs/>
        <w:color w:val="000000"/>
        <w:sz w:val="24"/>
      </w:rPr>
      <w:t xml:space="preserve">                                              </w:t>
    </w:r>
    <w:r>
      <w:rPr>
        <w:rFonts w:ascii="Arial Unicode MS" w:hAnsi="Arial Unicode MS" w:cs="Arial Unicode MS" w:hint="eastAsia"/>
        <w:color w:val="000000"/>
      </w:rPr>
      <w:t>第</w:t>
    </w:r>
    <w:r w:rsidR="00F01A7D">
      <w:rPr>
        <w:rStyle w:val="ad"/>
        <w:color w:val="000000"/>
      </w:rPr>
      <w:fldChar w:fldCharType="begin"/>
    </w:r>
    <w:r>
      <w:rPr>
        <w:rStyle w:val="ad"/>
        <w:color w:val="000000"/>
      </w:rPr>
      <w:instrText xml:space="preserve"> PAGE </w:instrText>
    </w:r>
    <w:r w:rsidR="00F01A7D">
      <w:rPr>
        <w:rStyle w:val="ad"/>
        <w:color w:val="000000"/>
      </w:rPr>
      <w:fldChar w:fldCharType="separate"/>
    </w:r>
    <w:r w:rsidR="00435270">
      <w:rPr>
        <w:rStyle w:val="ad"/>
        <w:noProof/>
        <w:color w:val="000000"/>
      </w:rPr>
      <w:t>1</w:t>
    </w:r>
    <w:r w:rsidR="00F01A7D">
      <w:rPr>
        <w:rStyle w:val="ad"/>
        <w:color w:val="000000"/>
      </w:rPr>
      <w:fldChar w:fldCharType="end"/>
    </w:r>
    <w:r>
      <w:rPr>
        <w:rStyle w:val="ad"/>
        <w:rFonts w:hint="eastAsia"/>
        <w:color w:val="000000"/>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270" w:rsidRDefault="0043527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F17" w:rsidRDefault="00332F17" w:rsidP="00F01A7D">
      <w:r>
        <w:separator/>
      </w:r>
    </w:p>
  </w:footnote>
  <w:footnote w:type="continuationSeparator" w:id="0">
    <w:p w:rsidR="00332F17" w:rsidRDefault="00332F17" w:rsidP="00F01A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270" w:rsidRDefault="00435270">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7D" w:rsidRDefault="00332F17" w:rsidP="00435270">
    <w:pPr>
      <w:pStyle w:val="a9"/>
      <w:tabs>
        <w:tab w:val="clear" w:pos="4153"/>
        <w:tab w:val="clear" w:pos="8306"/>
        <w:tab w:val="center" w:pos="4819"/>
        <w:tab w:val="right" w:pos="9639"/>
      </w:tabs>
      <w:spacing w:beforeLines="100"/>
      <w:jc w:val="both"/>
      <w:rPr>
        <w:color w:val="000000"/>
      </w:rPr>
    </w:pPr>
    <w:r>
      <w:rPr>
        <w:rFonts w:ascii="楷体" w:eastAsia="楷体" w:hAnsi="楷体" w:hint="eastAsia"/>
        <w:b/>
        <w:bCs/>
        <w:color w:val="000000"/>
        <w:sz w:val="21"/>
        <w:szCs w:val="21"/>
      </w:rPr>
      <w:t xml:space="preserve">一级建造师《公路工程》　　　　　　　　　　　　　　　　　　　　　　　　　　　　　　　　　　</w:t>
    </w:r>
    <w:r>
      <w:rPr>
        <w:rFonts w:ascii="楷体" w:eastAsia="楷体" w:hAnsi="楷体" w:hint="eastAsia"/>
        <w:b/>
        <w:bCs/>
        <w:color w:val="000000"/>
        <w:sz w:val="21"/>
        <w:szCs w:val="21"/>
      </w:rPr>
      <w:t> </w:t>
    </w:r>
    <w:r>
      <w:rPr>
        <w:rFonts w:ascii="楷体" w:eastAsia="楷体" w:hAnsi="楷体" w:hint="eastAsia"/>
        <w:b/>
        <w:bCs/>
        <w:color w:val="000000"/>
        <w:sz w:val="21"/>
        <w:szCs w:val="21"/>
      </w:rPr>
      <w:br/>
    </w:r>
    <w:r>
      <w:rPr>
        <w:rFonts w:ascii="楷体" w:eastAsia="楷体" w:hAnsi="楷体" w:hint="eastAsia"/>
        <w:b/>
        <w:bCs/>
        <w:color w:val="000000"/>
        <w:sz w:val="21"/>
        <w:szCs w:val="21"/>
      </w:rPr>
      <w:t xml:space="preserve">　　　　　　　　　　　　　第三篇</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公路工程项目管理实务——第九章</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公路工程招标投标与合同管理</w:t>
    </w:r>
    <w:r>
      <w:rPr>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270" w:rsidRDefault="00435270">
    <w:pPr>
      <w:pStyle w:val="a9"/>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characterSpacingControl w:val="compressPunctuation"/>
  <w:hdrShapeDefaults>
    <o:shapedefaults v:ext="edit" spidmax="3073"/>
  </w:hdrShapeDefaults>
  <w:footnotePr>
    <w:footnote w:id="-1"/>
    <w:footnote w:id="0"/>
  </w:footnotePr>
  <w:endnotePr>
    <w:endnote w:id="-1"/>
    <w:endnote w:id="0"/>
  </w:endnotePr>
  <w:compat>
    <w:useFELayout/>
  </w:compat>
  <w:rsids>
    <w:rsidRoot w:val="00B862D5"/>
    <w:rsid w:val="00332F17"/>
    <w:rsid w:val="00435270"/>
    <w:rsid w:val="00B862D5"/>
    <w:rsid w:val="00F01A7D"/>
    <w:rsid w:val="06E13E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toc 1" w:semiHidden="1" w:uiPriority="99"/>
    <w:lsdException w:name="annotation text" w:semiHidden="1" w:uiPriority="99"/>
    <w:lsdException w:name="header" w:uiPriority="99"/>
    <w:lsdException w:name="footer" w:uiPriority="99"/>
    <w:lsdException w:name="caption" w:semiHidden="1" w:unhideWhenUsed="1" w:qFormat="1"/>
    <w:lsdException w:name="annotation reference" w:semiHidden="1" w:qFormat="1"/>
    <w:lsdException w:name="page number" w:uiPriority="99" w:unhideWhenUsed="1"/>
    <w:lsdException w:name="Title" w:qFormat="1"/>
    <w:lsdException w:name="Default Paragraph Font" w:semiHidden="1" w:uiPriority="1" w:unhideWhenUsed="1"/>
    <w:lsdException w:name="Body Text" w:uiPriority="99"/>
    <w:lsdException w:name="Message Header" w:uiPriority="99" w:qFormat="1"/>
    <w:lsdException w:name="Subtitle" w:qFormat="1"/>
    <w:lsdException w:name="Hyperlink" w:uiPriority="99"/>
    <w:lsdException w:name="FollowedHyperlink" w:uiPriority="99" w:qFormat="1"/>
    <w:lsdException w:name="Strong" w:qFormat="1"/>
    <w:lsdException w:name="Emphasis" w:uiPriority="20" w:qFormat="1"/>
    <w:lsdException w:name="Plain Text" w:uiPriority="99"/>
    <w:lsdException w:name="HTML Top of Form" w:semiHidden="1" w:uiPriority="99" w:unhideWhenUsed="1"/>
    <w:lsdException w:name="HTML Bottom of Form" w:semiHidden="1" w:uiPriority="99" w:unhideWhenUsed="1"/>
    <w:lsdException w:name="Normal (Web)" w:uiPriority="99" w:qFormat="1"/>
    <w:lsdException w:name="HTML Definition" w:qFormat="1"/>
    <w:lsdException w:name="Normal Table" w:semiHidden="1" w:uiPriority="99" w:unhideWhenUsed="1" w:qFormat="1"/>
    <w:lsdException w:name="annotation subject" w:semiHidden="1"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01A7D"/>
    <w:rPr>
      <w:sz w:val="24"/>
      <w:szCs w:val="24"/>
    </w:rPr>
  </w:style>
  <w:style w:type="paragraph" w:styleId="1">
    <w:name w:val="heading 1"/>
    <w:basedOn w:val="a"/>
    <w:next w:val="a"/>
    <w:link w:val="1Char"/>
    <w:uiPriority w:val="9"/>
    <w:qFormat/>
    <w:rsid w:val="00F01A7D"/>
    <w:pPr>
      <w:keepNext/>
      <w:keepLines/>
      <w:widowControl w:val="0"/>
      <w:spacing w:before="340" w:after="330" w:line="576" w:lineRule="auto"/>
      <w:jc w:val="both"/>
      <w:outlineLvl w:val="0"/>
    </w:pPr>
    <w:rPr>
      <w:rFonts w:eastAsiaTheme="minorEastAsia"/>
      <w:b/>
      <w:bCs/>
      <w:kern w:val="44"/>
      <w:sz w:val="44"/>
      <w:szCs w:val="44"/>
    </w:rPr>
  </w:style>
  <w:style w:type="paragraph" w:styleId="2">
    <w:name w:val="heading 2"/>
    <w:basedOn w:val="a"/>
    <w:next w:val="a"/>
    <w:link w:val="2Char"/>
    <w:uiPriority w:val="9"/>
    <w:qFormat/>
    <w:rsid w:val="00F01A7D"/>
    <w:pPr>
      <w:spacing w:before="100" w:beforeAutospacing="1" w:after="100" w:afterAutospacing="1"/>
      <w:outlineLvl w:val="1"/>
    </w:pPr>
    <w:rPr>
      <w:rFonts w:ascii="宋体" w:hAnsi="宋体" w:cs="宋体"/>
      <w:b/>
      <w:bCs/>
    </w:rPr>
  </w:style>
  <w:style w:type="paragraph" w:styleId="3">
    <w:name w:val="heading 3"/>
    <w:basedOn w:val="a"/>
    <w:next w:val="a"/>
    <w:link w:val="3Char"/>
    <w:uiPriority w:val="9"/>
    <w:qFormat/>
    <w:rsid w:val="00F01A7D"/>
    <w:pPr>
      <w:spacing w:before="100" w:beforeAutospacing="1" w:after="100" w:afterAutospacing="1"/>
      <w:outlineLvl w:val="2"/>
    </w:pPr>
    <w:rPr>
      <w:rFonts w:ascii="宋体" w:hAnsi="宋体" w:cs="宋体"/>
      <w:b/>
      <w:bCs/>
    </w:rPr>
  </w:style>
  <w:style w:type="paragraph" w:styleId="4">
    <w:name w:val="heading 4"/>
    <w:basedOn w:val="a"/>
    <w:next w:val="a"/>
    <w:link w:val="4Char"/>
    <w:uiPriority w:val="9"/>
    <w:qFormat/>
    <w:rsid w:val="00F01A7D"/>
    <w:pPr>
      <w:spacing w:before="100" w:beforeAutospacing="1" w:after="100" w:afterAutospacing="1"/>
      <w:outlineLvl w:val="3"/>
    </w:pPr>
    <w:rPr>
      <w:rFonts w:ascii="宋体" w:hAnsi="宋体" w:cs="宋体"/>
      <w:b/>
      <w:bCs/>
    </w:rPr>
  </w:style>
  <w:style w:type="paragraph" w:styleId="5">
    <w:name w:val="heading 5"/>
    <w:basedOn w:val="a"/>
    <w:next w:val="a"/>
    <w:link w:val="5Char"/>
    <w:uiPriority w:val="9"/>
    <w:qFormat/>
    <w:rsid w:val="00F01A7D"/>
    <w:pPr>
      <w:spacing w:before="100" w:beforeAutospacing="1" w:after="100" w:afterAutospacing="1"/>
      <w:outlineLvl w:val="4"/>
    </w:pPr>
    <w:rPr>
      <w:rFonts w:ascii="宋体" w:hAnsi="宋体" w:cs="宋体"/>
      <w:b/>
      <w:bCs/>
    </w:rPr>
  </w:style>
  <w:style w:type="paragraph" w:styleId="6">
    <w:name w:val="heading 6"/>
    <w:basedOn w:val="a"/>
    <w:next w:val="a"/>
    <w:link w:val="6Char"/>
    <w:uiPriority w:val="9"/>
    <w:qFormat/>
    <w:rsid w:val="00F01A7D"/>
    <w:pPr>
      <w:spacing w:before="100" w:beforeAutospacing="1" w:after="100" w:afterAutospacing="1"/>
      <w:outlineLvl w:val="5"/>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sid w:val="00F01A7D"/>
    <w:pPr>
      <w:widowControl/>
    </w:pPr>
    <w:rPr>
      <w:b/>
      <w:bCs/>
      <w:kern w:val="0"/>
      <w:sz w:val="24"/>
    </w:rPr>
  </w:style>
  <w:style w:type="paragraph" w:styleId="a4">
    <w:name w:val="annotation text"/>
    <w:basedOn w:val="a"/>
    <w:link w:val="Char0"/>
    <w:uiPriority w:val="99"/>
    <w:semiHidden/>
    <w:rsid w:val="00F01A7D"/>
    <w:pPr>
      <w:widowControl w:val="0"/>
    </w:pPr>
    <w:rPr>
      <w:kern w:val="2"/>
      <w:sz w:val="21"/>
    </w:rPr>
  </w:style>
  <w:style w:type="paragraph" w:styleId="a5">
    <w:name w:val="Body Text"/>
    <w:basedOn w:val="a"/>
    <w:link w:val="Char1"/>
    <w:uiPriority w:val="99"/>
    <w:rsid w:val="00F01A7D"/>
    <w:pPr>
      <w:widowControl w:val="0"/>
      <w:jc w:val="both"/>
    </w:pPr>
    <w:rPr>
      <w:kern w:val="2"/>
      <w:sz w:val="18"/>
    </w:rPr>
  </w:style>
  <w:style w:type="paragraph" w:styleId="HTML">
    <w:name w:val="HTML Address"/>
    <w:basedOn w:val="a"/>
    <w:link w:val="HTMLChar"/>
    <w:rsid w:val="00F01A7D"/>
    <w:rPr>
      <w:rFonts w:ascii="宋体" w:hAnsi="宋体" w:cs="宋体"/>
    </w:rPr>
  </w:style>
  <w:style w:type="paragraph" w:styleId="a6">
    <w:name w:val="Plain Text"/>
    <w:basedOn w:val="a"/>
    <w:link w:val="Char10"/>
    <w:uiPriority w:val="99"/>
    <w:rsid w:val="00F01A7D"/>
    <w:pPr>
      <w:widowControl w:val="0"/>
      <w:jc w:val="both"/>
    </w:pPr>
    <w:rPr>
      <w:rFonts w:ascii="宋体" w:hAnsi="Courier New"/>
      <w:kern w:val="2"/>
      <w:sz w:val="21"/>
      <w:szCs w:val="21"/>
    </w:rPr>
  </w:style>
  <w:style w:type="paragraph" w:styleId="a7">
    <w:name w:val="Balloon Text"/>
    <w:basedOn w:val="a"/>
    <w:link w:val="Char2"/>
    <w:uiPriority w:val="99"/>
    <w:semiHidden/>
    <w:rsid w:val="00F01A7D"/>
    <w:rPr>
      <w:sz w:val="18"/>
      <w:szCs w:val="18"/>
    </w:rPr>
  </w:style>
  <w:style w:type="paragraph" w:styleId="a8">
    <w:name w:val="footer"/>
    <w:basedOn w:val="a"/>
    <w:link w:val="Char3"/>
    <w:uiPriority w:val="99"/>
    <w:rsid w:val="00F01A7D"/>
    <w:pPr>
      <w:tabs>
        <w:tab w:val="center" w:pos="4153"/>
        <w:tab w:val="right" w:pos="8306"/>
      </w:tabs>
      <w:snapToGrid w:val="0"/>
      <w:ind w:right="567"/>
      <w:jc w:val="right"/>
    </w:pPr>
    <w:rPr>
      <w:sz w:val="18"/>
      <w:szCs w:val="18"/>
    </w:rPr>
  </w:style>
  <w:style w:type="paragraph" w:styleId="a9">
    <w:name w:val="header"/>
    <w:basedOn w:val="a"/>
    <w:link w:val="Char4"/>
    <w:uiPriority w:val="99"/>
    <w:rsid w:val="00F01A7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semiHidden/>
    <w:rsid w:val="00F01A7D"/>
    <w:rPr>
      <w:b/>
    </w:rPr>
  </w:style>
  <w:style w:type="paragraph" w:styleId="aa">
    <w:name w:val="Message Header"/>
    <w:basedOn w:val="a"/>
    <w:link w:val="Char5"/>
    <w:uiPriority w:val="99"/>
    <w:qFormat/>
    <w:rsid w:val="00F01A7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HTML0">
    <w:name w:val="HTML Preformatted"/>
    <w:basedOn w:val="a"/>
    <w:link w:val="HTMLChar0"/>
    <w:rsid w:val="00F0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ab">
    <w:name w:val="Normal (Web)"/>
    <w:basedOn w:val="a"/>
    <w:uiPriority w:val="99"/>
    <w:qFormat/>
    <w:rsid w:val="00F01A7D"/>
    <w:rPr>
      <w:rFonts w:ascii="宋体" w:hAnsi="宋体" w:cs="宋体"/>
      <w:sz w:val="21"/>
      <w:szCs w:val="21"/>
    </w:rPr>
  </w:style>
  <w:style w:type="character" w:styleId="ac">
    <w:name w:val="Strong"/>
    <w:basedOn w:val="a0"/>
    <w:qFormat/>
    <w:rsid w:val="00F01A7D"/>
    <w:rPr>
      <w:b/>
      <w:bCs/>
    </w:rPr>
  </w:style>
  <w:style w:type="character" w:styleId="ad">
    <w:name w:val="page number"/>
    <w:basedOn w:val="a0"/>
    <w:uiPriority w:val="99"/>
    <w:unhideWhenUsed/>
    <w:rsid w:val="00F01A7D"/>
  </w:style>
  <w:style w:type="character" w:styleId="ae">
    <w:name w:val="FollowedHyperlink"/>
    <w:basedOn w:val="a0"/>
    <w:uiPriority w:val="99"/>
    <w:qFormat/>
    <w:rsid w:val="00F01A7D"/>
    <w:rPr>
      <w:color w:val="800080" w:themeColor="followedHyperlink"/>
      <w:u w:val="single"/>
    </w:rPr>
  </w:style>
  <w:style w:type="character" w:styleId="af">
    <w:name w:val="Emphasis"/>
    <w:basedOn w:val="a0"/>
    <w:uiPriority w:val="20"/>
    <w:qFormat/>
    <w:rsid w:val="00F01A7D"/>
  </w:style>
  <w:style w:type="character" w:styleId="HTML1">
    <w:name w:val="HTML Definition"/>
    <w:basedOn w:val="a0"/>
    <w:qFormat/>
    <w:rsid w:val="00F01A7D"/>
  </w:style>
  <w:style w:type="character" w:styleId="HTML2">
    <w:name w:val="HTML Variable"/>
    <w:basedOn w:val="a0"/>
    <w:rsid w:val="00F01A7D"/>
  </w:style>
  <w:style w:type="character" w:styleId="af0">
    <w:name w:val="Hyperlink"/>
    <w:basedOn w:val="a0"/>
    <w:uiPriority w:val="99"/>
    <w:rsid w:val="00F01A7D"/>
    <w:rPr>
      <w:color w:val="0000FF"/>
      <w:u w:val="single"/>
    </w:rPr>
  </w:style>
  <w:style w:type="character" w:styleId="HTML3">
    <w:name w:val="HTML Code"/>
    <w:basedOn w:val="a0"/>
    <w:rsid w:val="00F01A7D"/>
    <w:rPr>
      <w:rFonts w:ascii="宋体" w:eastAsia="宋体" w:hAnsi="宋体" w:cs="宋体" w:hint="eastAsia"/>
      <w:sz w:val="24"/>
      <w:szCs w:val="24"/>
    </w:rPr>
  </w:style>
  <w:style w:type="character" w:styleId="af1">
    <w:name w:val="annotation reference"/>
    <w:basedOn w:val="a0"/>
    <w:semiHidden/>
    <w:qFormat/>
    <w:rsid w:val="00F01A7D"/>
    <w:rPr>
      <w:sz w:val="21"/>
      <w:szCs w:val="21"/>
    </w:rPr>
  </w:style>
  <w:style w:type="character" w:styleId="HTML4">
    <w:name w:val="HTML Cite"/>
    <w:basedOn w:val="a0"/>
    <w:rsid w:val="00F01A7D"/>
  </w:style>
  <w:style w:type="table" w:styleId="af2">
    <w:name w:val="Table Grid"/>
    <w:basedOn w:val="a1"/>
    <w:qFormat/>
    <w:rsid w:val="00F01A7D"/>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har">
    <w:name w:val="HTML 地址 Char"/>
    <w:basedOn w:val="a0"/>
    <w:link w:val="HTML"/>
    <w:locked/>
    <w:rsid w:val="00F01A7D"/>
    <w:rPr>
      <w:i/>
      <w:iCs/>
      <w:sz w:val="24"/>
      <w:szCs w:val="24"/>
    </w:rPr>
  </w:style>
  <w:style w:type="character" w:customStyle="1" w:styleId="1Char">
    <w:name w:val="标题 1 Char"/>
    <w:basedOn w:val="a0"/>
    <w:link w:val="1"/>
    <w:uiPriority w:val="9"/>
    <w:qFormat/>
    <w:locked/>
    <w:rsid w:val="00F01A7D"/>
    <w:rPr>
      <w:rFonts w:ascii="宋体" w:eastAsia="宋体" w:hAnsi="宋体" w:hint="eastAsia"/>
      <w:b/>
      <w:bCs/>
      <w:kern w:val="44"/>
      <w:sz w:val="44"/>
      <w:szCs w:val="44"/>
      <w:lang w:val="en-US" w:eastAsia="zh-CN" w:bidi="ar-SA"/>
    </w:rPr>
  </w:style>
  <w:style w:type="character" w:customStyle="1" w:styleId="2Char">
    <w:name w:val="标题 2 Char"/>
    <w:basedOn w:val="a0"/>
    <w:link w:val="2"/>
    <w:uiPriority w:val="9"/>
    <w:locked/>
    <w:rsid w:val="00F01A7D"/>
    <w:rPr>
      <w:rFonts w:ascii="宋体" w:eastAsia="宋体" w:hAnsi="宋体" w:cs="宋体" w:hint="eastAsia"/>
      <w:b/>
      <w:bCs/>
      <w:sz w:val="24"/>
      <w:szCs w:val="24"/>
    </w:rPr>
  </w:style>
  <w:style w:type="character" w:customStyle="1" w:styleId="3Char">
    <w:name w:val="标题 3 Char"/>
    <w:basedOn w:val="a0"/>
    <w:link w:val="3"/>
    <w:uiPriority w:val="9"/>
    <w:locked/>
    <w:rsid w:val="00F01A7D"/>
    <w:rPr>
      <w:rFonts w:ascii="宋体" w:eastAsia="宋体" w:hAnsi="宋体" w:cs="宋体" w:hint="eastAsia"/>
      <w:b/>
      <w:bCs/>
      <w:sz w:val="24"/>
      <w:szCs w:val="24"/>
    </w:rPr>
  </w:style>
  <w:style w:type="character" w:customStyle="1" w:styleId="4Char">
    <w:name w:val="标题 4 Char"/>
    <w:basedOn w:val="a0"/>
    <w:link w:val="4"/>
    <w:uiPriority w:val="9"/>
    <w:locked/>
    <w:rsid w:val="00F01A7D"/>
    <w:rPr>
      <w:rFonts w:ascii="宋体" w:eastAsia="宋体" w:hAnsi="宋体" w:cs="宋体" w:hint="eastAsia"/>
      <w:b/>
      <w:bCs/>
      <w:sz w:val="24"/>
      <w:szCs w:val="24"/>
    </w:rPr>
  </w:style>
  <w:style w:type="character" w:customStyle="1" w:styleId="5Char">
    <w:name w:val="标题 5 Char"/>
    <w:basedOn w:val="a0"/>
    <w:link w:val="5"/>
    <w:uiPriority w:val="9"/>
    <w:locked/>
    <w:rsid w:val="00F01A7D"/>
    <w:rPr>
      <w:rFonts w:ascii="宋体" w:eastAsia="宋体" w:hAnsi="宋体" w:cs="宋体" w:hint="eastAsia"/>
      <w:b/>
      <w:bCs/>
      <w:sz w:val="24"/>
      <w:szCs w:val="24"/>
    </w:rPr>
  </w:style>
  <w:style w:type="character" w:customStyle="1" w:styleId="6Char">
    <w:name w:val="标题 6 Char"/>
    <w:basedOn w:val="a0"/>
    <w:link w:val="6"/>
    <w:uiPriority w:val="9"/>
    <w:locked/>
    <w:rsid w:val="00F01A7D"/>
    <w:rPr>
      <w:rFonts w:ascii="宋体" w:eastAsia="宋体" w:hAnsi="宋体" w:cs="宋体" w:hint="eastAsia"/>
      <w:b/>
      <w:bCs/>
      <w:sz w:val="24"/>
      <w:szCs w:val="24"/>
    </w:rPr>
  </w:style>
  <w:style w:type="character" w:customStyle="1" w:styleId="HTMLChar0">
    <w:name w:val="HTML 预设格式 Char"/>
    <w:basedOn w:val="a0"/>
    <w:link w:val="HTML0"/>
    <w:locked/>
    <w:rsid w:val="00F01A7D"/>
    <w:rPr>
      <w:rFonts w:ascii="Courier New" w:hAnsi="Courier New" w:cs="Courier New" w:hint="default"/>
    </w:rPr>
  </w:style>
  <w:style w:type="character" w:customStyle="1" w:styleId="Char0">
    <w:name w:val="批注文字 Char"/>
    <w:basedOn w:val="a0"/>
    <w:link w:val="a4"/>
    <w:uiPriority w:val="99"/>
    <w:locked/>
    <w:rsid w:val="00F01A7D"/>
    <w:rPr>
      <w:sz w:val="24"/>
      <w:szCs w:val="24"/>
    </w:rPr>
  </w:style>
  <w:style w:type="character" w:customStyle="1" w:styleId="Char4">
    <w:name w:val="页眉 Char"/>
    <w:basedOn w:val="a0"/>
    <w:link w:val="a9"/>
    <w:uiPriority w:val="99"/>
    <w:locked/>
    <w:rsid w:val="00F01A7D"/>
    <w:rPr>
      <w:sz w:val="18"/>
      <w:szCs w:val="18"/>
    </w:rPr>
  </w:style>
  <w:style w:type="character" w:customStyle="1" w:styleId="Char3">
    <w:name w:val="页脚 Char"/>
    <w:basedOn w:val="a0"/>
    <w:link w:val="a8"/>
    <w:uiPriority w:val="99"/>
    <w:locked/>
    <w:rsid w:val="00F01A7D"/>
    <w:rPr>
      <w:sz w:val="18"/>
      <w:szCs w:val="18"/>
    </w:rPr>
  </w:style>
  <w:style w:type="character" w:customStyle="1" w:styleId="Char1">
    <w:name w:val="正文文本 Char"/>
    <w:basedOn w:val="a0"/>
    <w:link w:val="a5"/>
    <w:uiPriority w:val="99"/>
    <w:locked/>
    <w:rsid w:val="00F01A7D"/>
    <w:rPr>
      <w:sz w:val="24"/>
      <w:szCs w:val="24"/>
    </w:rPr>
  </w:style>
  <w:style w:type="character" w:customStyle="1" w:styleId="Char5">
    <w:name w:val="信息标题 Char"/>
    <w:basedOn w:val="a0"/>
    <w:link w:val="aa"/>
    <w:uiPriority w:val="99"/>
    <w:locked/>
    <w:rsid w:val="00F01A7D"/>
    <w:rPr>
      <w:rFonts w:asciiTheme="majorHAnsi" w:eastAsiaTheme="majorEastAsia" w:hAnsiTheme="majorHAnsi" w:cstheme="majorBidi" w:hint="default"/>
      <w:sz w:val="24"/>
      <w:szCs w:val="24"/>
      <w:shd w:val="pct20" w:color="auto" w:fill="auto"/>
    </w:rPr>
  </w:style>
  <w:style w:type="character" w:customStyle="1" w:styleId="Char6">
    <w:name w:val="纯文本 Char"/>
    <w:basedOn w:val="a0"/>
    <w:link w:val="a6"/>
    <w:locked/>
    <w:rsid w:val="00F01A7D"/>
    <w:rPr>
      <w:rFonts w:ascii="宋体" w:eastAsia="宋体" w:hAnsi="Courier New" w:cs="Courier New" w:hint="eastAsia"/>
      <w:sz w:val="21"/>
      <w:szCs w:val="21"/>
    </w:rPr>
  </w:style>
  <w:style w:type="character" w:customStyle="1" w:styleId="Char10">
    <w:name w:val="纯文本 Char1"/>
    <w:basedOn w:val="a0"/>
    <w:link w:val="a6"/>
    <w:uiPriority w:val="99"/>
    <w:qFormat/>
    <w:locked/>
    <w:rsid w:val="00F01A7D"/>
    <w:rPr>
      <w:rFonts w:ascii="宋体" w:eastAsia="宋体" w:hAnsi="Courier New" w:cs="Courier New" w:hint="eastAsia"/>
      <w:sz w:val="21"/>
      <w:szCs w:val="21"/>
    </w:rPr>
  </w:style>
  <w:style w:type="character" w:customStyle="1" w:styleId="Char">
    <w:name w:val="批注主题 Char"/>
    <w:basedOn w:val="Char0"/>
    <w:link w:val="a3"/>
    <w:uiPriority w:val="99"/>
    <w:qFormat/>
    <w:locked/>
    <w:rsid w:val="00F01A7D"/>
    <w:rPr>
      <w:b/>
      <w:bCs/>
    </w:rPr>
  </w:style>
  <w:style w:type="character" w:customStyle="1" w:styleId="Char2">
    <w:name w:val="批注框文本 Char"/>
    <w:basedOn w:val="a0"/>
    <w:link w:val="a7"/>
    <w:uiPriority w:val="99"/>
    <w:locked/>
    <w:rsid w:val="00F01A7D"/>
    <w:rPr>
      <w:sz w:val="18"/>
      <w:szCs w:val="18"/>
    </w:rPr>
  </w:style>
  <w:style w:type="paragraph" w:customStyle="1" w:styleId="100">
    <w:name w:val="样式10"/>
    <w:basedOn w:val="aa"/>
    <w:next w:val="a"/>
    <w:uiPriority w:val="99"/>
    <w:qFormat/>
    <w:rsid w:val="00F01A7D"/>
    <w:pPr>
      <w:jc w:val="center"/>
    </w:pPr>
    <w:rPr>
      <w:bCs/>
      <w:kern w:val="44"/>
      <w:sz w:val="28"/>
    </w:rPr>
  </w:style>
  <w:style w:type="paragraph" w:customStyle="1" w:styleId="af3">
    <w:name w:val="表头"/>
    <w:basedOn w:val="a"/>
    <w:uiPriority w:val="99"/>
    <w:rsid w:val="00F01A7D"/>
    <w:pPr>
      <w:widowControl w:val="0"/>
      <w:spacing w:beforeLines="50" w:line="0" w:lineRule="atLeast"/>
      <w:jc w:val="both"/>
    </w:pPr>
    <w:rPr>
      <w:rFonts w:ascii="宋体" w:hAnsi="宋体"/>
      <w:kern w:val="2"/>
      <w:sz w:val="18"/>
    </w:rPr>
  </w:style>
  <w:style w:type="paragraph" w:customStyle="1" w:styleId="af4">
    <w:name w:val="简单回函地址"/>
    <w:basedOn w:val="a"/>
    <w:uiPriority w:val="99"/>
    <w:qFormat/>
    <w:rsid w:val="00F01A7D"/>
    <w:pPr>
      <w:widowControl w:val="0"/>
      <w:jc w:val="both"/>
    </w:pPr>
    <w:rPr>
      <w:kern w:val="2"/>
      <w:sz w:val="21"/>
    </w:rPr>
  </w:style>
  <w:style w:type="paragraph" w:customStyle="1" w:styleId="af5">
    <w:name w:val="图表"/>
    <w:basedOn w:val="a"/>
    <w:uiPriority w:val="99"/>
    <w:rsid w:val="00F01A7D"/>
    <w:pPr>
      <w:widowControl w:val="0"/>
      <w:spacing w:beforeLines="50"/>
      <w:jc w:val="both"/>
    </w:pPr>
    <w:rPr>
      <w:rFonts w:ascii="宋体" w:hAnsi="宋体"/>
      <w:sz w:val="21"/>
      <w:szCs w:val="21"/>
    </w:rPr>
  </w:style>
  <w:style w:type="paragraph" w:customStyle="1" w:styleId="font14zd">
    <w:name w:val="font14zd"/>
    <w:basedOn w:val="a"/>
    <w:uiPriority w:val="99"/>
    <w:rsid w:val="00F01A7D"/>
    <w:pPr>
      <w:pBdr>
        <w:bottom w:val="double" w:sz="6" w:space="0" w:color="000000"/>
      </w:pBdr>
      <w:spacing w:before="100" w:beforeAutospacing="1" w:after="100" w:afterAutospacing="1"/>
    </w:pPr>
    <w:rPr>
      <w:rFonts w:ascii="宋体" w:hAnsi="宋体" w:cs="宋体"/>
      <w:b/>
      <w:bCs/>
      <w:color w:val="B30101"/>
      <w:u w:val="single"/>
    </w:rPr>
  </w:style>
  <w:style w:type="paragraph" w:customStyle="1" w:styleId="font14jqkt">
    <w:name w:val="font14jqkt"/>
    <w:basedOn w:val="a"/>
    <w:uiPriority w:val="99"/>
    <w:qFormat/>
    <w:rsid w:val="00F01A7D"/>
    <w:pPr>
      <w:spacing w:before="100" w:beforeAutospacing="1" w:after="100" w:afterAutospacing="1"/>
    </w:pPr>
    <w:rPr>
      <w:rFonts w:ascii="宋体" w:hAnsi="宋体" w:cs="宋体"/>
      <w:color w:val="7F7F7F"/>
      <w:sz w:val="21"/>
      <w:szCs w:val="21"/>
    </w:rPr>
  </w:style>
  <w:style w:type="paragraph" w:customStyle="1" w:styleId="open3">
    <w:name w:val="open3"/>
    <w:basedOn w:val="a"/>
    <w:uiPriority w:val="99"/>
    <w:rsid w:val="00F01A7D"/>
    <w:pPr>
      <w:pBdr>
        <w:bottom w:val="single" w:sz="6" w:space="5" w:color="F9C76F"/>
      </w:pBdr>
      <w:shd w:val="clear" w:color="auto" w:fill="FAFAFA"/>
      <w:spacing w:before="100" w:beforeAutospacing="1" w:after="100" w:afterAutospacing="1"/>
    </w:pPr>
    <w:rPr>
      <w:rFonts w:ascii="宋体" w:hAnsi="宋体" w:cs="宋体"/>
    </w:rPr>
  </w:style>
  <w:style w:type="paragraph" w:customStyle="1" w:styleId="downloadbiaoge1">
    <w:name w:val="downloadbiaoge1"/>
    <w:basedOn w:val="a"/>
    <w:uiPriority w:val="99"/>
    <w:rsid w:val="00F01A7D"/>
    <w:pPr>
      <w:pBdr>
        <w:left w:val="single" w:sz="6" w:space="0" w:color="F9C76F"/>
      </w:pBdr>
      <w:shd w:val="clear" w:color="auto" w:fill="FFFFFF"/>
    </w:pPr>
    <w:rPr>
      <w:rFonts w:ascii="宋体" w:hAnsi="宋体" w:cs="宋体"/>
    </w:rPr>
  </w:style>
  <w:style w:type="paragraph" w:customStyle="1" w:styleId="close2">
    <w:name w:val="close2"/>
    <w:basedOn w:val="a"/>
    <w:uiPriority w:val="99"/>
    <w:qFormat/>
    <w:rsid w:val="00F01A7D"/>
    <w:pPr>
      <w:pBdr>
        <w:bottom w:val="single" w:sz="6" w:space="0" w:color="F9C76F"/>
      </w:pBdr>
      <w:shd w:val="clear" w:color="auto" w:fill="FAFAFA"/>
      <w:spacing w:before="100" w:beforeAutospacing="1" w:after="100" w:afterAutospacing="1"/>
    </w:pPr>
    <w:rPr>
      <w:rFonts w:ascii="宋体" w:hAnsi="宋体" w:cs="宋体"/>
    </w:rPr>
  </w:style>
  <w:style w:type="paragraph" w:customStyle="1" w:styleId="open2">
    <w:name w:val="open2"/>
    <w:basedOn w:val="a"/>
    <w:uiPriority w:val="99"/>
    <w:rsid w:val="00F01A7D"/>
    <w:pPr>
      <w:pBdr>
        <w:bottom w:val="single" w:sz="6" w:space="6" w:color="F9C76F"/>
      </w:pBdr>
      <w:shd w:val="clear" w:color="auto" w:fill="FFFBEC"/>
      <w:spacing w:before="100" w:beforeAutospacing="1" w:after="100" w:afterAutospacing="1"/>
    </w:pPr>
    <w:rPr>
      <w:rFonts w:ascii="宋体" w:hAnsi="宋体" w:cs="宋体"/>
    </w:rPr>
  </w:style>
  <w:style w:type="paragraph" w:customStyle="1" w:styleId="open1">
    <w:name w:val="open1"/>
    <w:basedOn w:val="a"/>
    <w:uiPriority w:val="99"/>
    <w:qFormat/>
    <w:rsid w:val="00F01A7D"/>
    <w:pPr>
      <w:pBdr>
        <w:bottom w:val="single" w:sz="6" w:space="6" w:color="F9C76F"/>
      </w:pBdr>
      <w:shd w:val="clear" w:color="auto" w:fill="FAFAFA"/>
      <w:spacing w:before="100" w:beforeAutospacing="1" w:after="100" w:afterAutospacing="1"/>
    </w:pPr>
    <w:rPr>
      <w:rFonts w:ascii="宋体" w:hAnsi="宋体" w:cs="宋体"/>
    </w:rPr>
  </w:style>
  <w:style w:type="paragraph" w:customStyle="1" w:styleId="biaoge1">
    <w:name w:val="biaoge1"/>
    <w:basedOn w:val="a"/>
    <w:uiPriority w:val="99"/>
    <w:rsid w:val="00F01A7D"/>
    <w:pPr>
      <w:pBdr>
        <w:top w:val="single" w:sz="6" w:space="0" w:color="F9C76F"/>
        <w:left w:val="single" w:sz="6" w:space="0" w:color="F9C76F"/>
      </w:pBdr>
    </w:pPr>
    <w:rPr>
      <w:rFonts w:ascii="宋体" w:hAnsi="宋体" w:cs="宋体"/>
    </w:rPr>
  </w:style>
  <w:style w:type="paragraph" w:customStyle="1" w:styleId="xl1">
    <w:name w:val="xl1"/>
    <w:basedOn w:val="a"/>
    <w:uiPriority w:val="99"/>
    <w:rsid w:val="00F01A7D"/>
    <w:pPr>
      <w:spacing w:before="100" w:beforeAutospacing="1" w:after="100" w:afterAutospacing="1"/>
    </w:pPr>
    <w:rPr>
      <w:rFonts w:ascii="宋体" w:hAnsi="宋体" w:cs="宋体"/>
    </w:rPr>
  </w:style>
  <w:style w:type="paragraph" w:customStyle="1" w:styleId="layout">
    <w:name w:val="layout"/>
    <w:basedOn w:val="a"/>
    <w:uiPriority w:val="99"/>
    <w:qFormat/>
    <w:rsid w:val="00F01A7D"/>
    <w:pPr>
      <w:shd w:val="clear" w:color="auto" w:fill="F5F5F5"/>
    </w:pPr>
    <w:rPr>
      <w:rFonts w:ascii="宋体" w:hAnsi="宋体" w:cs="宋体"/>
    </w:rPr>
  </w:style>
  <w:style w:type="paragraph" w:customStyle="1" w:styleId="an">
    <w:name w:val="an"/>
    <w:basedOn w:val="a"/>
    <w:uiPriority w:val="99"/>
    <w:rsid w:val="00F01A7D"/>
    <w:pPr>
      <w:spacing w:before="100" w:beforeAutospacing="1" w:after="100" w:afterAutospacing="1"/>
    </w:pPr>
    <w:rPr>
      <w:rFonts w:ascii="宋体" w:hAnsi="宋体" w:cs="宋体"/>
    </w:rPr>
  </w:style>
  <w:style w:type="paragraph" w:customStyle="1" w:styleId="coursecontainer">
    <w:name w:val="course_container"/>
    <w:basedOn w:val="a"/>
    <w:uiPriority w:val="99"/>
    <w:qFormat/>
    <w:rsid w:val="00F01A7D"/>
    <w:pPr>
      <w:shd w:val="clear" w:color="auto" w:fill="F5F5F5"/>
    </w:pPr>
    <w:rPr>
      <w:rFonts w:ascii="宋体" w:hAnsi="宋体" w:cs="宋体"/>
      <w:sz w:val="21"/>
      <w:szCs w:val="21"/>
    </w:rPr>
  </w:style>
  <w:style w:type="paragraph" w:customStyle="1" w:styleId="font1417">
    <w:name w:val="font1417"/>
    <w:basedOn w:val="a"/>
    <w:uiPriority w:val="99"/>
    <w:rsid w:val="00F01A7D"/>
    <w:pPr>
      <w:spacing w:before="100" w:beforeAutospacing="1" w:after="100" w:afterAutospacing="1"/>
    </w:pPr>
    <w:rPr>
      <w:rFonts w:ascii="宋体" w:hAnsi="宋体" w:cs="宋体"/>
      <w:color w:val="000000"/>
      <w:sz w:val="21"/>
      <w:szCs w:val="21"/>
    </w:rPr>
  </w:style>
  <w:style w:type="paragraph" w:customStyle="1" w:styleId="font1415">
    <w:name w:val="font1415"/>
    <w:basedOn w:val="a"/>
    <w:uiPriority w:val="99"/>
    <w:rsid w:val="00F01A7D"/>
    <w:pPr>
      <w:spacing w:before="100" w:beforeAutospacing="1" w:after="100" w:afterAutospacing="1"/>
    </w:pPr>
    <w:rPr>
      <w:rFonts w:ascii="宋体" w:hAnsi="宋体" w:cs="宋体"/>
      <w:color w:val="000000"/>
      <w:sz w:val="21"/>
      <w:szCs w:val="21"/>
    </w:rPr>
  </w:style>
  <w:style w:type="paragraph" w:customStyle="1" w:styleId="double">
    <w:name w:val="double"/>
    <w:basedOn w:val="a"/>
    <w:uiPriority w:val="99"/>
    <w:qFormat/>
    <w:rsid w:val="00F01A7D"/>
    <w:pPr>
      <w:pBdr>
        <w:bottom w:val="double" w:sz="6" w:space="0" w:color="000000"/>
      </w:pBdr>
      <w:spacing w:before="100" w:beforeAutospacing="1" w:after="100" w:afterAutospacing="1"/>
    </w:pPr>
    <w:rPr>
      <w:rFonts w:ascii="宋体" w:hAnsi="宋体" w:cs="宋体"/>
    </w:rPr>
  </w:style>
  <w:style w:type="paragraph" w:customStyle="1" w:styleId="title">
    <w:name w:val="title"/>
    <w:basedOn w:val="a"/>
    <w:uiPriority w:val="99"/>
    <w:rsid w:val="00F01A7D"/>
    <w:pPr>
      <w:pBdr>
        <w:bottom w:val="single" w:sz="6" w:space="0" w:color="DDDDDD"/>
      </w:pBdr>
      <w:spacing w:before="100" w:beforeAutospacing="1" w:after="100" w:afterAutospacing="1"/>
    </w:pPr>
    <w:rPr>
      <w:rFonts w:ascii="宋体" w:hAnsi="宋体" w:cs="宋体"/>
    </w:rPr>
  </w:style>
  <w:style w:type="paragraph" w:customStyle="1" w:styleId="coursetab">
    <w:name w:val="course_tab"/>
    <w:basedOn w:val="a"/>
    <w:uiPriority w:val="99"/>
    <w:qFormat/>
    <w:rsid w:val="00F01A7D"/>
    <w:rPr>
      <w:rFonts w:ascii="宋体" w:hAnsi="宋体" w:cs="宋体"/>
      <w:sz w:val="21"/>
      <w:szCs w:val="21"/>
    </w:rPr>
  </w:style>
  <w:style w:type="paragraph" w:customStyle="1" w:styleId="myask">
    <w:name w:val="myask"/>
    <w:basedOn w:val="a"/>
    <w:uiPriority w:val="99"/>
    <w:qFormat/>
    <w:rsid w:val="00F01A7D"/>
    <w:pPr>
      <w:spacing w:before="375" w:after="100" w:afterAutospacing="1" w:line="330" w:lineRule="atLeast"/>
      <w:ind w:right="225"/>
    </w:pPr>
    <w:rPr>
      <w:rFonts w:ascii="宋体" w:hAnsi="宋体" w:cs="宋体"/>
      <w:color w:val="999999"/>
      <w:sz w:val="21"/>
      <w:szCs w:val="21"/>
    </w:rPr>
  </w:style>
  <w:style w:type="paragraph" w:customStyle="1" w:styleId="tip">
    <w:name w:val="tip"/>
    <w:basedOn w:val="a"/>
    <w:uiPriority w:val="99"/>
    <w:rsid w:val="00F01A7D"/>
    <w:rPr>
      <w:rFonts w:ascii="宋体" w:hAnsi="宋体" w:cs="宋体"/>
    </w:rPr>
  </w:style>
  <w:style w:type="paragraph" w:customStyle="1" w:styleId="tabwrap">
    <w:name w:val="tabwrap"/>
    <w:basedOn w:val="a"/>
    <w:uiPriority w:val="99"/>
    <w:qFormat/>
    <w:rsid w:val="00F01A7D"/>
    <w:rPr>
      <w:rFonts w:ascii="宋体" w:hAnsi="宋体" w:cs="宋体"/>
      <w:vanish/>
    </w:rPr>
  </w:style>
  <w:style w:type="paragraph" w:customStyle="1" w:styleId="tabshow">
    <w:name w:val="tabshow"/>
    <w:basedOn w:val="a"/>
    <w:uiPriority w:val="99"/>
    <w:rsid w:val="00F01A7D"/>
    <w:pPr>
      <w:spacing w:before="100" w:beforeAutospacing="1" w:after="100" w:afterAutospacing="1"/>
    </w:pPr>
    <w:rPr>
      <w:rFonts w:ascii="宋体" w:hAnsi="宋体" w:cs="宋体"/>
    </w:rPr>
  </w:style>
  <w:style w:type="paragraph" w:customStyle="1" w:styleId="memodiv">
    <w:name w:val="memodiv"/>
    <w:basedOn w:val="a"/>
    <w:uiPriority w:val="99"/>
    <w:qFormat/>
    <w:rsid w:val="00F01A7D"/>
    <w:pPr>
      <w:spacing w:before="100" w:beforeAutospacing="1" w:after="150"/>
    </w:pPr>
    <w:rPr>
      <w:rFonts w:ascii="宋体" w:hAnsi="宋体" w:cs="宋体"/>
    </w:rPr>
  </w:style>
  <w:style w:type="paragraph" w:customStyle="1" w:styleId="curlecture">
    <w:name w:val="curlecture"/>
    <w:basedOn w:val="a"/>
    <w:uiPriority w:val="99"/>
    <w:qFormat/>
    <w:rsid w:val="00F01A7D"/>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
    <w:name w:val="tit"/>
    <w:basedOn w:val="a"/>
    <w:uiPriority w:val="99"/>
    <w:rsid w:val="00F01A7D"/>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con">
    <w:name w:val="con"/>
    <w:basedOn w:val="a"/>
    <w:uiPriority w:val="99"/>
    <w:qFormat/>
    <w:rsid w:val="00F01A7D"/>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tipnull">
    <w:name w:val="tip_null"/>
    <w:basedOn w:val="a"/>
    <w:uiPriority w:val="99"/>
    <w:rsid w:val="00F01A7D"/>
    <w:rPr>
      <w:rFonts w:ascii="宋体" w:hAnsi="宋体" w:cs="宋体"/>
      <w:sz w:val="21"/>
      <w:szCs w:val="21"/>
    </w:rPr>
  </w:style>
  <w:style w:type="paragraph" w:customStyle="1" w:styleId="t1">
    <w:name w:val="t1"/>
    <w:basedOn w:val="a"/>
    <w:uiPriority w:val="99"/>
    <w:rsid w:val="00F01A7D"/>
    <w:pPr>
      <w:pBdr>
        <w:right w:val="single" w:sz="6" w:space="0" w:color="BFDDF4"/>
      </w:pBdr>
      <w:spacing w:before="100" w:beforeAutospacing="1" w:after="100" w:afterAutospacing="1"/>
    </w:pPr>
    <w:rPr>
      <w:rFonts w:ascii="宋体" w:hAnsi="宋体" w:cs="宋体"/>
    </w:rPr>
  </w:style>
  <w:style w:type="paragraph" w:customStyle="1" w:styleId="t2">
    <w:name w:val="t2"/>
    <w:basedOn w:val="a"/>
    <w:uiPriority w:val="99"/>
    <w:qFormat/>
    <w:rsid w:val="00F01A7D"/>
    <w:pPr>
      <w:spacing w:before="100" w:beforeAutospacing="1" w:after="100" w:afterAutospacing="1"/>
    </w:pPr>
    <w:rPr>
      <w:rFonts w:ascii="宋体" w:hAnsi="宋体" w:cs="宋体"/>
    </w:rPr>
  </w:style>
  <w:style w:type="paragraph" w:customStyle="1" w:styleId="more">
    <w:name w:val="more"/>
    <w:basedOn w:val="a"/>
    <w:uiPriority w:val="99"/>
    <w:rsid w:val="00F01A7D"/>
    <w:pPr>
      <w:spacing w:before="100" w:beforeAutospacing="1" w:after="100" w:afterAutospacing="1"/>
      <w:jc w:val="center"/>
    </w:pPr>
    <w:rPr>
      <w:rFonts w:ascii="宋体" w:hAnsi="宋体" w:cs="宋体"/>
    </w:rPr>
  </w:style>
  <w:style w:type="paragraph" w:customStyle="1" w:styleId="print">
    <w:name w:val="print"/>
    <w:basedOn w:val="a"/>
    <w:uiPriority w:val="99"/>
    <w:qFormat/>
    <w:rsid w:val="00F01A7D"/>
    <w:pPr>
      <w:spacing w:before="100" w:beforeAutospacing="1" w:after="100" w:afterAutospacing="1"/>
    </w:pPr>
    <w:rPr>
      <w:rFonts w:ascii="宋体" w:hAnsi="宋体" w:cs="宋体"/>
      <w:color w:val="333333"/>
    </w:rPr>
  </w:style>
  <w:style w:type="paragraph" w:customStyle="1" w:styleId="i1">
    <w:name w:val="i1"/>
    <w:basedOn w:val="a"/>
    <w:uiPriority w:val="99"/>
    <w:qFormat/>
    <w:rsid w:val="00F01A7D"/>
    <w:pPr>
      <w:ind w:right="150"/>
      <w:textAlignment w:val="center"/>
    </w:pPr>
    <w:rPr>
      <w:rFonts w:ascii="宋体" w:hAnsi="宋体" w:cs="宋体"/>
    </w:rPr>
  </w:style>
  <w:style w:type="paragraph" w:customStyle="1" w:styleId="fontsize">
    <w:name w:val="fontsize"/>
    <w:basedOn w:val="a"/>
    <w:uiPriority w:val="99"/>
    <w:qFormat/>
    <w:rsid w:val="00F01A7D"/>
    <w:pPr>
      <w:spacing w:before="100" w:beforeAutospacing="1" w:after="100" w:afterAutospacing="1"/>
    </w:pPr>
    <w:rPr>
      <w:rFonts w:ascii="宋体" w:hAnsi="宋体" w:cs="宋体"/>
    </w:rPr>
  </w:style>
  <w:style w:type="paragraph" w:customStyle="1" w:styleId="answer">
    <w:name w:val="answer"/>
    <w:basedOn w:val="a"/>
    <w:uiPriority w:val="99"/>
    <w:rsid w:val="00F01A7D"/>
    <w:pPr>
      <w:spacing w:before="100" w:beforeAutospacing="1" w:after="100" w:afterAutospacing="1"/>
    </w:pPr>
    <w:rPr>
      <w:rFonts w:ascii="宋体" w:hAnsi="宋体" w:cs="宋体"/>
    </w:rPr>
  </w:style>
  <w:style w:type="paragraph" w:customStyle="1" w:styleId="handoutlist">
    <w:name w:val="handoutlist"/>
    <w:basedOn w:val="a"/>
    <w:uiPriority w:val="99"/>
    <w:qFormat/>
    <w:rsid w:val="00F01A7D"/>
    <w:pPr>
      <w:spacing w:before="100" w:beforeAutospacing="1" w:after="100" w:afterAutospacing="1"/>
    </w:pPr>
    <w:rPr>
      <w:rFonts w:ascii="宋体" w:hAnsi="宋体" w:cs="宋体"/>
      <w:sz w:val="21"/>
      <w:szCs w:val="21"/>
    </w:rPr>
  </w:style>
  <w:style w:type="paragraph" w:customStyle="1" w:styleId="cur">
    <w:name w:val="cur"/>
    <w:basedOn w:val="a"/>
    <w:uiPriority w:val="99"/>
    <w:qFormat/>
    <w:rsid w:val="00F01A7D"/>
    <w:pPr>
      <w:spacing w:before="100" w:beforeAutospacing="1" w:after="100" w:afterAutospacing="1"/>
    </w:pPr>
    <w:rPr>
      <w:rFonts w:ascii="宋体" w:hAnsi="宋体" w:cs="宋体"/>
      <w:b/>
      <w:bCs/>
    </w:rPr>
  </w:style>
  <w:style w:type="paragraph" w:customStyle="1" w:styleId="layout1">
    <w:name w:val="layout1"/>
    <w:basedOn w:val="a"/>
    <w:uiPriority w:val="99"/>
    <w:rsid w:val="00F01A7D"/>
    <w:pPr>
      <w:shd w:val="clear" w:color="auto" w:fill="F5F5F5"/>
    </w:pPr>
    <w:rPr>
      <w:rFonts w:ascii="宋体" w:hAnsi="宋体" w:cs="宋体"/>
    </w:rPr>
  </w:style>
  <w:style w:type="paragraph" w:customStyle="1" w:styleId="title1">
    <w:name w:val="title1"/>
    <w:basedOn w:val="a"/>
    <w:uiPriority w:val="99"/>
    <w:qFormat/>
    <w:rsid w:val="00F01A7D"/>
    <w:pPr>
      <w:pBdr>
        <w:bottom w:val="single" w:sz="6" w:space="0" w:color="DDDDDD"/>
      </w:pBdr>
      <w:spacing w:before="100" w:beforeAutospacing="1" w:after="100" w:afterAutospacing="1"/>
    </w:pPr>
    <w:rPr>
      <w:rFonts w:ascii="宋体" w:hAnsi="宋体" w:cs="宋体"/>
    </w:rPr>
  </w:style>
  <w:style w:type="paragraph" w:customStyle="1" w:styleId="coursetab1">
    <w:name w:val="course_tab1"/>
    <w:basedOn w:val="a"/>
    <w:uiPriority w:val="99"/>
    <w:rsid w:val="00F01A7D"/>
    <w:pPr>
      <w:spacing w:before="330" w:after="100" w:afterAutospacing="1"/>
      <w:ind w:left="300"/>
    </w:pPr>
    <w:rPr>
      <w:rFonts w:ascii="宋体" w:hAnsi="宋体" w:cs="宋体"/>
    </w:rPr>
  </w:style>
  <w:style w:type="paragraph" w:customStyle="1" w:styleId="myask1">
    <w:name w:val="myask1"/>
    <w:basedOn w:val="a"/>
    <w:uiPriority w:val="99"/>
    <w:rsid w:val="00F01A7D"/>
    <w:pPr>
      <w:spacing w:before="375" w:after="100" w:afterAutospacing="1" w:line="330" w:lineRule="atLeast"/>
      <w:ind w:right="225"/>
    </w:pPr>
    <w:rPr>
      <w:rFonts w:ascii="宋体" w:hAnsi="宋体" w:cs="宋体"/>
      <w:color w:val="999999"/>
      <w:sz w:val="21"/>
      <w:szCs w:val="21"/>
    </w:rPr>
  </w:style>
  <w:style w:type="paragraph" w:customStyle="1" w:styleId="tip1">
    <w:name w:val="tip1"/>
    <w:basedOn w:val="a"/>
    <w:uiPriority w:val="99"/>
    <w:qFormat/>
    <w:rsid w:val="00F01A7D"/>
    <w:rPr>
      <w:rFonts w:ascii="宋体" w:hAnsi="宋体" w:cs="宋体"/>
    </w:rPr>
  </w:style>
  <w:style w:type="paragraph" w:customStyle="1" w:styleId="tabwrap1">
    <w:name w:val="tabwrap1"/>
    <w:basedOn w:val="a"/>
    <w:uiPriority w:val="99"/>
    <w:rsid w:val="00F01A7D"/>
    <w:rPr>
      <w:rFonts w:ascii="宋体" w:hAnsi="宋体" w:cs="宋体"/>
      <w:vanish/>
    </w:rPr>
  </w:style>
  <w:style w:type="paragraph" w:customStyle="1" w:styleId="tabshow1">
    <w:name w:val="tabshow1"/>
    <w:basedOn w:val="a"/>
    <w:uiPriority w:val="99"/>
    <w:qFormat/>
    <w:rsid w:val="00F01A7D"/>
    <w:pPr>
      <w:spacing w:before="100" w:beforeAutospacing="1" w:after="100" w:afterAutospacing="1"/>
    </w:pPr>
    <w:rPr>
      <w:rFonts w:ascii="宋体" w:hAnsi="宋体" w:cs="宋体"/>
    </w:rPr>
  </w:style>
  <w:style w:type="paragraph" w:customStyle="1" w:styleId="tipnull1">
    <w:name w:val="tip_null1"/>
    <w:basedOn w:val="a"/>
    <w:uiPriority w:val="99"/>
    <w:qFormat/>
    <w:rsid w:val="00F01A7D"/>
    <w:rPr>
      <w:rFonts w:ascii="宋体" w:hAnsi="宋体" w:cs="宋体"/>
    </w:rPr>
  </w:style>
  <w:style w:type="paragraph" w:customStyle="1" w:styleId="tipnull2">
    <w:name w:val="tip_null2"/>
    <w:basedOn w:val="a"/>
    <w:uiPriority w:val="99"/>
    <w:rsid w:val="00F01A7D"/>
    <w:rPr>
      <w:rFonts w:ascii="宋体" w:hAnsi="宋体" w:cs="宋体"/>
    </w:rPr>
  </w:style>
  <w:style w:type="paragraph" w:customStyle="1" w:styleId="memodiv1">
    <w:name w:val="memodiv1"/>
    <w:basedOn w:val="a"/>
    <w:uiPriority w:val="99"/>
    <w:qFormat/>
    <w:rsid w:val="00F01A7D"/>
    <w:pPr>
      <w:spacing w:before="100" w:beforeAutospacing="1" w:after="150"/>
    </w:pPr>
    <w:rPr>
      <w:rFonts w:ascii="宋体" w:hAnsi="宋体" w:cs="宋体"/>
    </w:rPr>
  </w:style>
  <w:style w:type="paragraph" w:customStyle="1" w:styleId="curlecture1">
    <w:name w:val="curlecture1"/>
    <w:basedOn w:val="a"/>
    <w:uiPriority w:val="99"/>
    <w:rsid w:val="00F01A7D"/>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1">
    <w:name w:val="tit1"/>
    <w:basedOn w:val="a"/>
    <w:uiPriority w:val="99"/>
    <w:qFormat/>
    <w:rsid w:val="00F01A7D"/>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t11">
    <w:name w:val="t11"/>
    <w:basedOn w:val="a"/>
    <w:uiPriority w:val="99"/>
    <w:qFormat/>
    <w:rsid w:val="00F01A7D"/>
    <w:pPr>
      <w:pBdr>
        <w:right w:val="single" w:sz="6" w:space="0" w:color="BFDDF4"/>
      </w:pBdr>
      <w:spacing w:before="100" w:beforeAutospacing="1" w:after="100" w:afterAutospacing="1"/>
    </w:pPr>
    <w:rPr>
      <w:rFonts w:ascii="宋体" w:hAnsi="宋体" w:cs="宋体"/>
    </w:rPr>
  </w:style>
  <w:style w:type="paragraph" w:customStyle="1" w:styleId="t22">
    <w:name w:val="t22"/>
    <w:basedOn w:val="a"/>
    <w:uiPriority w:val="99"/>
    <w:rsid w:val="00F01A7D"/>
    <w:pPr>
      <w:spacing w:before="100" w:beforeAutospacing="1" w:after="100" w:afterAutospacing="1"/>
    </w:pPr>
    <w:rPr>
      <w:rFonts w:ascii="宋体" w:hAnsi="宋体" w:cs="宋体"/>
    </w:rPr>
  </w:style>
  <w:style w:type="paragraph" w:customStyle="1" w:styleId="con1">
    <w:name w:val="con1"/>
    <w:basedOn w:val="a"/>
    <w:uiPriority w:val="99"/>
    <w:qFormat/>
    <w:rsid w:val="00F01A7D"/>
    <w:pPr>
      <w:pBdr>
        <w:top w:val="single" w:sz="2" w:space="0" w:color="BFDDF4"/>
        <w:left w:val="single" w:sz="6" w:space="0" w:color="BFDDF4"/>
        <w:bottom w:val="single" w:sz="2" w:space="0" w:color="BFDDF4"/>
        <w:right w:val="single" w:sz="6" w:space="0" w:color="BFDDF4"/>
      </w:pBdr>
      <w:spacing w:before="100" w:beforeAutospacing="1" w:after="100" w:afterAutospacing="1"/>
    </w:pPr>
    <w:rPr>
      <w:rFonts w:ascii="宋体" w:hAnsi="宋体" w:cs="宋体"/>
    </w:rPr>
  </w:style>
  <w:style w:type="paragraph" w:customStyle="1" w:styleId="more1">
    <w:name w:val="more1"/>
    <w:basedOn w:val="a"/>
    <w:uiPriority w:val="99"/>
    <w:qFormat/>
    <w:rsid w:val="00F01A7D"/>
    <w:pPr>
      <w:spacing w:before="100" w:beforeAutospacing="1" w:after="100" w:afterAutospacing="1"/>
      <w:jc w:val="center"/>
    </w:pPr>
    <w:rPr>
      <w:rFonts w:ascii="宋体" w:hAnsi="宋体" w:cs="宋体"/>
    </w:rPr>
  </w:style>
  <w:style w:type="paragraph" w:customStyle="1" w:styleId="print1">
    <w:name w:val="print1"/>
    <w:basedOn w:val="a"/>
    <w:uiPriority w:val="99"/>
    <w:qFormat/>
    <w:rsid w:val="00F01A7D"/>
    <w:pPr>
      <w:spacing w:before="100" w:beforeAutospacing="1" w:after="100" w:afterAutospacing="1"/>
    </w:pPr>
    <w:rPr>
      <w:rFonts w:ascii="宋体" w:hAnsi="宋体" w:cs="宋体"/>
      <w:color w:val="333333"/>
    </w:rPr>
  </w:style>
  <w:style w:type="paragraph" w:customStyle="1" w:styleId="i11">
    <w:name w:val="i11"/>
    <w:basedOn w:val="a"/>
    <w:uiPriority w:val="99"/>
    <w:rsid w:val="00F01A7D"/>
    <w:pPr>
      <w:ind w:right="150"/>
    </w:pPr>
    <w:rPr>
      <w:rFonts w:ascii="宋体" w:hAnsi="宋体" w:cs="宋体"/>
    </w:rPr>
  </w:style>
  <w:style w:type="paragraph" w:customStyle="1" w:styleId="tit2">
    <w:name w:val="tit2"/>
    <w:basedOn w:val="a"/>
    <w:uiPriority w:val="99"/>
    <w:qFormat/>
    <w:rsid w:val="00F01A7D"/>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fontsize1">
    <w:name w:val="fontsize1"/>
    <w:basedOn w:val="a"/>
    <w:uiPriority w:val="99"/>
    <w:qFormat/>
    <w:rsid w:val="00F01A7D"/>
    <w:pPr>
      <w:spacing w:before="100" w:beforeAutospacing="1" w:after="100" w:afterAutospacing="1"/>
    </w:pPr>
    <w:rPr>
      <w:rFonts w:ascii="宋体" w:hAnsi="宋体" w:cs="宋体"/>
    </w:rPr>
  </w:style>
  <w:style w:type="paragraph" w:customStyle="1" w:styleId="cur1">
    <w:name w:val="cur1"/>
    <w:basedOn w:val="a"/>
    <w:uiPriority w:val="99"/>
    <w:qFormat/>
    <w:rsid w:val="00F01A7D"/>
    <w:pPr>
      <w:spacing w:before="100" w:beforeAutospacing="1" w:after="100" w:afterAutospacing="1"/>
    </w:pPr>
    <w:rPr>
      <w:rFonts w:ascii="宋体" w:hAnsi="宋体" w:cs="宋体"/>
      <w:b/>
      <w:bCs/>
    </w:rPr>
  </w:style>
  <w:style w:type="paragraph" w:customStyle="1" w:styleId="answer1">
    <w:name w:val="answer1"/>
    <w:basedOn w:val="a"/>
    <w:uiPriority w:val="99"/>
    <w:qFormat/>
    <w:rsid w:val="00F01A7D"/>
    <w:pPr>
      <w:spacing w:before="100" w:beforeAutospacing="1" w:after="100" w:afterAutospacing="1"/>
    </w:pPr>
    <w:rPr>
      <w:rFonts w:ascii="宋体" w:hAnsi="宋体" w:cs="宋体"/>
    </w:rPr>
  </w:style>
  <w:style w:type="paragraph" w:customStyle="1" w:styleId="con2">
    <w:name w:val="con2"/>
    <w:basedOn w:val="a"/>
    <w:uiPriority w:val="99"/>
    <w:qFormat/>
    <w:rsid w:val="00F01A7D"/>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handoutlist1">
    <w:name w:val="handoutlist1"/>
    <w:basedOn w:val="a"/>
    <w:uiPriority w:val="99"/>
    <w:qFormat/>
    <w:rsid w:val="00F01A7D"/>
    <w:pPr>
      <w:spacing w:before="100" w:beforeAutospacing="1" w:after="100" w:afterAutospacing="1"/>
    </w:pPr>
    <w:rPr>
      <w:rFonts w:ascii="宋体" w:hAnsi="宋体" w:cs="宋体"/>
      <w:sz w:val="21"/>
      <w:szCs w:val="21"/>
    </w:rPr>
  </w:style>
  <w:style w:type="paragraph" w:customStyle="1" w:styleId="fontkaiti">
    <w:name w:val="fontkaiti"/>
    <w:basedOn w:val="a"/>
    <w:uiPriority w:val="99"/>
    <w:rsid w:val="00F01A7D"/>
    <w:rPr>
      <w:rFonts w:ascii="楷体" w:eastAsia="楷体" w:hAnsi="楷体" w:cs="宋体"/>
      <w:sz w:val="23"/>
      <w:szCs w:val="23"/>
    </w:rPr>
  </w:style>
  <w:style w:type="paragraph" w:customStyle="1" w:styleId="tabth">
    <w:name w:val="tabth"/>
    <w:basedOn w:val="a"/>
    <w:uiPriority w:val="99"/>
    <w:rsid w:val="00F01A7D"/>
    <w:pPr>
      <w:shd w:val="clear" w:color="auto" w:fill="D7D7D7"/>
    </w:pPr>
    <w:rPr>
      <w:rFonts w:ascii="宋体" w:hAnsi="宋体" w:cs="宋体"/>
      <w:sz w:val="21"/>
      <w:szCs w:val="21"/>
    </w:rPr>
  </w:style>
  <w:style w:type="paragraph" w:customStyle="1" w:styleId="barfont">
    <w:name w:val="barfont"/>
    <w:basedOn w:val="a"/>
    <w:uiPriority w:val="99"/>
    <w:qFormat/>
    <w:rsid w:val="00F01A7D"/>
    <w:pPr>
      <w:spacing w:before="300" w:after="300"/>
    </w:pPr>
    <w:rPr>
      <w:rFonts w:ascii="楷体" w:eastAsia="楷体" w:hAnsi="楷体" w:cs="宋体"/>
      <w:b/>
      <w:bCs/>
      <w:color w:val="FD7400"/>
      <w:sz w:val="23"/>
      <w:szCs w:val="23"/>
    </w:rPr>
  </w:style>
  <w:style w:type="paragraph" w:customStyle="1" w:styleId="tablea">
    <w:name w:val="tablea"/>
    <w:basedOn w:val="a"/>
    <w:uiPriority w:val="99"/>
    <w:qFormat/>
    <w:rsid w:val="00F01A7D"/>
    <w:rPr>
      <w:rFonts w:ascii="宋体" w:hAnsi="宋体" w:cs="宋体"/>
      <w:sz w:val="21"/>
      <w:szCs w:val="21"/>
    </w:rPr>
  </w:style>
  <w:style w:type="character" w:customStyle="1" w:styleId="font14line-height">
    <w:name w:val="font14 line-height"/>
    <w:basedOn w:val="a0"/>
    <w:qFormat/>
    <w:rsid w:val="00F01A7D"/>
  </w:style>
  <w:style w:type="character" w:customStyle="1" w:styleId="f121">
    <w:name w:val="f121"/>
    <w:basedOn w:val="a0"/>
    <w:qFormat/>
    <w:rsid w:val="00F01A7D"/>
    <w:rPr>
      <w:sz w:val="15"/>
      <w:szCs w:val="15"/>
    </w:rPr>
  </w:style>
  <w:style w:type="character" w:customStyle="1" w:styleId="style1">
    <w:name w:val="style1"/>
    <w:basedOn w:val="a0"/>
    <w:rsid w:val="00F01A7D"/>
  </w:style>
  <w:style w:type="character" w:customStyle="1" w:styleId="double1">
    <w:name w:val="double1"/>
    <w:basedOn w:val="a0"/>
    <w:qFormat/>
    <w:rsid w:val="00F01A7D"/>
  </w:style>
  <w:style w:type="character" w:customStyle="1" w:styleId="font141">
    <w:name w:val="font141"/>
    <w:basedOn w:val="a0"/>
    <w:rsid w:val="00F01A7D"/>
    <w:rPr>
      <w:color w:val="000200"/>
      <w:sz w:val="21"/>
      <w:szCs w:val="21"/>
      <w:u w:val="none"/>
    </w:rPr>
  </w:style>
  <w:style w:type="character" w:customStyle="1" w:styleId="font14151">
    <w:name w:val="font14151"/>
    <w:basedOn w:val="a0"/>
    <w:qFormat/>
    <w:rsid w:val="00F01A7D"/>
    <w:rPr>
      <w:color w:val="230D00"/>
      <w:u w:val="none"/>
    </w:rPr>
  </w:style>
  <w:style w:type="character" w:customStyle="1" w:styleId="font14zd1">
    <w:name w:val="font14zd1"/>
    <w:basedOn w:val="a0"/>
    <w:rsid w:val="00F01A7D"/>
    <w:rPr>
      <w:b/>
      <w:bCs/>
      <w:color w:val="B30101"/>
    </w:rPr>
  </w:style>
  <w:style w:type="character" w:customStyle="1" w:styleId="t21">
    <w:name w:val="t21"/>
    <w:basedOn w:val="a0"/>
    <w:rsid w:val="00F01A7D"/>
  </w:style>
  <w:style w:type="character" w:customStyle="1" w:styleId="font14">
    <w:name w:val="font14"/>
    <w:basedOn w:val="a0"/>
    <w:qFormat/>
    <w:rsid w:val="00F01A7D"/>
  </w:style>
  <w:style w:type="character" w:customStyle="1" w:styleId="font14zd2">
    <w:name w:val="font14zd2"/>
    <w:basedOn w:val="a0"/>
    <w:qFormat/>
    <w:rsid w:val="00F01A7D"/>
    <w:rPr>
      <w:b/>
      <w:bCs/>
      <w:color w:val="A50021"/>
      <w:sz w:val="21"/>
      <w:szCs w:val="21"/>
      <w:u w:val="double"/>
    </w:rPr>
  </w:style>
  <w:style w:type="paragraph" w:customStyle="1" w:styleId="coursetab2">
    <w:name w:val="course_tab2"/>
    <w:basedOn w:val="a"/>
    <w:uiPriority w:val="99"/>
    <w:rsid w:val="00F01A7D"/>
    <w:pPr>
      <w:spacing w:before="330"/>
      <w:ind w:left="300"/>
    </w:pPr>
    <w:rPr>
      <w:rFonts w:ascii="宋体" w:hAnsi="宋体" w:cs="宋体"/>
      <w:sz w:val="21"/>
      <w:szCs w:val="21"/>
    </w:rPr>
  </w:style>
  <w:style w:type="paragraph" w:customStyle="1" w:styleId="tipnull3">
    <w:name w:val="tip_null3"/>
    <w:basedOn w:val="a"/>
    <w:uiPriority w:val="99"/>
    <w:qFormat/>
    <w:rsid w:val="00F01A7D"/>
    <w:rPr>
      <w:rFonts w:ascii="宋体" w:hAnsi="宋体" w:cs="宋体"/>
      <w:sz w:val="21"/>
      <w:szCs w:val="21"/>
    </w:rPr>
  </w:style>
  <w:style w:type="paragraph" w:customStyle="1" w:styleId="tipnull4">
    <w:name w:val="tip_null4"/>
    <w:basedOn w:val="a"/>
    <w:uiPriority w:val="99"/>
    <w:qFormat/>
    <w:rsid w:val="00F01A7D"/>
    <w:rPr>
      <w:rFonts w:ascii="宋体" w:hAnsi="宋体" w:cs="宋体"/>
      <w:sz w:val="21"/>
      <w:szCs w:val="21"/>
    </w:rPr>
  </w:style>
  <w:style w:type="character" w:customStyle="1" w:styleId="font14zd3">
    <w:name w:val="font14zd3"/>
    <w:basedOn w:val="a0"/>
    <w:rsid w:val="00F01A7D"/>
    <w:rPr>
      <w:b/>
      <w:bCs/>
      <w:color w:val="A50021"/>
      <w:sz w:val="21"/>
      <w:szCs w:val="21"/>
      <w:u w:val="double"/>
    </w:rPr>
  </w:style>
  <w:style w:type="paragraph" w:customStyle="1" w:styleId="tablea1">
    <w:name w:val="tablea1"/>
    <w:basedOn w:val="a"/>
    <w:uiPriority w:val="99"/>
    <w:rsid w:val="00F01A7D"/>
    <w:pPr>
      <w:pBdr>
        <w:bottom w:val="single" w:sz="6" w:space="8" w:color="BFDDF4"/>
      </w:pBdr>
    </w:pPr>
    <w:rPr>
      <w:rFonts w:ascii="宋体" w:hAnsi="宋体" w:cs="宋体"/>
      <w:sz w:val="21"/>
      <w:szCs w:val="21"/>
    </w:rPr>
  </w:style>
  <w:style w:type="character" w:customStyle="1" w:styleId="barfont1">
    <w:name w:val="barfont1"/>
    <w:basedOn w:val="a0"/>
    <w:qFormat/>
    <w:rsid w:val="00F01A7D"/>
    <w:rPr>
      <w:rFonts w:ascii="楷体" w:eastAsia="楷体" w:hAnsi="楷体" w:hint="eastAsia"/>
      <w:b/>
      <w:bCs/>
      <w:color w:val="FD7400"/>
      <w:sz w:val="23"/>
      <w:szCs w:val="23"/>
    </w:rPr>
  </w:style>
  <w:style w:type="character" w:customStyle="1" w:styleId="spancdelblanksign">
    <w:name w:val="span_cdel_blank_sign"/>
    <w:basedOn w:val="a0"/>
    <w:qFormat/>
    <w:rsid w:val="00F01A7D"/>
  </w:style>
  <w:style w:type="character" w:customStyle="1" w:styleId="fontkaiti1">
    <w:name w:val="fontkaiti1"/>
    <w:basedOn w:val="a0"/>
    <w:qFormat/>
    <w:rsid w:val="00F01A7D"/>
    <w:rPr>
      <w:rFonts w:ascii="楷体" w:eastAsia="楷体" w:hAnsi="楷体" w:hint="eastAsia"/>
      <w:sz w:val="23"/>
      <w:szCs w:val="2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2274</Words>
  <Characters>12965</Characters>
  <Application>Microsoft Office Word</Application>
  <DocSecurity>0</DocSecurity>
  <Lines>108</Lines>
  <Paragraphs>30</Paragraphs>
  <ScaleCrop>false</ScaleCrop>
  <Company/>
  <LinksUpToDate>false</LinksUpToDate>
  <CharactersWithSpaces>15209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CDEL</dc:creator>
  <cp:lastModifiedBy>Administrator</cp:lastModifiedBy>
  <cp:revision>3</cp:revision>
  <dcterms:created xsi:type="dcterms:W3CDTF">2024-04-02T06:59:00Z</dcterms:created>
  <dcterms:modified xsi:type="dcterms:W3CDTF">2024-04-06T06:03:00Z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