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1"/>
        <w:gridCol w:w="1320"/>
        <w:gridCol w:w="5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基础命令</w:t>
            </w: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create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通过文件名或标准输入创建资源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expose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将一个资源公开为一个新的Service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run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在集群中运行一个特定的镜像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set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在对象上设置特定的功能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显示一个或多个资源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explain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文档参考资料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edit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使用默认的编辑器编辑一个资源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1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delete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通过文件名、标准输入、资源名称或标签选择器来删除资源</w:t>
            </w:r>
          </w:p>
        </w:tc>
      </w:tr>
    </w:tbl>
    <w:p>
      <w:pPr>
        <w:rPr>
          <w:rFonts w:hint="eastAsia" w:ascii="方正FW筑紫A圆 简 D" w:hAnsi="方正FW筑紫A圆 简 D" w:eastAsia="方正FW筑紫A圆 简 D" w:cs="方正FW筑紫A圆 简 D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406"/>
        <w:gridCol w:w="5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部署命令</w:t>
            </w: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rollout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管理资源的发布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rolling-update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对给定的复制控制器滚动更新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scale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扩容或缩容Pod数量，Deployment、ReplicaSet、RC或Job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autoscale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创建一个自动选择扩容或缩容并设置Pod数量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集群管理命令</w:t>
            </w: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certificate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修改证书资源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cluster-info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显示集群信息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top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显示资源(CPU/Memory/Storage)使用。需要Heapster运行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cordon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标记节点不可调度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uncordon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标记节可调度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drain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驱逐节点上的应用，准备下线维护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taint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修改节点taint标记</w:t>
            </w:r>
          </w:p>
        </w:tc>
      </w:tr>
    </w:tbl>
    <w:p>
      <w:pPr>
        <w:rPr>
          <w:rFonts w:hint="eastAsia" w:ascii="方正FW筑紫A圆 简 D" w:hAnsi="方正FW筑紫A圆 简 D" w:eastAsia="方正FW筑紫A圆 简 D" w:cs="方正FW筑紫A圆 简 D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340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故障诊断和调试命令</w:t>
            </w: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describe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显示特定资源或资源组的详细信息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logs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在一个Pod中打印一个容器日志。如果Pod只有一个容器，容器名称是可选的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attach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附加到一个运行的容器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exec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执行命令到容器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port-forward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转发一个或多个本地端口到一个pod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proxy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运行一个proxy到Kubernetes API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cp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拷贝文件或目录到容器中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vMerge w:val="continue"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auth</w:t>
            </w:r>
          </w:p>
        </w:tc>
        <w:tc>
          <w:tcPr>
            <w:tcW w:w="5291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检查授权</w:t>
            </w:r>
          </w:p>
        </w:tc>
      </w:tr>
    </w:tbl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  <w:bookmarkStart w:id="0" w:name="_GoBack"/>
      <w:bookmarkEnd w:id="0"/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406"/>
        <w:gridCol w:w="5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高级命令</w:t>
            </w: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apply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通过文件名或标准输入对资源应用配置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patch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使用补丁修改、更新资源的字段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replace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通过文件名或标准输入替换一个资源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convert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不同的API版本之间转换配置文件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设置命令</w:t>
            </w: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label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更新资源上的标签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annotate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更新资源上的注释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completion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用于实现kubectl工具自动补全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restart"/>
            <w:vAlign w:val="center"/>
          </w:tcPr>
          <w:p>
            <w:pPr>
              <w:jc w:val="center"/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B" w:hAnsi="方正FW筑紫A圆 简 B" w:eastAsia="方正FW筑紫A圆 简 B" w:cs="方正FW筑紫A圆 简 B"/>
                <w:b w:val="0"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其他命令</w:t>
            </w: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api-versions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打印受支持的API版本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config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修改kubeconfig文件(用于访问API，比如配置认证信息)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help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所有命令帮助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plugin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运行一个命令行插件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  <w:vMerge w:val="continue"/>
            <w:tcBorders/>
          </w:tcPr>
          <w:p>
            <w:pP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</w:rPr>
            </w:pPr>
          </w:p>
        </w:tc>
        <w:tc>
          <w:tcPr>
            <w:tcW w:w="1406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version</w:t>
            </w:r>
          </w:p>
        </w:tc>
        <w:tc>
          <w:tcPr>
            <w:tcW w:w="5769" w:type="dxa"/>
            <w:vAlign w:val="center"/>
          </w:tcPr>
          <w:p>
            <w:pPr>
              <w:jc w:val="left"/>
              <w:rPr>
                <w:rFonts w:hint="default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FW筑紫A圆 简 D" w:hAnsi="方正FW筑紫A圆 简 D" w:eastAsia="方正FW筑紫A圆 简 D" w:cs="方正FW筑紫A圆 简 D"/>
                <w:sz w:val="18"/>
                <w:szCs w:val="18"/>
                <w:vertAlign w:val="baseline"/>
                <w:lang w:val="en-US" w:eastAsia="zh-CN"/>
              </w:rPr>
              <w:t>打印客户端和服务版本信息</w:t>
            </w:r>
          </w:p>
        </w:tc>
      </w:tr>
    </w:tbl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p>
      <w:pPr>
        <w:rPr>
          <w:rFonts w:hint="eastAsia" w:ascii="方正FW筑紫A圆 简 D" w:hAnsi="方正FW筑紫A圆 简 D" w:eastAsia="方正FW筑紫A圆 简 D" w:cs="方正FW筑紫A圆 简 D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FW筑紫A圆 简 B">
    <w:panose1 w:val="02000800000000000000"/>
    <w:charset w:val="86"/>
    <w:family w:val="auto"/>
    <w:pitch w:val="default"/>
    <w:sig w:usb0="A00002BF" w:usb1="184F6CFA" w:usb2="00000012" w:usb3="00000000" w:csb0="00040001" w:csb1="00000000"/>
  </w:font>
  <w:font w:name="方正FW筑紫A圆 简 M">
    <w:panose1 w:val="02000600000000000000"/>
    <w:charset w:val="86"/>
    <w:family w:val="auto"/>
    <w:pitch w:val="default"/>
    <w:sig w:usb0="A00002BF" w:usb1="184F6CFA" w:usb2="00000012" w:usb3="00000000" w:csb0="00040001" w:csb1="00000000"/>
  </w:font>
  <w:font w:name="方正FW筑紫A圆 简 D">
    <w:panose1 w:val="020007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茶碗古刻繁体">
    <w:panose1 w:val="02020300000000000000"/>
    <w:charset w:val="88"/>
    <w:family w:val="auto"/>
    <w:pitch w:val="default"/>
    <w:sig w:usb0="800000E3" w:usb1="38C9787A" w:usb2="00000016" w:usb3="00000000" w:csb0="00100000" w:csb1="00000000"/>
  </w:font>
  <w:font w:name="阿里巴巴普惠体 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方圆新丽黑">
    <w:panose1 w:val="02000503000000000000"/>
    <w:charset w:val="88"/>
    <w:family w:val="auto"/>
    <w:pitch w:val="default"/>
    <w:sig w:usb0="800002BF" w:usb1="18CFFDFA" w:usb2="00000016" w:usb3="00000000" w:csb0="40100005" w:csb1="C0020000"/>
  </w:font>
  <w:font w:name="方正FW筑紫A圆 简 L">
    <w:panose1 w:val="02000400000000000000"/>
    <w:charset w:val="86"/>
    <w:family w:val="auto"/>
    <w:pitch w:val="default"/>
    <w:sig w:usb0="A00002BF" w:usb1="184F6CFA" w:usb2="00000012" w:usb3="00000000" w:csb0="00040001" w:csb1="00000000"/>
  </w:font>
  <w:font w:name="方正榜书行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悠黑简可变 重 宽 高 1">
    <w:panose1 w:val="02000600000000000000"/>
    <w:charset w:val="86"/>
    <w:family w:val="auto"/>
    <w:pitch w:val="default"/>
    <w:sig w:usb0="A00002BF" w:usb1="184F6CFA" w:usb2="00000012" w:usb3="00000000" w:csb0="00040001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旗黑-60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青鸟华光简行楷">
    <w:panose1 w:val="02010604000101010101"/>
    <w:charset w:val="86"/>
    <w:family w:val="auto"/>
    <w:pitch w:val="default"/>
    <w:sig w:usb0="00000001" w:usb1="080E0000" w:usb2="00000000" w:usb3="00000000" w:csb0="00040001" w:csb1="00000000"/>
  </w:font>
  <w:font w:name="思源黑体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腾祥沁圆简-W3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悟空大字库">
    <w:panose1 w:val="020B0503020204020204"/>
    <w:charset w:val="86"/>
    <w:family w:val="auto"/>
    <w:pitch w:val="default"/>
    <w:sig w:usb0="A00002BF" w:usb1="78CFFCFB" w:usb2="00000016" w:usb3="00000000" w:csb0="E016019F" w:csb1="9FD70000"/>
  </w:font>
  <w:font w:name="祥南行書体">
    <w:panose1 w:val="03000509000000000000"/>
    <w:charset w:val="80"/>
    <w:family w:val="auto"/>
    <w:pitch w:val="default"/>
    <w:sig w:usb0="00000001" w:usb1="08070000" w:usb2="00000010" w:usb3="00000000" w:csb0="0002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圆体-繁 细体">
    <w:panose1 w:val="02010300040101010101"/>
    <w:charset w:val="88"/>
    <w:family w:val="auto"/>
    <w:pitch w:val="default"/>
    <w:sig w:usb0="800002C7" w:usb1="184F3C11" w:usb2="00000017" w:usb3="00000000" w:csb0="6010019F" w:csb1="DFD70000"/>
  </w:font>
  <w:font w:name="逐浪古宋书法楷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圆体-简">
    <w:panose1 w:val="02010500040101010101"/>
    <w:charset w:val="86"/>
    <w:family w:val="auto"/>
    <w:pitch w:val="default"/>
    <w:sig w:usb0="800002C7" w:usb1="1A4F3C11" w:usb2="00000017" w:usb3="00000000" w:csb0="6004019F" w:csb1="DFD7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【开开】晚安体">
    <w:panose1 w:val="020B0604000101010104"/>
    <w:charset w:val="80"/>
    <w:family w:val="auto"/>
    <w:pitch w:val="default"/>
    <w:sig w:usb0="F7FFAEFF" w:usb1="FBDFFFFF" w:usb2="041FFDFF" w:usb3="00000000" w:csb0="6003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D4003"/>
    <w:rsid w:val="2D62183D"/>
    <w:rsid w:val="2E3D4003"/>
    <w:rsid w:val="3FE36A23"/>
    <w:rsid w:val="51605029"/>
    <w:rsid w:val="5A1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544</Words>
  <Characters>863</Characters>
  <Lines>0</Lines>
  <Paragraphs>0</Paragraphs>
  <TotalTime>13</TotalTime>
  <ScaleCrop>false</ScaleCrop>
  <LinksUpToDate>false</LinksUpToDate>
  <CharactersWithSpaces>865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2021-03-14T08:50:00Z</dcterms:created>
  <dc:creator>龙战GT</dc:creator>
  <cp:lastModifiedBy>龙战GT</cp:lastModifiedBy>
  <dcterms:modified xsi:type="dcterms:W3CDTF">2021-03-14T09:36:35Z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