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50EA" w14:textId="77777777" w:rsidR="000000A4" w:rsidRPr="000000A4" w:rsidRDefault="000000A4" w:rsidP="000000A4">
      <w:pPr>
        <w:rPr>
          <w:rFonts w:ascii="楷体" w:eastAsia="楷体" w:hAnsi="楷体"/>
          <w:b/>
          <w:bCs/>
          <w:sz w:val="20"/>
          <w:szCs w:val="20"/>
        </w:rPr>
      </w:pPr>
      <w:r w:rsidRPr="000000A4">
        <w:rPr>
          <w:rFonts w:ascii="楷体" w:eastAsia="楷体" w:hAnsi="楷体"/>
          <w:b/>
          <w:bCs/>
          <w:sz w:val="20"/>
          <w:szCs w:val="20"/>
        </w:rPr>
        <w:t>代谢-免疫-血栓三重干预：NNMT抑制剂联合αIIbβ3抑制剂与PD-1/PD-L1抗体靶向循环肿瘤细胞异质性簇的策略探讨</w:t>
      </w:r>
    </w:p>
    <w:p w14:paraId="1243FA7A" w14:textId="77777777" w:rsidR="000000A4" w:rsidRPr="000000A4" w:rsidRDefault="000000A4" w:rsidP="000000A4">
      <w:pPr>
        <w:rPr>
          <w:rFonts w:ascii="楷体" w:eastAsia="楷体" w:hAnsi="楷体"/>
          <w:b/>
          <w:bCs/>
          <w:sz w:val="20"/>
          <w:szCs w:val="20"/>
        </w:rPr>
      </w:pPr>
      <w:r w:rsidRPr="000000A4">
        <w:rPr>
          <w:rFonts w:ascii="楷体" w:eastAsia="楷体" w:hAnsi="楷体"/>
          <w:b/>
          <w:bCs/>
          <w:sz w:val="20"/>
          <w:szCs w:val="20"/>
        </w:rPr>
        <w:t>摘要</w:t>
      </w:r>
    </w:p>
    <w:p w14:paraId="54ECC926" w14:textId="4DED1D67" w:rsidR="000000A4" w:rsidRPr="000000A4" w:rsidRDefault="000000A4" w:rsidP="000000A4">
      <w:pPr>
        <w:rPr>
          <w:rFonts w:ascii="楷体" w:eastAsia="楷体" w:hAnsi="楷体"/>
          <w:sz w:val="20"/>
          <w:szCs w:val="20"/>
        </w:rPr>
      </w:pPr>
      <w:r w:rsidRPr="000000A4">
        <w:rPr>
          <w:rFonts w:ascii="楷体" w:eastAsia="楷体" w:hAnsi="楷体"/>
          <w:sz w:val="20"/>
          <w:szCs w:val="20"/>
        </w:rPr>
        <w:t>循环肿瘤细胞（circulating tumor cells, CTCs）是血源性转移的前体细胞，其与中性粒细胞或血小板形成的异质性</w:t>
      </w:r>
      <w:proofErr w:type="gramStart"/>
      <w:r w:rsidRPr="000000A4">
        <w:rPr>
          <w:rFonts w:ascii="楷体" w:eastAsia="楷体" w:hAnsi="楷体"/>
          <w:sz w:val="20"/>
          <w:szCs w:val="20"/>
        </w:rPr>
        <w:t>簇</w:t>
      </w:r>
      <w:proofErr w:type="gramEnd"/>
      <w:r w:rsidRPr="000000A4">
        <w:rPr>
          <w:rFonts w:ascii="楷体" w:eastAsia="楷体" w:hAnsi="楷体"/>
          <w:sz w:val="20"/>
          <w:szCs w:val="20"/>
        </w:rPr>
        <w:t>结构可显著增强CTC在循环中的存活能力、免疫逃逸能力及转移潜能</w:t>
      </w:r>
      <w:r w:rsidR="00736205">
        <w:rPr>
          <w:rFonts w:ascii="楷体" w:eastAsia="楷体" w:hAnsi="楷体" w:hint="eastAsia"/>
          <w:sz w:val="20"/>
          <w:szCs w:val="20"/>
          <w:vertAlign w:val="superscript"/>
        </w:rPr>
        <w:t>[1、2、11、12]</w:t>
      </w:r>
      <w:r w:rsidRPr="000000A4">
        <w:rPr>
          <w:rFonts w:ascii="楷体" w:eastAsia="楷体" w:hAnsi="楷体"/>
          <w:sz w:val="20"/>
          <w:szCs w:val="20"/>
        </w:rPr>
        <w:t>。本文提出一种创新的三</w:t>
      </w:r>
      <w:proofErr w:type="gramStart"/>
      <w:r w:rsidRPr="000000A4">
        <w:rPr>
          <w:rFonts w:ascii="楷体" w:eastAsia="楷体" w:hAnsi="楷体"/>
          <w:sz w:val="20"/>
          <w:szCs w:val="20"/>
        </w:rPr>
        <w:t>联治疗</w:t>
      </w:r>
      <w:proofErr w:type="gramEnd"/>
      <w:r w:rsidRPr="000000A4">
        <w:rPr>
          <w:rFonts w:ascii="楷体" w:eastAsia="楷体" w:hAnsi="楷体"/>
          <w:sz w:val="20"/>
          <w:szCs w:val="20"/>
        </w:rPr>
        <w:t>策略：NNMT抑制剂联合αIIbβ3抑制剂与PD-1/PD-L1抗体，旨在从代谢、血小板屏障和免疫检查点三个维度系统性干预CTC簇</w:t>
      </w:r>
      <w:proofErr w:type="gramStart"/>
      <w:r w:rsidRPr="000000A4">
        <w:rPr>
          <w:rFonts w:ascii="楷体" w:eastAsia="楷体" w:hAnsi="楷体"/>
          <w:sz w:val="20"/>
          <w:szCs w:val="20"/>
        </w:rPr>
        <w:t>介</w:t>
      </w:r>
      <w:proofErr w:type="gramEnd"/>
      <w:r w:rsidRPr="000000A4">
        <w:rPr>
          <w:rFonts w:ascii="楷体" w:eastAsia="楷体" w:hAnsi="楷体"/>
          <w:sz w:val="20"/>
          <w:szCs w:val="20"/>
        </w:rPr>
        <w:t>导的转移</w:t>
      </w:r>
      <w:r w:rsidR="00736205">
        <w:rPr>
          <w:rFonts w:ascii="楷体" w:eastAsia="楷体" w:hAnsi="楷体" w:hint="eastAsia"/>
          <w:sz w:val="20"/>
          <w:szCs w:val="20"/>
          <w:vertAlign w:val="superscript"/>
        </w:rPr>
        <w:t>[29]</w:t>
      </w:r>
      <w:r w:rsidRPr="000000A4">
        <w:rPr>
          <w:rFonts w:ascii="楷体" w:eastAsia="楷体" w:hAnsi="楷体"/>
          <w:sz w:val="20"/>
          <w:szCs w:val="20"/>
        </w:rPr>
        <w:t>。NNMT抑制剂通过调节烟酰胺代谢重编程削弱CTC的干性和存活优势</w:t>
      </w:r>
      <w:r w:rsidR="00466AA3">
        <w:rPr>
          <w:rFonts w:ascii="楷体" w:eastAsia="楷体" w:hAnsi="楷体" w:hint="eastAsia"/>
          <w:sz w:val="20"/>
          <w:szCs w:val="20"/>
          <w:vertAlign w:val="superscript"/>
        </w:rPr>
        <w:t>[9,13]</w:t>
      </w:r>
      <w:r w:rsidRPr="000000A4">
        <w:rPr>
          <w:rFonts w:ascii="楷体" w:eastAsia="楷体" w:hAnsi="楷体"/>
          <w:sz w:val="20"/>
          <w:szCs w:val="20"/>
        </w:rPr>
        <w:t>；αIIbβ3抑制剂阻断血小板与CTC的黏附，瓦解</w:t>
      </w:r>
      <w:proofErr w:type="gramStart"/>
      <w:r w:rsidRPr="000000A4">
        <w:rPr>
          <w:rFonts w:ascii="楷体" w:eastAsia="楷体" w:hAnsi="楷体"/>
          <w:sz w:val="20"/>
          <w:szCs w:val="20"/>
        </w:rPr>
        <w:t>簇</w:t>
      </w:r>
      <w:proofErr w:type="gramEnd"/>
      <w:r w:rsidRPr="000000A4">
        <w:rPr>
          <w:rFonts w:ascii="楷体" w:eastAsia="楷体" w:hAnsi="楷体"/>
          <w:sz w:val="20"/>
          <w:szCs w:val="20"/>
        </w:rPr>
        <w:t>结构并恢复NK细胞的免疫监视</w:t>
      </w:r>
      <w:r w:rsidR="00466AA3">
        <w:rPr>
          <w:rFonts w:ascii="楷体" w:eastAsia="楷体" w:hAnsi="楷体" w:hint="eastAsia"/>
          <w:sz w:val="20"/>
          <w:szCs w:val="20"/>
          <w:vertAlign w:val="superscript"/>
        </w:rPr>
        <w:t>[16,17]</w:t>
      </w:r>
      <w:r w:rsidRPr="000000A4">
        <w:rPr>
          <w:rFonts w:ascii="楷体" w:eastAsia="楷体" w:hAnsi="楷体"/>
          <w:sz w:val="20"/>
          <w:szCs w:val="20"/>
        </w:rPr>
        <w:t>；PD-1/PD-L1抗体则逆转T细胞耗竭状态，重建适应性抗肿瘤免疫</w:t>
      </w:r>
      <w:r w:rsidR="00466AA3">
        <w:rPr>
          <w:rFonts w:ascii="楷体" w:eastAsia="楷体" w:hAnsi="楷体" w:hint="eastAsia"/>
          <w:sz w:val="20"/>
          <w:szCs w:val="20"/>
          <w:vertAlign w:val="superscript"/>
        </w:rPr>
        <w:t>[20,21]</w:t>
      </w:r>
      <w:r w:rsidRPr="000000A4">
        <w:rPr>
          <w:rFonts w:ascii="楷体" w:eastAsia="楷体" w:hAnsi="楷体"/>
          <w:sz w:val="20"/>
          <w:szCs w:val="20"/>
        </w:rPr>
        <w:t>。理论分析表明，三者的协同作用可实现对CTC簇的“瓦解-暴露-清除”级联效应，为阻断血源性转移提供新的治疗范式。</w:t>
      </w:r>
    </w:p>
    <w:p w14:paraId="1AEDA4CD" w14:textId="77777777" w:rsidR="000000A4" w:rsidRPr="000000A4" w:rsidRDefault="000000A4" w:rsidP="000000A4">
      <w:pPr>
        <w:rPr>
          <w:rFonts w:ascii="楷体" w:eastAsia="楷体" w:hAnsi="楷体"/>
          <w:sz w:val="20"/>
          <w:szCs w:val="20"/>
        </w:rPr>
      </w:pPr>
      <w:r w:rsidRPr="000000A4">
        <w:rPr>
          <w:rFonts w:ascii="楷体" w:eastAsia="楷体" w:hAnsi="楷体"/>
          <w:b/>
          <w:bCs/>
          <w:sz w:val="20"/>
          <w:szCs w:val="20"/>
        </w:rPr>
        <w:t>关键词</w:t>
      </w:r>
      <w:r w:rsidRPr="000000A4">
        <w:rPr>
          <w:rFonts w:ascii="楷体" w:eastAsia="楷体" w:hAnsi="楷体"/>
          <w:sz w:val="20"/>
          <w:szCs w:val="20"/>
        </w:rPr>
        <w:t>：循环肿瘤细胞簇；NNMT抑制剂；αIIbβ3抑制剂；免疫检查点抑制剂；肿瘤转移</w:t>
      </w:r>
    </w:p>
    <w:p w14:paraId="29D818D4" w14:textId="77777777" w:rsidR="000000A4" w:rsidRPr="000000A4" w:rsidRDefault="00000000" w:rsidP="000000A4">
      <w:pPr>
        <w:rPr>
          <w:rFonts w:ascii="楷体" w:eastAsia="楷体" w:hAnsi="楷体"/>
          <w:sz w:val="20"/>
          <w:szCs w:val="20"/>
        </w:rPr>
      </w:pPr>
      <w:r>
        <w:rPr>
          <w:rFonts w:ascii="楷体" w:eastAsia="楷体" w:hAnsi="楷体"/>
          <w:sz w:val="20"/>
          <w:szCs w:val="20"/>
        </w:rPr>
        <w:pict w14:anchorId="74181267">
          <v:rect id="_x0000_i1025" style="width:0;height:.75pt" o:hralign="center" o:hrstd="t" o:hr="t" fillcolor="#a0a0a0" stroked="f"/>
        </w:pict>
      </w:r>
    </w:p>
    <w:p w14:paraId="623D3403" w14:textId="77777777" w:rsidR="000000A4" w:rsidRPr="000000A4" w:rsidRDefault="000000A4" w:rsidP="000000A4">
      <w:pPr>
        <w:rPr>
          <w:rFonts w:ascii="楷体" w:eastAsia="楷体" w:hAnsi="楷体"/>
          <w:b/>
          <w:bCs/>
          <w:sz w:val="20"/>
          <w:szCs w:val="20"/>
        </w:rPr>
      </w:pPr>
      <w:r w:rsidRPr="000000A4">
        <w:rPr>
          <w:rFonts w:ascii="楷体" w:eastAsia="楷体" w:hAnsi="楷体"/>
          <w:b/>
          <w:bCs/>
          <w:sz w:val="20"/>
          <w:szCs w:val="20"/>
        </w:rPr>
        <w:t>1. 引言</w:t>
      </w:r>
    </w:p>
    <w:p w14:paraId="61013D5E" w14:textId="3898C375" w:rsidR="000000A4" w:rsidRPr="000000A4" w:rsidRDefault="000000A4" w:rsidP="000000A4">
      <w:pPr>
        <w:rPr>
          <w:rFonts w:ascii="楷体" w:eastAsia="楷体" w:hAnsi="楷体"/>
          <w:sz w:val="20"/>
          <w:szCs w:val="20"/>
        </w:rPr>
      </w:pPr>
      <w:r w:rsidRPr="000000A4">
        <w:rPr>
          <w:rFonts w:ascii="楷体" w:eastAsia="楷体" w:hAnsi="楷体"/>
          <w:sz w:val="20"/>
          <w:szCs w:val="20"/>
        </w:rPr>
        <w:t>肿瘤转移是导致癌症患者死亡的主要原因，约90%的癌症相关死亡归因于转移事件而非原发肿瘤本身</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30</w:t>
      </w:r>
      <w:r w:rsidR="00301360">
        <w:rPr>
          <w:rFonts w:ascii="楷体" w:eastAsia="楷体" w:hAnsi="楷体" w:hint="eastAsia"/>
          <w:sz w:val="20"/>
          <w:szCs w:val="20"/>
          <w:vertAlign w:val="superscript"/>
        </w:rPr>
        <w:t>]</w:t>
      </w:r>
      <w:r w:rsidRPr="000000A4">
        <w:rPr>
          <w:rFonts w:ascii="楷体" w:eastAsia="楷体" w:hAnsi="楷体"/>
          <w:sz w:val="20"/>
          <w:szCs w:val="20"/>
        </w:rPr>
        <w:t>。循环肿瘤细胞作为转移的“种子”，从原发灶脱落进入血液循环，经历流体剪切力、</w:t>
      </w:r>
      <w:proofErr w:type="gramStart"/>
      <w:r w:rsidRPr="000000A4">
        <w:rPr>
          <w:rFonts w:ascii="楷体" w:eastAsia="楷体" w:hAnsi="楷体"/>
          <w:sz w:val="20"/>
          <w:szCs w:val="20"/>
        </w:rPr>
        <w:t>失巢凋亡</w:t>
      </w:r>
      <w:proofErr w:type="gramEnd"/>
      <w:r w:rsidRPr="000000A4">
        <w:rPr>
          <w:rFonts w:ascii="楷体" w:eastAsia="楷体" w:hAnsi="楷体"/>
          <w:sz w:val="20"/>
          <w:szCs w:val="20"/>
        </w:rPr>
        <w:t>及免疫监视等多重生存压力后，少数幸存者方能定植于远处器官</w:t>
      </w:r>
      <w:r w:rsidR="00466AA3">
        <w:rPr>
          <w:rFonts w:ascii="楷体" w:eastAsia="楷体" w:hAnsi="楷体" w:hint="eastAsia"/>
          <w:sz w:val="20"/>
          <w:szCs w:val="20"/>
          <w:vertAlign w:val="superscript"/>
        </w:rPr>
        <w:t>[4]</w:t>
      </w:r>
      <w:r w:rsidRPr="000000A4">
        <w:rPr>
          <w:rFonts w:ascii="楷体" w:eastAsia="楷体" w:hAnsi="楷体"/>
          <w:sz w:val="20"/>
          <w:szCs w:val="20"/>
        </w:rPr>
        <w:t>。然而，近年研究发现，当CTCs</w:t>
      </w:r>
      <w:proofErr w:type="gramStart"/>
      <w:r w:rsidRPr="000000A4">
        <w:rPr>
          <w:rFonts w:ascii="楷体" w:eastAsia="楷体" w:hAnsi="楷体"/>
          <w:sz w:val="20"/>
          <w:szCs w:val="20"/>
        </w:rPr>
        <w:t>以簇状形式</w:t>
      </w:r>
      <w:proofErr w:type="gramEnd"/>
      <w:r w:rsidRPr="000000A4">
        <w:rPr>
          <w:rFonts w:ascii="楷体" w:eastAsia="楷体" w:hAnsi="楷体"/>
          <w:sz w:val="20"/>
          <w:szCs w:val="20"/>
        </w:rPr>
        <w:t>——无论是同型簇（CTCs之间相互聚集）还是异型簇（CTCs与血细胞如中性粒细胞、血小板、</w:t>
      </w:r>
      <w:proofErr w:type="gramStart"/>
      <w:r w:rsidRPr="000000A4">
        <w:rPr>
          <w:rFonts w:ascii="楷体" w:eastAsia="楷体" w:hAnsi="楷体"/>
          <w:sz w:val="20"/>
          <w:szCs w:val="20"/>
        </w:rPr>
        <w:t>髓源性</w:t>
      </w:r>
      <w:proofErr w:type="gramEnd"/>
      <w:r w:rsidRPr="000000A4">
        <w:rPr>
          <w:rFonts w:ascii="楷体" w:eastAsia="楷体" w:hAnsi="楷体"/>
          <w:sz w:val="20"/>
          <w:szCs w:val="20"/>
        </w:rPr>
        <w:t>抑制细胞等相互作用）——在循环中迁移时，其转移效能呈</w:t>
      </w:r>
      <w:proofErr w:type="gramStart"/>
      <w:r w:rsidRPr="000000A4">
        <w:rPr>
          <w:rFonts w:ascii="楷体" w:eastAsia="楷体" w:hAnsi="楷体"/>
          <w:sz w:val="20"/>
          <w:szCs w:val="20"/>
        </w:rPr>
        <w:t>指数级</w:t>
      </w:r>
      <w:proofErr w:type="gramEnd"/>
      <w:r w:rsidRPr="000000A4">
        <w:rPr>
          <w:rFonts w:ascii="楷体" w:eastAsia="楷体" w:hAnsi="楷体"/>
          <w:sz w:val="20"/>
          <w:szCs w:val="20"/>
        </w:rPr>
        <w:t>提升：CTC簇的转移潜能比单个CTC高出23-50倍，约97%的转移</w:t>
      </w:r>
      <w:proofErr w:type="gramStart"/>
      <w:r w:rsidRPr="000000A4">
        <w:rPr>
          <w:rFonts w:ascii="楷体" w:eastAsia="楷体" w:hAnsi="楷体"/>
          <w:sz w:val="20"/>
          <w:szCs w:val="20"/>
        </w:rPr>
        <w:t>事件由簇状</w:t>
      </w:r>
      <w:proofErr w:type="gramEnd"/>
      <w:r w:rsidRPr="000000A4">
        <w:rPr>
          <w:rFonts w:ascii="楷体" w:eastAsia="楷体" w:hAnsi="楷体"/>
          <w:sz w:val="20"/>
          <w:szCs w:val="20"/>
        </w:rPr>
        <w:t>CTCs</w:t>
      </w:r>
      <w:proofErr w:type="gramStart"/>
      <w:r w:rsidRPr="000000A4">
        <w:rPr>
          <w:rFonts w:ascii="楷体" w:eastAsia="楷体" w:hAnsi="楷体"/>
          <w:sz w:val="20"/>
          <w:szCs w:val="20"/>
        </w:rPr>
        <w:t>介</w:t>
      </w:r>
      <w:proofErr w:type="gramEnd"/>
      <w:r w:rsidRPr="000000A4">
        <w:rPr>
          <w:rFonts w:ascii="楷体" w:eastAsia="楷体" w:hAnsi="楷体"/>
          <w:sz w:val="20"/>
          <w:szCs w:val="20"/>
        </w:rPr>
        <w:t>导</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2,11,12</w:t>
      </w:r>
      <w:r w:rsidR="00301360">
        <w:rPr>
          <w:rFonts w:ascii="楷体" w:eastAsia="楷体" w:hAnsi="楷体" w:hint="eastAsia"/>
          <w:sz w:val="20"/>
          <w:szCs w:val="20"/>
          <w:vertAlign w:val="superscript"/>
        </w:rPr>
        <w:t>]</w:t>
      </w:r>
      <w:r w:rsidRPr="000000A4">
        <w:rPr>
          <w:rFonts w:ascii="楷体" w:eastAsia="楷体" w:hAnsi="楷体"/>
          <w:sz w:val="20"/>
          <w:szCs w:val="20"/>
        </w:rPr>
        <w:t>。</w:t>
      </w:r>
    </w:p>
    <w:p w14:paraId="079C16AB" w14:textId="315B0614" w:rsidR="000000A4" w:rsidRPr="000000A4" w:rsidRDefault="000000A4" w:rsidP="000000A4">
      <w:pPr>
        <w:rPr>
          <w:rFonts w:ascii="楷体" w:eastAsia="楷体" w:hAnsi="楷体"/>
          <w:sz w:val="20"/>
          <w:szCs w:val="20"/>
        </w:rPr>
      </w:pPr>
      <w:r w:rsidRPr="000000A4">
        <w:rPr>
          <w:rFonts w:ascii="楷体" w:eastAsia="楷体" w:hAnsi="楷体"/>
          <w:sz w:val="20"/>
          <w:szCs w:val="20"/>
        </w:rPr>
        <w:t>异质性CTC</w:t>
      </w:r>
      <w:proofErr w:type="gramStart"/>
      <w:r w:rsidRPr="000000A4">
        <w:rPr>
          <w:rFonts w:ascii="楷体" w:eastAsia="楷体" w:hAnsi="楷体"/>
          <w:sz w:val="20"/>
          <w:szCs w:val="20"/>
        </w:rPr>
        <w:t>簇</w:t>
      </w:r>
      <w:proofErr w:type="gramEnd"/>
      <w:r w:rsidRPr="000000A4">
        <w:rPr>
          <w:rFonts w:ascii="楷体" w:eastAsia="楷体" w:hAnsi="楷体"/>
          <w:sz w:val="20"/>
          <w:szCs w:val="20"/>
        </w:rPr>
        <w:t>之所以具有如此强大的转移能力，源于其独特的“群体保护”机制。一方面，血小板包被在CTC表面，形成物理屏障，既抵抗流体剪切力的机械损伤，又通过释放TGF-β等细胞因子抑制NK细胞的细胞毒性功能</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5,16,18</w:t>
      </w:r>
      <w:r w:rsidR="00301360">
        <w:rPr>
          <w:rFonts w:ascii="楷体" w:eastAsia="楷体" w:hAnsi="楷体" w:hint="eastAsia"/>
          <w:sz w:val="20"/>
          <w:szCs w:val="20"/>
          <w:vertAlign w:val="superscript"/>
        </w:rPr>
        <w:t>]</w:t>
      </w:r>
      <w:r w:rsidRPr="000000A4">
        <w:rPr>
          <w:rFonts w:ascii="楷体" w:eastAsia="楷体" w:hAnsi="楷体"/>
          <w:sz w:val="20"/>
          <w:szCs w:val="20"/>
        </w:rPr>
        <w:t>；另一方面，中性粒细胞通过中性粒细胞胞外陷阱（neutrophil extracellular traps, NETs）捕获并保护CTCs，同时分泌ARG1、IL-10等免疫抑制分子，构筑抵御细胞毒性T细胞和NK细胞攻击的“免疫庇护所”</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3,7,8</w:t>
      </w:r>
      <w:r w:rsidR="00301360">
        <w:rPr>
          <w:rFonts w:ascii="楷体" w:eastAsia="楷体" w:hAnsi="楷体" w:hint="eastAsia"/>
          <w:sz w:val="20"/>
          <w:szCs w:val="20"/>
          <w:vertAlign w:val="superscript"/>
        </w:rPr>
        <w:t>]</w:t>
      </w:r>
      <w:r w:rsidRPr="000000A4">
        <w:rPr>
          <w:rFonts w:ascii="楷体" w:eastAsia="楷体" w:hAnsi="楷体"/>
          <w:sz w:val="20"/>
          <w:szCs w:val="20"/>
        </w:rPr>
        <w:t>。此外，CTC</w:t>
      </w:r>
      <w:proofErr w:type="gramStart"/>
      <w:r w:rsidRPr="000000A4">
        <w:rPr>
          <w:rFonts w:ascii="楷体" w:eastAsia="楷体" w:hAnsi="楷体"/>
          <w:sz w:val="20"/>
          <w:szCs w:val="20"/>
        </w:rPr>
        <w:t>簇内细胞</w:t>
      </w:r>
      <w:proofErr w:type="gramEnd"/>
      <w:r w:rsidRPr="000000A4">
        <w:rPr>
          <w:rFonts w:ascii="楷体" w:eastAsia="楷体" w:hAnsi="楷体"/>
          <w:sz w:val="20"/>
          <w:szCs w:val="20"/>
        </w:rPr>
        <w:t>间黏附分子（如VCAM-1、整合素）的相互作用还可激活特定的 survival signaling，</w:t>
      </w:r>
      <w:proofErr w:type="gramStart"/>
      <w:r w:rsidRPr="000000A4">
        <w:rPr>
          <w:rFonts w:ascii="楷体" w:eastAsia="楷体" w:hAnsi="楷体"/>
          <w:sz w:val="20"/>
          <w:szCs w:val="20"/>
        </w:rPr>
        <w:t>抑制失巢凋亡</w:t>
      </w:r>
      <w:proofErr w:type="gramEnd"/>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6,</w:t>
      </w:r>
      <w:r w:rsidR="00301360">
        <w:rPr>
          <w:rFonts w:ascii="楷体" w:eastAsia="楷体" w:hAnsi="楷体" w:hint="eastAsia"/>
          <w:sz w:val="20"/>
          <w:szCs w:val="20"/>
          <w:vertAlign w:val="superscript"/>
        </w:rPr>
        <w:t>1</w:t>
      </w:r>
      <w:r w:rsidR="00466AA3">
        <w:rPr>
          <w:rFonts w:ascii="楷体" w:eastAsia="楷体" w:hAnsi="楷体" w:hint="eastAsia"/>
          <w:sz w:val="20"/>
          <w:szCs w:val="20"/>
          <w:vertAlign w:val="superscript"/>
        </w:rPr>
        <w:t>5</w:t>
      </w:r>
      <w:r w:rsidR="00301360">
        <w:rPr>
          <w:rFonts w:ascii="楷体" w:eastAsia="楷体" w:hAnsi="楷体" w:hint="eastAsia"/>
          <w:sz w:val="20"/>
          <w:szCs w:val="20"/>
          <w:vertAlign w:val="superscript"/>
        </w:rPr>
        <w:t>]</w:t>
      </w:r>
      <w:r w:rsidRPr="000000A4">
        <w:rPr>
          <w:rFonts w:ascii="楷体" w:eastAsia="楷体" w:hAnsi="楷体"/>
          <w:sz w:val="20"/>
          <w:szCs w:val="20"/>
        </w:rPr>
        <w:t>。</w:t>
      </w:r>
    </w:p>
    <w:p w14:paraId="0A1E5798" w14:textId="178F4E60" w:rsidR="000000A4" w:rsidRPr="000000A4" w:rsidRDefault="000000A4" w:rsidP="000000A4">
      <w:pPr>
        <w:rPr>
          <w:rFonts w:ascii="楷体" w:eastAsia="楷体" w:hAnsi="楷体"/>
          <w:sz w:val="20"/>
          <w:szCs w:val="20"/>
        </w:rPr>
      </w:pPr>
      <w:r w:rsidRPr="000000A4">
        <w:rPr>
          <w:rFonts w:ascii="楷体" w:eastAsia="楷体" w:hAnsi="楷体"/>
          <w:sz w:val="20"/>
          <w:szCs w:val="20"/>
        </w:rPr>
        <w:t>然而，现有针对CTC簇的治疗策略仍处于起步阶段。免疫检查点抑制剂（如PD-1/PD-L1抗体）虽能恢复T细胞活性，但对被血小板或中性粒细胞物理“屏蔽”的CTC</w:t>
      </w:r>
      <w:proofErr w:type="gramStart"/>
      <w:r w:rsidRPr="000000A4">
        <w:rPr>
          <w:rFonts w:ascii="楷体" w:eastAsia="楷体" w:hAnsi="楷体"/>
          <w:sz w:val="20"/>
          <w:szCs w:val="20"/>
        </w:rPr>
        <w:t>簇</w:t>
      </w:r>
      <w:proofErr w:type="gramEnd"/>
      <w:r w:rsidRPr="000000A4">
        <w:rPr>
          <w:rFonts w:ascii="楷体" w:eastAsia="楷体" w:hAnsi="楷体"/>
          <w:sz w:val="20"/>
          <w:szCs w:val="20"/>
        </w:rPr>
        <w:t>效果有限</w:t>
      </w:r>
      <w:r w:rsidR="00466AA3">
        <w:rPr>
          <w:rFonts w:ascii="楷体" w:eastAsia="楷体" w:hAnsi="楷体" w:hint="eastAsia"/>
          <w:sz w:val="20"/>
          <w:szCs w:val="20"/>
          <w:vertAlign w:val="superscript"/>
        </w:rPr>
        <w:t>[20,22]</w:t>
      </w:r>
      <w:r w:rsidRPr="000000A4">
        <w:rPr>
          <w:rFonts w:ascii="楷体" w:eastAsia="楷体" w:hAnsi="楷体"/>
          <w:sz w:val="20"/>
          <w:szCs w:val="20"/>
        </w:rPr>
        <w:t>；抗血小板药物（如阿司匹林）虽能减少血小板-CTC相互作用，但缺乏特异性且增加出血风险</w:t>
      </w:r>
      <w:r w:rsidR="00466AA3">
        <w:rPr>
          <w:rFonts w:ascii="楷体" w:eastAsia="楷体" w:hAnsi="楷体" w:hint="eastAsia"/>
          <w:sz w:val="20"/>
          <w:szCs w:val="20"/>
          <w:vertAlign w:val="superscript"/>
        </w:rPr>
        <w:t>[19]</w:t>
      </w:r>
      <w:r w:rsidRPr="000000A4">
        <w:rPr>
          <w:rFonts w:ascii="楷体" w:eastAsia="楷体" w:hAnsi="楷体"/>
          <w:sz w:val="20"/>
          <w:szCs w:val="20"/>
        </w:rPr>
        <w:t>。因此，亟需开发能够多维度、精准干预CTC</w:t>
      </w:r>
      <w:proofErr w:type="gramStart"/>
      <w:r w:rsidRPr="000000A4">
        <w:rPr>
          <w:rFonts w:ascii="楷体" w:eastAsia="楷体" w:hAnsi="楷体"/>
          <w:sz w:val="20"/>
          <w:szCs w:val="20"/>
        </w:rPr>
        <w:t>簇</w:t>
      </w:r>
      <w:proofErr w:type="gramEnd"/>
      <w:r w:rsidRPr="000000A4">
        <w:rPr>
          <w:rFonts w:ascii="楷体" w:eastAsia="楷体" w:hAnsi="楷体"/>
          <w:sz w:val="20"/>
          <w:szCs w:val="20"/>
        </w:rPr>
        <w:t>形成的联合治疗策略</w:t>
      </w:r>
      <w:r w:rsidR="00466AA3">
        <w:rPr>
          <w:rFonts w:ascii="楷体" w:eastAsia="楷体" w:hAnsi="楷体" w:hint="eastAsia"/>
          <w:sz w:val="20"/>
          <w:szCs w:val="20"/>
          <w:vertAlign w:val="superscript"/>
        </w:rPr>
        <w:t>[24,28]</w:t>
      </w:r>
      <w:r w:rsidRPr="000000A4">
        <w:rPr>
          <w:rFonts w:ascii="楷体" w:eastAsia="楷体" w:hAnsi="楷体"/>
          <w:sz w:val="20"/>
          <w:szCs w:val="20"/>
        </w:rPr>
        <w:t>。</w:t>
      </w:r>
    </w:p>
    <w:p w14:paraId="491321E8" w14:textId="77520955" w:rsidR="000000A4" w:rsidRPr="000000A4" w:rsidRDefault="000000A4" w:rsidP="000000A4">
      <w:pPr>
        <w:rPr>
          <w:rFonts w:ascii="楷体" w:eastAsia="楷体" w:hAnsi="楷体"/>
          <w:sz w:val="20"/>
          <w:szCs w:val="20"/>
        </w:rPr>
      </w:pPr>
      <w:r w:rsidRPr="000000A4">
        <w:rPr>
          <w:rFonts w:ascii="楷体" w:eastAsia="楷体" w:hAnsi="楷体"/>
          <w:sz w:val="20"/>
          <w:szCs w:val="20"/>
        </w:rPr>
        <w:t>烟酰胺甲基转移酶（nicotinamide N-methyltransferase, NNMT）是近年来肿瘤代谢领域备受关注的靶点。NNMT催化烟酰胺（nicotinamide, NAM）转化为1-甲基烟酰胺（1-</w:t>
      </w:r>
      <w:r w:rsidRPr="000000A4">
        <w:rPr>
          <w:rFonts w:ascii="楷体" w:eastAsia="楷体" w:hAnsi="楷体"/>
          <w:sz w:val="20"/>
          <w:szCs w:val="20"/>
        </w:rPr>
        <w:lastRenderedPageBreak/>
        <w:t>methylnicotinamide, MNAM），消耗甲基供体S-腺苷甲硫氨酸（S-adenosylmethionine, SAM），从而调控细胞表观遗传状态和代谢适应能力</w:t>
      </w:r>
      <w:r w:rsidR="00466AA3">
        <w:rPr>
          <w:rFonts w:ascii="楷体" w:eastAsia="楷体" w:hAnsi="楷体" w:hint="eastAsia"/>
          <w:sz w:val="20"/>
          <w:szCs w:val="20"/>
          <w:vertAlign w:val="superscript"/>
        </w:rPr>
        <w:t>[9,10]</w:t>
      </w:r>
      <w:r w:rsidRPr="000000A4">
        <w:rPr>
          <w:rFonts w:ascii="楷体" w:eastAsia="楷体" w:hAnsi="楷体"/>
          <w:sz w:val="20"/>
          <w:szCs w:val="20"/>
        </w:rPr>
        <w:t>。在多种癌症中，NNMT</w:t>
      </w:r>
      <w:proofErr w:type="gramStart"/>
      <w:r w:rsidRPr="000000A4">
        <w:rPr>
          <w:rFonts w:ascii="楷体" w:eastAsia="楷体" w:hAnsi="楷体"/>
          <w:sz w:val="20"/>
          <w:szCs w:val="20"/>
        </w:rPr>
        <w:t>高表达</w:t>
      </w:r>
      <w:proofErr w:type="gramEnd"/>
      <w:r w:rsidRPr="000000A4">
        <w:rPr>
          <w:rFonts w:ascii="楷体" w:eastAsia="楷体" w:hAnsi="楷体"/>
          <w:sz w:val="20"/>
          <w:szCs w:val="20"/>
        </w:rPr>
        <w:t>与CTCs的干性维持、化疗耐药及转移潜能密切相关</w:t>
      </w:r>
      <w:r w:rsidR="00466AA3">
        <w:rPr>
          <w:rFonts w:ascii="楷体" w:eastAsia="楷体" w:hAnsi="楷体" w:hint="eastAsia"/>
          <w:sz w:val="20"/>
          <w:szCs w:val="20"/>
          <w:vertAlign w:val="superscript"/>
        </w:rPr>
        <w:t>13,14]</w:t>
      </w:r>
      <w:r w:rsidRPr="000000A4">
        <w:rPr>
          <w:rFonts w:ascii="楷体" w:eastAsia="楷体" w:hAnsi="楷体"/>
          <w:sz w:val="20"/>
          <w:szCs w:val="20"/>
        </w:rPr>
        <w:t>。</w:t>
      </w:r>
      <w:r w:rsidR="00466AA3" w:rsidRPr="00466AA3">
        <w:rPr>
          <w:rFonts w:ascii="楷体" w:eastAsia="楷体" w:hAnsi="楷体"/>
          <w:sz w:val="20"/>
          <w:szCs w:val="20"/>
        </w:rPr>
        <w:t>最新研究发现，周细胞NNMT通过CXCL5/CXCR2轴驱动CTC-中性粒细胞</w:t>
      </w:r>
      <w:proofErr w:type="gramStart"/>
      <w:r w:rsidR="00466AA3" w:rsidRPr="00466AA3">
        <w:rPr>
          <w:rFonts w:ascii="楷体" w:eastAsia="楷体" w:hAnsi="楷体"/>
          <w:sz w:val="20"/>
          <w:szCs w:val="20"/>
        </w:rPr>
        <w:t>簇</w:t>
      </w:r>
      <w:proofErr w:type="gramEnd"/>
      <w:r w:rsidR="00466AA3" w:rsidRPr="00466AA3">
        <w:rPr>
          <w:rFonts w:ascii="楷体" w:eastAsia="楷体" w:hAnsi="楷体"/>
          <w:sz w:val="20"/>
          <w:szCs w:val="20"/>
        </w:rPr>
        <w:t>形成，NNMT抑制剂可消除簇并抑制转移</w:t>
      </w:r>
      <w:r w:rsidR="00466AA3" w:rsidRPr="00466AA3">
        <w:rPr>
          <w:rFonts w:ascii="楷体" w:eastAsia="楷体" w:hAnsi="楷体"/>
          <w:sz w:val="20"/>
          <w:szCs w:val="20"/>
          <w:vertAlign w:val="superscript"/>
        </w:rPr>
        <w:t>[29]</w:t>
      </w:r>
      <w:r w:rsidR="00466AA3" w:rsidRPr="00466AA3">
        <w:rPr>
          <w:rFonts w:ascii="楷体" w:eastAsia="楷体" w:hAnsi="楷体"/>
          <w:sz w:val="20"/>
          <w:szCs w:val="20"/>
        </w:rPr>
        <w:t>。</w:t>
      </w:r>
      <w:r w:rsidRPr="000000A4">
        <w:rPr>
          <w:rFonts w:ascii="楷体" w:eastAsia="楷体" w:hAnsi="楷体"/>
          <w:sz w:val="20"/>
          <w:szCs w:val="20"/>
        </w:rPr>
        <w:t>我们推测，NNMT抑制剂可通过代谢重编程削弱CTCs的“簇形成能力”和“簇内生存优势”，为免疫效应细胞攻击CTC</w:t>
      </w:r>
      <w:proofErr w:type="gramStart"/>
      <w:r w:rsidRPr="000000A4">
        <w:rPr>
          <w:rFonts w:ascii="楷体" w:eastAsia="楷体" w:hAnsi="楷体"/>
          <w:sz w:val="20"/>
          <w:szCs w:val="20"/>
        </w:rPr>
        <w:t>簇</w:t>
      </w:r>
      <w:proofErr w:type="gramEnd"/>
      <w:r w:rsidRPr="000000A4">
        <w:rPr>
          <w:rFonts w:ascii="楷体" w:eastAsia="楷体" w:hAnsi="楷体"/>
          <w:sz w:val="20"/>
          <w:szCs w:val="20"/>
        </w:rPr>
        <w:t>创造机会。</w:t>
      </w:r>
    </w:p>
    <w:p w14:paraId="7E08AA41" w14:textId="56874C3D" w:rsidR="000000A4" w:rsidRPr="000000A4" w:rsidRDefault="000000A4" w:rsidP="000000A4">
      <w:pPr>
        <w:rPr>
          <w:rFonts w:ascii="楷体" w:eastAsia="楷体" w:hAnsi="楷体"/>
          <w:sz w:val="20"/>
          <w:szCs w:val="20"/>
        </w:rPr>
      </w:pPr>
      <w:r w:rsidRPr="000000A4">
        <w:rPr>
          <w:rFonts w:ascii="楷体" w:eastAsia="楷体" w:hAnsi="楷体"/>
          <w:sz w:val="20"/>
          <w:szCs w:val="20"/>
        </w:rPr>
        <w:t>基于上述背景，本文提出一种创新的三</w:t>
      </w:r>
      <w:proofErr w:type="gramStart"/>
      <w:r w:rsidRPr="000000A4">
        <w:rPr>
          <w:rFonts w:ascii="楷体" w:eastAsia="楷体" w:hAnsi="楷体"/>
          <w:sz w:val="20"/>
          <w:szCs w:val="20"/>
        </w:rPr>
        <w:t>联治疗</w:t>
      </w:r>
      <w:proofErr w:type="gramEnd"/>
      <w:r w:rsidRPr="000000A4">
        <w:rPr>
          <w:rFonts w:ascii="楷体" w:eastAsia="楷体" w:hAnsi="楷体"/>
          <w:sz w:val="20"/>
          <w:szCs w:val="20"/>
        </w:rPr>
        <w:t>策略：NNMT抑制剂 + αIIbβ3抑制剂（血小板聚集阻断剂） + PD-1/PD-L1抗体。该策略的理论基础是：αIIbβ3抑制剂特异性阻断血小板-CTC黏附，瓦解血小板“盾牌”</w:t>
      </w:r>
      <w:r w:rsidR="00466AA3">
        <w:rPr>
          <w:rFonts w:ascii="楷体" w:eastAsia="楷体" w:hAnsi="楷体" w:hint="eastAsia"/>
          <w:sz w:val="20"/>
          <w:szCs w:val="20"/>
          <w:vertAlign w:val="superscript"/>
        </w:rPr>
        <w:t>[17,19]</w:t>
      </w:r>
      <w:r w:rsidRPr="000000A4">
        <w:rPr>
          <w:rFonts w:ascii="楷体" w:eastAsia="楷体" w:hAnsi="楷体"/>
          <w:sz w:val="20"/>
          <w:szCs w:val="20"/>
        </w:rPr>
        <w:t>；NNMT抑制剂从代谢层面削弱CTC簇的生存适应能力</w:t>
      </w:r>
      <w:r w:rsidR="00466AA3">
        <w:rPr>
          <w:rFonts w:ascii="楷体" w:eastAsia="楷体" w:hAnsi="楷体" w:hint="eastAsia"/>
          <w:sz w:val="20"/>
          <w:szCs w:val="20"/>
          <w:vertAlign w:val="superscript"/>
        </w:rPr>
        <w:t>[9,29]</w:t>
      </w:r>
      <w:r w:rsidRPr="000000A4">
        <w:rPr>
          <w:rFonts w:ascii="楷体" w:eastAsia="楷体" w:hAnsi="楷体"/>
          <w:sz w:val="20"/>
          <w:szCs w:val="20"/>
        </w:rPr>
        <w:t>；PD-1/PD-L1抗体则激活T细胞和NK细胞，清除暴露的CTCs</w:t>
      </w:r>
      <w:r w:rsidR="00466AA3">
        <w:rPr>
          <w:rFonts w:ascii="楷体" w:eastAsia="楷体" w:hAnsi="楷体" w:hint="eastAsia"/>
          <w:sz w:val="20"/>
          <w:szCs w:val="20"/>
          <w:vertAlign w:val="superscript"/>
        </w:rPr>
        <w:t>[20,23]</w:t>
      </w:r>
      <w:r w:rsidRPr="000000A4">
        <w:rPr>
          <w:rFonts w:ascii="楷体" w:eastAsia="楷体" w:hAnsi="楷体"/>
          <w:sz w:val="20"/>
          <w:szCs w:val="20"/>
        </w:rPr>
        <w:t>。三者协同，有望实现“簇瓦解→免疫暴露→细胞清除”的级联效应。</w:t>
      </w:r>
    </w:p>
    <w:p w14:paraId="2D786BD0"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本文将从靶点选择、机制协同及临床转化潜力三个维度，系统论述这一创新策略的科学依据与可行性。</w:t>
      </w:r>
    </w:p>
    <w:p w14:paraId="7FCCC920" w14:textId="77777777" w:rsidR="000000A4" w:rsidRPr="000000A4" w:rsidRDefault="00000000" w:rsidP="000000A4">
      <w:pPr>
        <w:rPr>
          <w:rFonts w:ascii="楷体" w:eastAsia="楷体" w:hAnsi="楷体"/>
          <w:sz w:val="20"/>
          <w:szCs w:val="20"/>
        </w:rPr>
      </w:pPr>
      <w:r>
        <w:rPr>
          <w:rFonts w:ascii="楷体" w:eastAsia="楷体" w:hAnsi="楷体"/>
          <w:sz w:val="20"/>
          <w:szCs w:val="20"/>
        </w:rPr>
        <w:pict w14:anchorId="5A86F2F3">
          <v:rect id="_x0000_i1026" style="width:0;height:.75pt" o:hralign="center" o:hrstd="t" o:hr="t" fillcolor="#a0a0a0" stroked="f"/>
        </w:pict>
      </w:r>
    </w:p>
    <w:p w14:paraId="6E4CC429" w14:textId="77777777" w:rsidR="000000A4" w:rsidRPr="000000A4" w:rsidRDefault="000000A4" w:rsidP="000000A4">
      <w:pPr>
        <w:rPr>
          <w:rFonts w:ascii="楷体" w:eastAsia="楷体" w:hAnsi="楷体"/>
          <w:b/>
          <w:bCs/>
          <w:sz w:val="20"/>
          <w:szCs w:val="20"/>
        </w:rPr>
      </w:pPr>
      <w:r w:rsidRPr="000000A4">
        <w:rPr>
          <w:rFonts w:ascii="楷体" w:eastAsia="楷体" w:hAnsi="楷体"/>
          <w:b/>
          <w:bCs/>
          <w:sz w:val="20"/>
          <w:szCs w:val="20"/>
        </w:rPr>
        <w:t>2. 方法</w:t>
      </w:r>
    </w:p>
    <w:p w14:paraId="120E5CB2"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2.1 文献检索策略</w:t>
      </w:r>
    </w:p>
    <w:p w14:paraId="4C06DF9F" w14:textId="0EBF918E" w:rsidR="000000A4" w:rsidRPr="000000A4" w:rsidRDefault="000000A4" w:rsidP="000000A4">
      <w:pPr>
        <w:rPr>
          <w:rFonts w:ascii="楷体" w:eastAsia="楷体" w:hAnsi="楷体"/>
          <w:sz w:val="20"/>
          <w:szCs w:val="20"/>
        </w:rPr>
      </w:pPr>
      <w:r w:rsidRPr="000000A4">
        <w:rPr>
          <w:rFonts w:ascii="楷体" w:eastAsia="楷体" w:hAnsi="楷体"/>
          <w:sz w:val="20"/>
          <w:szCs w:val="20"/>
        </w:rPr>
        <w:t>本文基于PubMed、Web of Science及</w:t>
      </w:r>
      <w:r>
        <w:fldChar w:fldCharType="begin"/>
      </w:r>
      <w:r>
        <w:instrText>HYPERLINK "https://clinicaltrials.gov/" \t "_blank"</w:instrText>
      </w:r>
      <w:r>
        <w:fldChar w:fldCharType="separate"/>
      </w:r>
      <w:r w:rsidRPr="000000A4">
        <w:rPr>
          <w:rStyle w:val="af2"/>
          <w:rFonts w:ascii="楷体" w:eastAsia="楷体" w:hAnsi="楷体"/>
          <w:sz w:val="20"/>
          <w:szCs w:val="20"/>
        </w:rPr>
        <w:t>ClinicalTrials.gov</w:t>
      </w:r>
      <w:r>
        <w:fldChar w:fldCharType="end"/>
      </w:r>
      <w:r w:rsidRPr="000000A4">
        <w:rPr>
          <w:rFonts w:ascii="楷体" w:eastAsia="楷体" w:hAnsi="楷体"/>
          <w:sz w:val="20"/>
          <w:szCs w:val="20"/>
        </w:rPr>
        <w:t>数据库进行系统性文献检索。检索时间范围为2015年1月至2025年12月。主要检索词包括：“circulating</w:t>
      </w:r>
      <w:r w:rsidRPr="000000A4">
        <w:rPr>
          <w:rFonts w:ascii="Calibri" w:eastAsia="楷体" w:hAnsi="Calibri" w:cs="Calibri"/>
          <w:sz w:val="20"/>
          <w:szCs w:val="20"/>
        </w:rPr>
        <w:t> </w:t>
      </w:r>
      <w:r w:rsidRPr="000000A4">
        <w:rPr>
          <w:rFonts w:ascii="楷体" w:eastAsia="楷体" w:hAnsi="楷体"/>
          <w:sz w:val="20"/>
          <w:szCs w:val="20"/>
        </w:rPr>
        <w:t>tumor cell clusters</w:t>
      </w:r>
      <w:r w:rsidRPr="000000A4">
        <w:rPr>
          <w:rFonts w:ascii="楷体" w:eastAsia="楷体" w:hAnsi="楷体" w:cs="楷体" w:hint="eastAsia"/>
          <w:sz w:val="20"/>
          <w:szCs w:val="20"/>
        </w:rPr>
        <w:t>”“</w:t>
      </w:r>
      <w:r w:rsidRPr="000000A4">
        <w:rPr>
          <w:rFonts w:ascii="楷体" w:eastAsia="楷体" w:hAnsi="楷体"/>
          <w:sz w:val="20"/>
          <w:szCs w:val="20"/>
        </w:rPr>
        <w:t>heterotypic clusters</w:t>
      </w:r>
      <w:r w:rsidRPr="000000A4">
        <w:rPr>
          <w:rFonts w:ascii="楷体" w:eastAsia="楷体" w:hAnsi="楷体" w:cs="楷体" w:hint="eastAsia"/>
          <w:sz w:val="20"/>
          <w:szCs w:val="20"/>
        </w:rPr>
        <w:t>”“</w:t>
      </w:r>
      <w:r w:rsidRPr="000000A4">
        <w:rPr>
          <w:rFonts w:ascii="楷体" w:eastAsia="楷体" w:hAnsi="楷体"/>
          <w:sz w:val="20"/>
          <w:szCs w:val="20"/>
        </w:rPr>
        <w:t>neutrophil-CTCs</w:t>
      </w:r>
      <w:r w:rsidRPr="000000A4">
        <w:rPr>
          <w:rFonts w:ascii="楷体" w:eastAsia="楷体" w:hAnsi="楷体" w:cs="楷体" w:hint="eastAsia"/>
          <w:sz w:val="20"/>
          <w:szCs w:val="20"/>
        </w:rPr>
        <w:t>”“</w:t>
      </w:r>
      <w:r w:rsidRPr="000000A4">
        <w:rPr>
          <w:rFonts w:ascii="楷体" w:eastAsia="楷体" w:hAnsi="楷体"/>
          <w:sz w:val="20"/>
          <w:szCs w:val="20"/>
        </w:rPr>
        <w:t>platelet-CTCs</w:t>
      </w:r>
      <w:r w:rsidRPr="000000A4">
        <w:rPr>
          <w:rFonts w:ascii="楷体" w:eastAsia="楷体" w:hAnsi="楷体" w:cs="楷体" w:hint="eastAsia"/>
          <w:sz w:val="20"/>
          <w:szCs w:val="20"/>
        </w:rPr>
        <w:t>”“</w:t>
      </w:r>
      <w:r w:rsidRPr="000000A4">
        <w:rPr>
          <w:rFonts w:ascii="楷体" w:eastAsia="楷体" w:hAnsi="楷体"/>
          <w:sz w:val="20"/>
          <w:szCs w:val="20"/>
        </w:rPr>
        <w:t>NNMT inhibitor</w:t>
      </w:r>
      <w:r w:rsidRPr="000000A4">
        <w:rPr>
          <w:rFonts w:ascii="楷体" w:eastAsia="楷体" w:hAnsi="楷体" w:cs="楷体" w:hint="eastAsia"/>
          <w:sz w:val="20"/>
          <w:szCs w:val="20"/>
        </w:rPr>
        <w:t>”“α</w:t>
      </w:r>
      <w:r w:rsidRPr="000000A4">
        <w:rPr>
          <w:rFonts w:ascii="楷体" w:eastAsia="楷体" w:hAnsi="楷体"/>
          <w:sz w:val="20"/>
          <w:szCs w:val="20"/>
        </w:rPr>
        <w:t>IIb</w:t>
      </w:r>
      <w:r w:rsidRPr="000000A4">
        <w:rPr>
          <w:rFonts w:ascii="楷体" w:eastAsia="楷体" w:hAnsi="楷体" w:cs="楷体" w:hint="eastAsia"/>
          <w:sz w:val="20"/>
          <w:szCs w:val="20"/>
        </w:rPr>
        <w:t>β</w:t>
      </w:r>
      <w:r w:rsidRPr="000000A4">
        <w:rPr>
          <w:rFonts w:ascii="楷体" w:eastAsia="楷体" w:hAnsi="楷体"/>
          <w:sz w:val="20"/>
          <w:szCs w:val="20"/>
        </w:rPr>
        <w:t>3 inhibitor</w:t>
      </w:r>
      <w:r w:rsidRPr="000000A4">
        <w:rPr>
          <w:rFonts w:ascii="楷体" w:eastAsia="楷体" w:hAnsi="楷体" w:cs="楷体" w:hint="eastAsia"/>
          <w:sz w:val="20"/>
          <w:szCs w:val="20"/>
        </w:rPr>
        <w:t>”“</w:t>
      </w:r>
      <w:r w:rsidRPr="000000A4">
        <w:rPr>
          <w:rFonts w:ascii="楷体" w:eastAsia="楷体" w:hAnsi="楷体"/>
          <w:sz w:val="20"/>
          <w:szCs w:val="20"/>
        </w:rPr>
        <w:t>PD-1/PD-L1</w:t>
      </w:r>
      <w:r w:rsidRPr="000000A4">
        <w:rPr>
          <w:rFonts w:ascii="楷体" w:eastAsia="楷体" w:hAnsi="楷体" w:cs="楷体" w:hint="eastAsia"/>
          <w:sz w:val="20"/>
          <w:szCs w:val="20"/>
        </w:rPr>
        <w:t>”“</w:t>
      </w:r>
      <w:r w:rsidRPr="000000A4">
        <w:rPr>
          <w:rFonts w:ascii="楷体" w:eastAsia="楷体" w:hAnsi="楷体"/>
          <w:sz w:val="20"/>
          <w:szCs w:val="20"/>
        </w:rPr>
        <w:t>metastasis</w:t>
      </w:r>
      <w:r w:rsidRPr="000000A4">
        <w:rPr>
          <w:rFonts w:ascii="楷体" w:eastAsia="楷体" w:hAnsi="楷体" w:cs="楷体" w:hint="eastAsia"/>
          <w:sz w:val="20"/>
          <w:szCs w:val="20"/>
        </w:rPr>
        <w:t>”“</w:t>
      </w:r>
      <w:r w:rsidRPr="000000A4">
        <w:rPr>
          <w:rFonts w:ascii="楷体" w:eastAsia="楷体" w:hAnsi="楷体"/>
          <w:sz w:val="20"/>
          <w:szCs w:val="20"/>
        </w:rPr>
        <w:t>immunotherapy resistance</w:t>
      </w:r>
      <w:r w:rsidRPr="000000A4">
        <w:rPr>
          <w:rFonts w:ascii="楷体" w:eastAsia="楷体" w:hAnsi="楷体" w:cs="楷体" w:hint="eastAsia"/>
          <w:sz w:val="20"/>
          <w:szCs w:val="20"/>
        </w:rPr>
        <w:t>”</w:t>
      </w:r>
      <w:r w:rsidRPr="000000A4">
        <w:rPr>
          <w:rFonts w:ascii="楷体" w:eastAsia="楷体" w:hAnsi="楷体"/>
          <w:sz w:val="20"/>
          <w:szCs w:val="20"/>
        </w:rPr>
        <w:t>。纳入标准：（1）涉及CTC</w:t>
      </w:r>
      <w:proofErr w:type="gramStart"/>
      <w:r w:rsidRPr="000000A4">
        <w:rPr>
          <w:rFonts w:ascii="楷体" w:eastAsia="楷体" w:hAnsi="楷体"/>
          <w:sz w:val="20"/>
          <w:szCs w:val="20"/>
        </w:rPr>
        <w:t>簇</w:t>
      </w:r>
      <w:proofErr w:type="gramEnd"/>
      <w:r w:rsidRPr="000000A4">
        <w:rPr>
          <w:rFonts w:ascii="楷体" w:eastAsia="楷体" w:hAnsi="楷体"/>
          <w:sz w:val="20"/>
          <w:szCs w:val="20"/>
        </w:rPr>
        <w:t>形成机制、生物学功能或临床意义的研究；（2）NNMT在肿瘤代谢及转移中作用的研究；（3）抗血小板药物或免疫检查点抑制剂干预CTC簇的研究；（4）联合治疗策略相关的临床前或临床研究。排除标准：（1）非英文文献；（</w:t>
      </w:r>
      <w:r w:rsidR="00207735">
        <w:rPr>
          <w:rFonts w:ascii="楷体" w:eastAsia="楷体" w:hAnsi="楷体" w:hint="eastAsia"/>
          <w:sz w:val="20"/>
          <w:szCs w:val="20"/>
        </w:rPr>
        <w:t>2</w:t>
      </w:r>
      <w:r w:rsidRPr="000000A4">
        <w:rPr>
          <w:rFonts w:ascii="楷体" w:eastAsia="楷体" w:hAnsi="楷体"/>
          <w:sz w:val="20"/>
          <w:szCs w:val="20"/>
        </w:rPr>
        <w:t>）与CTC簇或转移无直接关联的研究。</w:t>
      </w:r>
    </w:p>
    <w:p w14:paraId="3EBDB120"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2.2 理论整合与机制推演</w:t>
      </w:r>
    </w:p>
    <w:p w14:paraId="0E40F4B7" w14:textId="0325A412" w:rsidR="000000A4" w:rsidRPr="000000A4" w:rsidRDefault="000000A4" w:rsidP="000000A4">
      <w:pPr>
        <w:rPr>
          <w:rFonts w:ascii="楷体" w:eastAsia="楷体" w:hAnsi="楷体"/>
          <w:sz w:val="20"/>
          <w:szCs w:val="20"/>
        </w:rPr>
      </w:pPr>
      <w:r w:rsidRPr="000000A4">
        <w:rPr>
          <w:rFonts w:ascii="楷体" w:eastAsia="楷体" w:hAnsi="楷体"/>
          <w:sz w:val="20"/>
          <w:szCs w:val="20"/>
        </w:rPr>
        <w:t>由于目前尚无NNMT抑制剂、αIIbβ3抑制剂与PD-1/PD-L1抗体三联疗法的直接研究报道，本文采用“机制推演+证据整合”的方法。具体而言：（1）分别梳理三个靶点在CTC</w:t>
      </w:r>
      <w:proofErr w:type="gramStart"/>
      <w:r w:rsidRPr="000000A4">
        <w:rPr>
          <w:rFonts w:ascii="楷体" w:eastAsia="楷体" w:hAnsi="楷体"/>
          <w:sz w:val="20"/>
          <w:szCs w:val="20"/>
        </w:rPr>
        <w:t>簇</w:t>
      </w:r>
      <w:proofErr w:type="gramEnd"/>
      <w:r w:rsidRPr="000000A4">
        <w:rPr>
          <w:rFonts w:ascii="楷体" w:eastAsia="楷体" w:hAnsi="楷体"/>
          <w:sz w:val="20"/>
          <w:szCs w:val="20"/>
        </w:rPr>
        <w:t>生物学中的作用机制；（2）识别机制间的潜在协同节点；（3）基于现有单药或两药联合的研究数据，推演三联策略的协同效应与可行性。这种“从机制到策略”的理论构建方法，在肿瘤</w:t>
      </w:r>
      <w:proofErr w:type="gramStart"/>
      <w:r w:rsidRPr="000000A4">
        <w:rPr>
          <w:rFonts w:ascii="楷体" w:eastAsia="楷体" w:hAnsi="楷体"/>
          <w:sz w:val="20"/>
          <w:szCs w:val="20"/>
        </w:rPr>
        <w:t>学创新</w:t>
      </w:r>
      <w:proofErr w:type="gramEnd"/>
      <w:r w:rsidRPr="000000A4">
        <w:rPr>
          <w:rFonts w:ascii="楷体" w:eastAsia="楷体" w:hAnsi="楷体"/>
          <w:sz w:val="20"/>
          <w:szCs w:val="20"/>
        </w:rPr>
        <w:t>联合治疗的早期探索中具有重要价值。</w:t>
      </w:r>
    </w:p>
    <w:p w14:paraId="6CF8CD05" w14:textId="77777777" w:rsidR="000000A4" w:rsidRPr="000000A4" w:rsidRDefault="00000000" w:rsidP="000000A4">
      <w:pPr>
        <w:rPr>
          <w:rFonts w:ascii="楷体" w:eastAsia="楷体" w:hAnsi="楷体"/>
          <w:sz w:val="20"/>
          <w:szCs w:val="20"/>
        </w:rPr>
      </w:pPr>
      <w:r>
        <w:rPr>
          <w:rFonts w:ascii="楷体" w:eastAsia="楷体" w:hAnsi="楷体"/>
          <w:sz w:val="20"/>
          <w:szCs w:val="20"/>
        </w:rPr>
        <w:pict w14:anchorId="06234619">
          <v:rect id="_x0000_i1027" style="width:0;height:.75pt" o:hralign="center" o:hrstd="t" o:hr="t" fillcolor="#a0a0a0" stroked="f"/>
        </w:pict>
      </w:r>
    </w:p>
    <w:p w14:paraId="1FDE3008"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 结果与理论分析</w:t>
      </w:r>
    </w:p>
    <w:p w14:paraId="29E55615"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3.1 CTC异质性簇的免疫保护机制：干预的靶点基础</w:t>
      </w:r>
    </w:p>
    <w:p w14:paraId="5E243FCA" w14:textId="18BA0F90" w:rsidR="000000A4" w:rsidRPr="000000A4" w:rsidRDefault="000000A4" w:rsidP="000000A4">
      <w:pPr>
        <w:rPr>
          <w:rFonts w:ascii="楷体" w:eastAsia="楷体" w:hAnsi="楷体"/>
          <w:sz w:val="20"/>
          <w:szCs w:val="20"/>
        </w:rPr>
      </w:pPr>
      <w:r w:rsidRPr="000000A4">
        <w:rPr>
          <w:rFonts w:ascii="楷体" w:eastAsia="楷体" w:hAnsi="楷体"/>
          <w:sz w:val="20"/>
          <w:szCs w:val="20"/>
        </w:rPr>
        <w:lastRenderedPageBreak/>
        <w:t>CTC</w:t>
      </w:r>
      <w:proofErr w:type="gramStart"/>
      <w:r w:rsidRPr="000000A4">
        <w:rPr>
          <w:rFonts w:ascii="楷体" w:eastAsia="楷体" w:hAnsi="楷体"/>
          <w:sz w:val="20"/>
          <w:szCs w:val="20"/>
        </w:rPr>
        <w:t>簇</w:t>
      </w:r>
      <w:proofErr w:type="gramEnd"/>
      <w:r w:rsidRPr="000000A4">
        <w:rPr>
          <w:rFonts w:ascii="楷体" w:eastAsia="楷体" w:hAnsi="楷体"/>
          <w:sz w:val="20"/>
          <w:szCs w:val="20"/>
        </w:rPr>
        <w:t>之所以成为转移的主要驱动力，源于其多层次的自我保护机制</w:t>
      </w:r>
      <w:r w:rsidR="00466AA3">
        <w:rPr>
          <w:rFonts w:ascii="楷体" w:eastAsia="楷体" w:hAnsi="楷体" w:hint="eastAsia"/>
          <w:sz w:val="20"/>
          <w:szCs w:val="20"/>
          <w:vertAlign w:val="superscript"/>
        </w:rPr>
        <w:t>[1,2,11]</w:t>
      </w:r>
      <w:r w:rsidRPr="000000A4">
        <w:rPr>
          <w:rFonts w:ascii="楷体" w:eastAsia="楷体" w:hAnsi="楷体"/>
          <w:sz w:val="20"/>
          <w:szCs w:val="20"/>
        </w:rPr>
        <w:t>。根据与CTC相互作用的细胞类型，可将异质性</w:t>
      </w:r>
      <w:proofErr w:type="gramStart"/>
      <w:r w:rsidRPr="000000A4">
        <w:rPr>
          <w:rFonts w:ascii="楷体" w:eastAsia="楷体" w:hAnsi="楷体"/>
          <w:sz w:val="20"/>
          <w:szCs w:val="20"/>
        </w:rPr>
        <w:t>簇</w:t>
      </w:r>
      <w:proofErr w:type="gramEnd"/>
      <w:r w:rsidRPr="000000A4">
        <w:rPr>
          <w:rFonts w:ascii="楷体" w:eastAsia="楷体" w:hAnsi="楷体"/>
          <w:sz w:val="20"/>
          <w:szCs w:val="20"/>
        </w:rPr>
        <w:t>分为两类：CTC-血小板簇和CTC-中性粒细胞簇，二者在结构和功能上各有特点，但存在协同效应</w:t>
      </w:r>
      <w:r w:rsidR="00466AA3">
        <w:rPr>
          <w:rFonts w:ascii="楷体" w:eastAsia="楷体" w:hAnsi="楷体" w:hint="eastAsia"/>
          <w:sz w:val="20"/>
          <w:szCs w:val="20"/>
          <w:vertAlign w:val="superscript"/>
        </w:rPr>
        <w:t>[5,7]</w:t>
      </w:r>
      <w:r w:rsidRPr="000000A4">
        <w:rPr>
          <w:rFonts w:ascii="楷体" w:eastAsia="楷体" w:hAnsi="楷体"/>
          <w:sz w:val="20"/>
          <w:szCs w:val="20"/>
        </w:rPr>
        <w:t>。</w:t>
      </w:r>
    </w:p>
    <w:p w14:paraId="2FB01242"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3.1.1 CTC-血小板簇：物理屏障与免疫抑制的双重作用</w:t>
      </w:r>
    </w:p>
    <w:p w14:paraId="10B93AB5" w14:textId="4553B473" w:rsidR="000000A4" w:rsidRPr="000000A4" w:rsidRDefault="000000A4" w:rsidP="000000A4">
      <w:pPr>
        <w:rPr>
          <w:rFonts w:ascii="楷体" w:eastAsia="楷体" w:hAnsi="楷体"/>
          <w:sz w:val="20"/>
          <w:szCs w:val="20"/>
        </w:rPr>
      </w:pPr>
      <w:r w:rsidRPr="000000A4">
        <w:rPr>
          <w:rFonts w:ascii="楷体" w:eastAsia="楷体" w:hAnsi="楷体"/>
          <w:sz w:val="20"/>
          <w:szCs w:val="20"/>
        </w:rPr>
        <w:t>血小板是CTC在循环中最常见的“伴侣细胞”</w:t>
      </w:r>
      <w:r w:rsidR="00466AA3">
        <w:rPr>
          <w:rFonts w:ascii="楷体" w:eastAsia="楷体" w:hAnsi="楷体" w:hint="eastAsia"/>
          <w:sz w:val="20"/>
          <w:szCs w:val="20"/>
          <w:vertAlign w:val="superscript"/>
        </w:rPr>
        <w:t>[15,16]</w:t>
      </w:r>
      <w:r w:rsidRPr="000000A4">
        <w:rPr>
          <w:rFonts w:ascii="楷体" w:eastAsia="楷体" w:hAnsi="楷体"/>
          <w:sz w:val="20"/>
          <w:szCs w:val="20"/>
        </w:rPr>
        <w:t>。研究表明，在肺癌、乳腺癌及黑色素瘤患者中，约60%-83%的CTC阳性样本可检测到CTC-血小板簇</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5,18</w:t>
      </w:r>
      <w:r w:rsidR="00301360">
        <w:rPr>
          <w:rFonts w:ascii="楷体" w:eastAsia="楷体" w:hAnsi="楷体" w:hint="eastAsia"/>
          <w:sz w:val="20"/>
          <w:szCs w:val="20"/>
          <w:vertAlign w:val="superscript"/>
        </w:rPr>
        <w:t>]</w:t>
      </w:r>
      <w:r w:rsidRPr="000000A4">
        <w:rPr>
          <w:rFonts w:ascii="楷体" w:eastAsia="楷体" w:hAnsi="楷体"/>
          <w:sz w:val="20"/>
          <w:szCs w:val="20"/>
        </w:rPr>
        <w:t>。血小板与CTC的黏附主要通过P-选择素（platelet P-selectin）与CTC表面配体的相互作用</w:t>
      </w:r>
      <w:proofErr w:type="gramStart"/>
      <w:r w:rsidRPr="000000A4">
        <w:rPr>
          <w:rFonts w:ascii="楷体" w:eastAsia="楷体" w:hAnsi="楷体"/>
          <w:sz w:val="20"/>
          <w:szCs w:val="20"/>
        </w:rPr>
        <w:t>介</w:t>
      </w:r>
      <w:proofErr w:type="gramEnd"/>
      <w:r w:rsidRPr="000000A4">
        <w:rPr>
          <w:rFonts w:ascii="楷体" w:eastAsia="楷体" w:hAnsi="楷体"/>
          <w:sz w:val="20"/>
          <w:szCs w:val="20"/>
        </w:rPr>
        <w:t>导，同时涉及整合素αIIbβ3（</w:t>
      </w:r>
      <w:proofErr w:type="spellStart"/>
      <w:r w:rsidRPr="000000A4">
        <w:rPr>
          <w:rFonts w:ascii="楷体" w:eastAsia="楷体" w:hAnsi="楷体"/>
          <w:sz w:val="20"/>
          <w:szCs w:val="20"/>
        </w:rPr>
        <w:t>GPIIb</w:t>
      </w:r>
      <w:proofErr w:type="spellEnd"/>
      <w:r w:rsidRPr="000000A4">
        <w:rPr>
          <w:rFonts w:ascii="楷体" w:eastAsia="楷体" w:hAnsi="楷体"/>
          <w:sz w:val="20"/>
          <w:szCs w:val="20"/>
        </w:rPr>
        <w:t>/IIIa）的激活与纤维蛋白原桥联</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17,19</w:t>
      </w:r>
      <w:r w:rsidR="00301360">
        <w:rPr>
          <w:rFonts w:ascii="楷体" w:eastAsia="楷体" w:hAnsi="楷体" w:hint="eastAsia"/>
          <w:sz w:val="20"/>
          <w:szCs w:val="20"/>
          <w:vertAlign w:val="superscript"/>
        </w:rPr>
        <w:t>]</w:t>
      </w:r>
      <w:r w:rsidRPr="000000A4">
        <w:rPr>
          <w:rFonts w:ascii="楷体" w:eastAsia="楷体" w:hAnsi="楷体"/>
          <w:sz w:val="20"/>
          <w:szCs w:val="20"/>
        </w:rPr>
        <w:t>。</w:t>
      </w:r>
    </w:p>
    <w:p w14:paraId="2D0DE53B" w14:textId="7BCF7EBE" w:rsidR="000000A4" w:rsidRPr="000000A4" w:rsidRDefault="000000A4" w:rsidP="000000A4">
      <w:pPr>
        <w:rPr>
          <w:rFonts w:ascii="楷体" w:eastAsia="楷体" w:hAnsi="楷体"/>
          <w:sz w:val="20"/>
          <w:szCs w:val="20"/>
        </w:rPr>
      </w:pPr>
      <w:r w:rsidRPr="000000A4">
        <w:rPr>
          <w:rFonts w:ascii="楷体" w:eastAsia="楷体" w:hAnsi="楷体"/>
          <w:sz w:val="20"/>
          <w:szCs w:val="20"/>
        </w:rPr>
        <w:t>CTC-血小板簇的保护机制包括：（1）物理屏蔽：血小板包被层保护CTC免受流体剪切力的机械损伤</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5</w:t>
      </w:r>
      <w:r w:rsidR="00301360">
        <w:rPr>
          <w:rFonts w:ascii="楷体" w:eastAsia="楷体" w:hAnsi="楷体" w:hint="eastAsia"/>
          <w:sz w:val="20"/>
          <w:szCs w:val="20"/>
          <w:vertAlign w:val="superscript"/>
        </w:rPr>
        <w:t>]</w:t>
      </w:r>
      <w:r w:rsidRPr="000000A4">
        <w:rPr>
          <w:rFonts w:ascii="楷体" w:eastAsia="楷体" w:hAnsi="楷体"/>
          <w:sz w:val="20"/>
          <w:szCs w:val="20"/>
        </w:rPr>
        <w:t>；（2）免疫逃逸：血小板释放TGF-β和</w:t>
      </w:r>
      <w:proofErr w:type="spellStart"/>
      <w:r w:rsidRPr="000000A4">
        <w:rPr>
          <w:rFonts w:ascii="楷体" w:eastAsia="楷体" w:hAnsi="楷体"/>
          <w:sz w:val="20"/>
          <w:szCs w:val="20"/>
        </w:rPr>
        <w:t>IFNγ</w:t>
      </w:r>
      <w:proofErr w:type="spellEnd"/>
      <w:r w:rsidRPr="000000A4">
        <w:rPr>
          <w:rFonts w:ascii="楷体" w:eastAsia="楷体" w:hAnsi="楷体"/>
          <w:sz w:val="20"/>
          <w:szCs w:val="20"/>
        </w:rPr>
        <w:t>，抑制NK细胞的细胞毒性功能，同时下调NK细胞活化受体NKG2D的表达</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16,18</w:t>
      </w:r>
      <w:r w:rsidR="00301360">
        <w:rPr>
          <w:rFonts w:ascii="楷体" w:eastAsia="楷体" w:hAnsi="楷体" w:hint="eastAsia"/>
          <w:sz w:val="20"/>
          <w:szCs w:val="20"/>
          <w:vertAlign w:val="superscript"/>
        </w:rPr>
        <w:t>]</w:t>
      </w:r>
      <w:r w:rsidRPr="000000A4">
        <w:rPr>
          <w:rFonts w:ascii="楷体" w:eastAsia="楷体" w:hAnsi="楷体"/>
          <w:sz w:val="20"/>
          <w:szCs w:val="20"/>
        </w:rPr>
        <w:t>；（3）上皮-间充质转化（EMT）诱导：血小板衍生的生长因子和TGF-β可诱导CTC发生EMT，增强其侵袭性和转移潜能</w:t>
      </w:r>
      <w:r w:rsidR="00301360">
        <w:rPr>
          <w:rFonts w:ascii="楷体" w:eastAsia="楷体" w:hAnsi="楷体" w:hint="eastAsia"/>
          <w:sz w:val="20"/>
          <w:szCs w:val="20"/>
          <w:vertAlign w:val="superscript"/>
        </w:rPr>
        <w:t>[5</w:t>
      </w:r>
      <w:r w:rsidR="00466AA3">
        <w:rPr>
          <w:rFonts w:ascii="楷体" w:eastAsia="楷体" w:hAnsi="楷体" w:hint="eastAsia"/>
          <w:sz w:val="20"/>
          <w:szCs w:val="20"/>
          <w:vertAlign w:val="superscript"/>
        </w:rPr>
        <w:t>,6</w:t>
      </w:r>
      <w:r w:rsidR="00301360">
        <w:rPr>
          <w:rFonts w:ascii="楷体" w:eastAsia="楷体" w:hAnsi="楷体" w:hint="eastAsia"/>
          <w:sz w:val="20"/>
          <w:szCs w:val="20"/>
          <w:vertAlign w:val="superscript"/>
        </w:rPr>
        <w:t>]</w:t>
      </w:r>
      <w:r w:rsidRPr="000000A4">
        <w:rPr>
          <w:rFonts w:ascii="楷体" w:eastAsia="楷体" w:hAnsi="楷体"/>
          <w:sz w:val="20"/>
          <w:szCs w:val="20"/>
        </w:rPr>
        <w:t>。</w:t>
      </w:r>
    </w:p>
    <w:p w14:paraId="091FDA1C" w14:textId="22EFB045" w:rsidR="000000A4" w:rsidRPr="000000A4" w:rsidRDefault="000000A4" w:rsidP="000000A4">
      <w:pPr>
        <w:rPr>
          <w:rFonts w:ascii="楷体" w:eastAsia="楷体" w:hAnsi="楷体"/>
          <w:sz w:val="20"/>
          <w:szCs w:val="20"/>
        </w:rPr>
      </w:pPr>
      <w:r w:rsidRPr="000000A4">
        <w:rPr>
          <w:rFonts w:ascii="楷体" w:eastAsia="楷体" w:hAnsi="楷体"/>
          <w:sz w:val="20"/>
          <w:szCs w:val="20"/>
        </w:rPr>
        <w:t>值得注意的是，CTC-</w:t>
      </w:r>
      <w:proofErr w:type="gramStart"/>
      <w:r w:rsidRPr="000000A4">
        <w:rPr>
          <w:rFonts w:ascii="楷体" w:eastAsia="楷体" w:hAnsi="楷体"/>
          <w:sz w:val="20"/>
          <w:szCs w:val="20"/>
        </w:rPr>
        <w:t>血小板簇还可</w:t>
      </w:r>
      <w:proofErr w:type="gramEnd"/>
      <w:r w:rsidRPr="000000A4">
        <w:rPr>
          <w:rFonts w:ascii="楷体" w:eastAsia="楷体" w:hAnsi="楷体"/>
          <w:sz w:val="20"/>
          <w:szCs w:val="20"/>
        </w:rPr>
        <w:t>通过“搭便车”机制帮助CTC逃避T细胞的免疫监视：血小板表面的PD-L1表达与T细胞PD-1相互作用，诱导T细胞功能障碍</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20,22</w:t>
      </w:r>
      <w:r w:rsidR="00301360">
        <w:rPr>
          <w:rFonts w:ascii="楷体" w:eastAsia="楷体" w:hAnsi="楷体" w:hint="eastAsia"/>
          <w:sz w:val="20"/>
          <w:szCs w:val="20"/>
          <w:vertAlign w:val="superscript"/>
        </w:rPr>
        <w:t>]</w:t>
      </w:r>
      <w:r w:rsidRPr="000000A4">
        <w:rPr>
          <w:rFonts w:ascii="楷体" w:eastAsia="楷体" w:hAnsi="楷体"/>
          <w:sz w:val="20"/>
          <w:szCs w:val="20"/>
        </w:rPr>
        <w:t>。这为PD-1/PD-L1抗体的介入提供了直接的理论依据。</w:t>
      </w:r>
    </w:p>
    <w:p w14:paraId="25FF1733"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3.1.2 CTC-中性粒细胞簇：NETs陷阱与炎症微环境重塑</w:t>
      </w:r>
    </w:p>
    <w:p w14:paraId="4629CDC1" w14:textId="35F7C247" w:rsidR="000000A4" w:rsidRPr="000000A4" w:rsidRDefault="000000A4" w:rsidP="000000A4">
      <w:pPr>
        <w:rPr>
          <w:rFonts w:ascii="楷体" w:eastAsia="楷体" w:hAnsi="楷体"/>
          <w:sz w:val="20"/>
          <w:szCs w:val="20"/>
        </w:rPr>
      </w:pPr>
      <w:r w:rsidRPr="000000A4">
        <w:rPr>
          <w:rFonts w:ascii="楷体" w:eastAsia="楷体" w:hAnsi="楷体"/>
          <w:sz w:val="20"/>
          <w:szCs w:val="20"/>
        </w:rPr>
        <w:t>中性粒细胞是机体固有免疫的第一道防线，但在肿瘤背景下，其功能发生“叛变”</w:t>
      </w:r>
      <w:r w:rsidR="00466AA3">
        <w:rPr>
          <w:rFonts w:ascii="楷体" w:eastAsia="楷体" w:hAnsi="楷体" w:hint="eastAsia"/>
          <w:sz w:val="20"/>
          <w:szCs w:val="20"/>
          <w:vertAlign w:val="superscript"/>
        </w:rPr>
        <w:t>[3,7]</w:t>
      </w:r>
      <w:r w:rsidRPr="000000A4">
        <w:rPr>
          <w:rFonts w:ascii="楷体" w:eastAsia="楷体" w:hAnsi="楷体"/>
          <w:sz w:val="20"/>
          <w:szCs w:val="20"/>
        </w:rPr>
        <w:t>。CTC-中性粒细胞簇的形成主要通过两种途径：一是CTC表面的VCAM-1与中性粒细胞表面的α4β1整合素（VLA-4）直接结合</w:t>
      </w:r>
      <w:r w:rsidR="00301360">
        <w:rPr>
          <w:rFonts w:ascii="楷体" w:eastAsia="楷体" w:hAnsi="楷体" w:hint="eastAsia"/>
          <w:sz w:val="20"/>
          <w:szCs w:val="20"/>
          <w:vertAlign w:val="superscript"/>
        </w:rPr>
        <w:t>[</w:t>
      </w:r>
      <w:r w:rsidR="00466AA3">
        <w:rPr>
          <w:rFonts w:ascii="楷体" w:eastAsia="楷体" w:hAnsi="楷体" w:hint="eastAsia"/>
          <w:sz w:val="20"/>
          <w:szCs w:val="20"/>
          <w:vertAlign w:val="superscript"/>
        </w:rPr>
        <w:t>8</w:t>
      </w:r>
      <w:r w:rsidR="00301360">
        <w:rPr>
          <w:rFonts w:ascii="楷体" w:eastAsia="楷体" w:hAnsi="楷体" w:hint="eastAsia"/>
          <w:sz w:val="20"/>
          <w:szCs w:val="20"/>
          <w:vertAlign w:val="superscript"/>
        </w:rPr>
        <w:t>]</w:t>
      </w:r>
      <w:r w:rsidRPr="000000A4">
        <w:rPr>
          <w:rFonts w:ascii="楷体" w:eastAsia="楷体" w:hAnsi="楷体"/>
          <w:sz w:val="20"/>
          <w:szCs w:val="20"/>
        </w:rPr>
        <w:t>；二是中性粒细胞释放的NETs通过物理缠绕的方式捕获CTCs，促进</w:t>
      </w:r>
      <w:proofErr w:type="gramStart"/>
      <w:r w:rsidRPr="000000A4">
        <w:rPr>
          <w:rFonts w:ascii="楷体" w:eastAsia="楷体" w:hAnsi="楷体"/>
          <w:sz w:val="20"/>
          <w:szCs w:val="20"/>
        </w:rPr>
        <w:t>簇</w:t>
      </w:r>
      <w:proofErr w:type="gramEnd"/>
      <w:r w:rsidRPr="000000A4">
        <w:rPr>
          <w:rFonts w:ascii="楷体" w:eastAsia="楷体" w:hAnsi="楷体"/>
          <w:sz w:val="20"/>
          <w:szCs w:val="20"/>
        </w:rPr>
        <w:t>形成</w:t>
      </w:r>
      <w:r w:rsidR="00301360">
        <w:rPr>
          <w:rFonts w:ascii="楷体" w:eastAsia="楷体" w:hAnsi="楷体" w:hint="eastAsia"/>
          <w:sz w:val="20"/>
          <w:szCs w:val="20"/>
          <w:vertAlign w:val="superscript"/>
        </w:rPr>
        <w:t>[2</w:t>
      </w:r>
      <w:r w:rsidR="00466AA3">
        <w:rPr>
          <w:rFonts w:ascii="楷体" w:eastAsia="楷体" w:hAnsi="楷体" w:hint="eastAsia"/>
          <w:sz w:val="20"/>
          <w:szCs w:val="20"/>
          <w:vertAlign w:val="superscript"/>
        </w:rPr>
        <w:t>9</w:t>
      </w:r>
      <w:r w:rsidR="00301360">
        <w:rPr>
          <w:rFonts w:ascii="楷体" w:eastAsia="楷体" w:hAnsi="楷体" w:hint="eastAsia"/>
          <w:sz w:val="20"/>
          <w:szCs w:val="20"/>
          <w:vertAlign w:val="superscript"/>
        </w:rPr>
        <w:t>]</w:t>
      </w:r>
      <w:r w:rsidRPr="000000A4">
        <w:rPr>
          <w:rFonts w:ascii="楷体" w:eastAsia="楷体" w:hAnsi="楷体"/>
          <w:sz w:val="20"/>
          <w:szCs w:val="20"/>
        </w:rPr>
        <w:t>。</w:t>
      </w:r>
    </w:p>
    <w:p w14:paraId="4CC730DE" w14:textId="19DE9B24" w:rsidR="000000A4" w:rsidRPr="000000A4" w:rsidRDefault="000000A4" w:rsidP="000000A4">
      <w:pPr>
        <w:rPr>
          <w:rFonts w:ascii="楷体" w:eastAsia="楷体" w:hAnsi="楷体"/>
          <w:sz w:val="20"/>
          <w:szCs w:val="20"/>
        </w:rPr>
      </w:pPr>
      <w:r w:rsidRPr="000000A4">
        <w:rPr>
          <w:rFonts w:ascii="楷体" w:eastAsia="楷体" w:hAnsi="楷体"/>
          <w:sz w:val="20"/>
          <w:szCs w:val="20"/>
        </w:rPr>
        <w:t>CTC-中性粒细胞簇的</w:t>
      </w:r>
      <w:proofErr w:type="gramStart"/>
      <w:r w:rsidRPr="000000A4">
        <w:rPr>
          <w:rFonts w:ascii="楷体" w:eastAsia="楷体" w:hAnsi="楷体"/>
          <w:sz w:val="20"/>
          <w:szCs w:val="20"/>
        </w:rPr>
        <w:t>促转移</w:t>
      </w:r>
      <w:proofErr w:type="gramEnd"/>
      <w:r w:rsidRPr="000000A4">
        <w:rPr>
          <w:rFonts w:ascii="楷体" w:eastAsia="楷体" w:hAnsi="楷体"/>
          <w:sz w:val="20"/>
          <w:szCs w:val="20"/>
        </w:rPr>
        <w:t>机制包括：（1）增殖激活：中性粒细胞与CTC的直接接触可诱导CTC内cyclin D1上调，促进细胞周期进展</w:t>
      </w:r>
      <w:r w:rsidR="00330194">
        <w:rPr>
          <w:rFonts w:ascii="楷体" w:eastAsia="楷体" w:hAnsi="楷体" w:hint="eastAsia"/>
          <w:sz w:val="20"/>
          <w:szCs w:val="20"/>
          <w:vertAlign w:val="superscript"/>
        </w:rPr>
        <w:t>[</w:t>
      </w:r>
      <w:r w:rsidR="00466AA3">
        <w:rPr>
          <w:rFonts w:ascii="楷体" w:eastAsia="楷体" w:hAnsi="楷体" w:hint="eastAsia"/>
          <w:sz w:val="20"/>
          <w:szCs w:val="20"/>
          <w:vertAlign w:val="superscript"/>
        </w:rPr>
        <w:t>3</w:t>
      </w:r>
      <w:r w:rsidR="00330194">
        <w:rPr>
          <w:rFonts w:ascii="楷体" w:eastAsia="楷体" w:hAnsi="楷体" w:hint="eastAsia"/>
          <w:sz w:val="20"/>
          <w:szCs w:val="20"/>
          <w:vertAlign w:val="superscript"/>
        </w:rPr>
        <w:t>]</w:t>
      </w:r>
      <w:r w:rsidRPr="000000A4">
        <w:rPr>
          <w:rFonts w:ascii="楷体" w:eastAsia="楷体" w:hAnsi="楷体"/>
          <w:sz w:val="20"/>
          <w:szCs w:val="20"/>
        </w:rPr>
        <w:t>；（2）免疫抑制：中性粒细胞释放ARG1、IL-10及活性氧（reactive oxygen species, ROS），抑制T细胞和NK细胞的活化与功能</w:t>
      </w:r>
      <w:r w:rsidR="00330194">
        <w:rPr>
          <w:rFonts w:ascii="楷体" w:eastAsia="楷体" w:hAnsi="楷体" w:hint="eastAsia"/>
          <w:sz w:val="20"/>
          <w:szCs w:val="20"/>
          <w:vertAlign w:val="superscript"/>
        </w:rPr>
        <w:t>[</w:t>
      </w:r>
      <w:r w:rsidR="00466AA3">
        <w:rPr>
          <w:rFonts w:ascii="楷体" w:eastAsia="楷体" w:hAnsi="楷体" w:hint="eastAsia"/>
          <w:sz w:val="20"/>
          <w:szCs w:val="20"/>
          <w:vertAlign w:val="superscript"/>
        </w:rPr>
        <w:t>7,8</w:t>
      </w:r>
      <w:r w:rsidR="00330194">
        <w:rPr>
          <w:rFonts w:ascii="楷体" w:eastAsia="楷体" w:hAnsi="楷体" w:hint="eastAsia"/>
          <w:sz w:val="20"/>
          <w:szCs w:val="20"/>
          <w:vertAlign w:val="superscript"/>
        </w:rPr>
        <w:t>]</w:t>
      </w:r>
      <w:r w:rsidRPr="000000A4">
        <w:rPr>
          <w:rFonts w:ascii="楷体" w:eastAsia="楷体" w:hAnsi="楷体"/>
          <w:sz w:val="20"/>
          <w:szCs w:val="20"/>
        </w:rPr>
        <w:t>；（3）外渗促进：中性粒细胞来源的cathepsin G和弹性蛋白酶可降解基底膜成分，协助CTC外渗</w:t>
      </w:r>
      <w:r w:rsidR="00330194">
        <w:rPr>
          <w:rFonts w:ascii="楷体" w:eastAsia="楷体" w:hAnsi="楷体" w:hint="eastAsia"/>
          <w:sz w:val="20"/>
          <w:szCs w:val="20"/>
          <w:vertAlign w:val="superscript"/>
        </w:rPr>
        <w:t>[2</w:t>
      </w:r>
      <w:r w:rsidR="00466AA3">
        <w:rPr>
          <w:rFonts w:ascii="楷体" w:eastAsia="楷体" w:hAnsi="楷体" w:hint="eastAsia"/>
          <w:sz w:val="20"/>
          <w:szCs w:val="20"/>
          <w:vertAlign w:val="superscript"/>
        </w:rPr>
        <w:t>9</w:t>
      </w:r>
      <w:r w:rsidR="00330194">
        <w:rPr>
          <w:rFonts w:ascii="楷体" w:eastAsia="楷体" w:hAnsi="楷体" w:hint="eastAsia"/>
          <w:sz w:val="20"/>
          <w:szCs w:val="20"/>
          <w:vertAlign w:val="superscript"/>
        </w:rPr>
        <w:t>]</w:t>
      </w:r>
      <w:r w:rsidRPr="000000A4">
        <w:rPr>
          <w:rFonts w:ascii="楷体" w:eastAsia="楷体" w:hAnsi="楷体"/>
          <w:sz w:val="20"/>
          <w:szCs w:val="20"/>
        </w:rPr>
        <w:t>；（4）化学趋引：CTCs通过CCDC25感知NETs中的细胞外DNA，</w:t>
      </w:r>
      <w:proofErr w:type="gramStart"/>
      <w:r w:rsidRPr="000000A4">
        <w:rPr>
          <w:rFonts w:ascii="楷体" w:eastAsia="楷体" w:hAnsi="楷体"/>
          <w:sz w:val="20"/>
          <w:szCs w:val="20"/>
        </w:rPr>
        <w:t>被趋化至转移</w:t>
      </w:r>
      <w:proofErr w:type="gramEnd"/>
      <w:r w:rsidRPr="000000A4">
        <w:rPr>
          <w:rFonts w:ascii="楷体" w:eastAsia="楷体" w:hAnsi="楷体"/>
          <w:sz w:val="20"/>
          <w:szCs w:val="20"/>
        </w:rPr>
        <w:t>灶部位</w:t>
      </w:r>
      <w:r w:rsidR="00330194">
        <w:rPr>
          <w:rFonts w:ascii="楷体" w:eastAsia="楷体" w:hAnsi="楷体" w:hint="eastAsia"/>
          <w:sz w:val="20"/>
          <w:szCs w:val="20"/>
          <w:vertAlign w:val="superscript"/>
        </w:rPr>
        <w:t>[</w:t>
      </w:r>
      <w:r w:rsidR="00466AA3">
        <w:rPr>
          <w:rFonts w:ascii="楷体" w:eastAsia="楷体" w:hAnsi="楷体" w:hint="eastAsia"/>
          <w:sz w:val="20"/>
          <w:szCs w:val="20"/>
          <w:vertAlign w:val="superscript"/>
        </w:rPr>
        <w:t>8</w:t>
      </w:r>
      <w:r w:rsidR="00330194">
        <w:rPr>
          <w:rFonts w:ascii="楷体" w:eastAsia="楷体" w:hAnsi="楷体" w:hint="eastAsia"/>
          <w:sz w:val="20"/>
          <w:szCs w:val="20"/>
          <w:vertAlign w:val="superscript"/>
        </w:rPr>
        <w:t>]</w:t>
      </w:r>
      <w:r w:rsidRPr="000000A4">
        <w:rPr>
          <w:rFonts w:ascii="楷体" w:eastAsia="楷体" w:hAnsi="楷体"/>
          <w:sz w:val="20"/>
          <w:szCs w:val="20"/>
        </w:rPr>
        <w:t>。</w:t>
      </w:r>
    </w:p>
    <w:p w14:paraId="10AA80A1" w14:textId="60FC4F0D" w:rsidR="000000A4" w:rsidRPr="000000A4" w:rsidRDefault="000000A4" w:rsidP="000000A4">
      <w:pPr>
        <w:rPr>
          <w:rFonts w:ascii="楷体" w:eastAsia="楷体" w:hAnsi="楷体"/>
          <w:sz w:val="20"/>
          <w:szCs w:val="20"/>
        </w:rPr>
      </w:pPr>
      <w:r w:rsidRPr="000000A4">
        <w:rPr>
          <w:rFonts w:ascii="楷体" w:eastAsia="楷体" w:hAnsi="楷体"/>
          <w:sz w:val="20"/>
          <w:szCs w:val="20"/>
        </w:rPr>
        <w:t>值得关注的是，新近研究发现CD4+CD8+双阳性T细胞（double-positive T cells, DPTs）也可与CTCs形成异质性簇，且DPTs表现出TIM-3和PD-1</w:t>
      </w:r>
      <w:proofErr w:type="gramStart"/>
      <w:r w:rsidRPr="000000A4">
        <w:rPr>
          <w:rFonts w:ascii="楷体" w:eastAsia="楷体" w:hAnsi="楷体"/>
          <w:sz w:val="20"/>
          <w:szCs w:val="20"/>
        </w:rPr>
        <w:t>高表达</w:t>
      </w:r>
      <w:proofErr w:type="gramEnd"/>
      <w:r w:rsidRPr="000000A4">
        <w:rPr>
          <w:rFonts w:ascii="楷体" w:eastAsia="楷体" w:hAnsi="楷体"/>
          <w:sz w:val="20"/>
          <w:szCs w:val="20"/>
        </w:rPr>
        <w:t>的免疫耗竭特征，通过VLA-4-VCAM-1轴</w:t>
      </w:r>
      <w:proofErr w:type="gramStart"/>
      <w:r w:rsidRPr="000000A4">
        <w:rPr>
          <w:rFonts w:ascii="楷体" w:eastAsia="楷体" w:hAnsi="楷体"/>
          <w:sz w:val="20"/>
          <w:szCs w:val="20"/>
        </w:rPr>
        <w:t>介导簇形成</w:t>
      </w:r>
      <w:proofErr w:type="gramEnd"/>
      <w:r w:rsidR="00330194">
        <w:rPr>
          <w:rFonts w:ascii="楷体" w:eastAsia="楷体" w:hAnsi="楷体" w:hint="eastAsia"/>
          <w:sz w:val="20"/>
          <w:szCs w:val="20"/>
          <w:vertAlign w:val="superscript"/>
        </w:rPr>
        <w:t>[10]</w:t>
      </w:r>
      <w:r w:rsidRPr="000000A4">
        <w:rPr>
          <w:rFonts w:ascii="楷体" w:eastAsia="楷体" w:hAnsi="楷体"/>
          <w:sz w:val="20"/>
          <w:szCs w:val="20"/>
        </w:rPr>
        <w:t>。这一发现进一步拓展了CTC簇的细胞组成谱系，也提示PD-1/PD-L1抗体在干预CTC</w:t>
      </w:r>
      <w:proofErr w:type="gramStart"/>
      <w:r w:rsidRPr="000000A4">
        <w:rPr>
          <w:rFonts w:ascii="楷体" w:eastAsia="楷体" w:hAnsi="楷体"/>
          <w:sz w:val="20"/>
          <w:szCs w:val="20"/>
        </w:rPr>
        <w:t>簇</w:t>
      </w:r>
      <w:proofErr w:type="gramEnd"/>
      <w:r w:rsidRPr="000000A4">
        <w:rPr>
          <w:rFonts w:ascii="楷体" w:eastAsia="楷体" w:hAnsi="楷体"/>
          <w:sz w:val="20"/>
          <w:szCs w:val="20"/>
        </w:rPr>
        <w:t>方面具有更广泛的潜力。</w:t>
      </w:r>
    </w:p>
    <w:p w14:paraId="78155B01"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3.2 NNMT：代谢重编程作为CTC</w:t>
      </w:r>
      <w:proofErr w:type="gramStart"/>
      <w:r w:rsidRPr="000000A4">
        <w:rPr>
          <w:rFonts w:ascii="楷体" w:eastAsia="楷体" w:hAnsi="楷体"/>
          <w:sz w:val="20"/>
          <w:szCs w:val="20"/>
        </w:rPr>
        <w:t>簇</w:t>
      </w:r>
      <w:proofErr w:type="gramEnd"/>
      <w:r w:rsidRPr="000000A4">
        <w:rPr>
          <w:rFonts w:ascii="楷体" w:eastAsia="楷体" w:hAnsi="楷体"/>
          <w:sz w:val="20"/>
          <w:szCs w:val="20"/>
        </w:rPr>
        <w:t>干预的新维度</w:t>
      </w:r>
    </w:p>
    <w:p w14:paraId="6651303E"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3.2.1 NNMT的生物学功能与肿瘤代谢调控</w:t>
      </w:r>
    </w:p>
    <w:p w14:paraId="53B4B687" w14:textId="1C6EB41E" w:rsidR="000000A4" w:rsidRPr="000000A4" w:rsidRDefault="000000A4" w:rsidP="000000A4">
      <w:pPr>
        <w:rPr>
          <w:rFonts w:ascii="楷体" w:eastAsia="楷体" w:hAnsi="楷体"/>
          <w:sz w:val="20"/>
          <w:szCs w:val="20"/>
        </w:rPr>
      </w:pPr>
      <w:r w:rsidRPr="000000A4">
        <w:rPr>
          <w:rFonts w:ascii="楷体" w:eastAsia="楷体" w:hAnsi="楷体"/>
          <w:sz w:val="20"/>
          <w:szCs w:val="20"/>
        </w:rPr>
        <w:t>NNMT是甲基转移酶家族的成员，以SAM为甲基供体催化烟酰胺的甲基化反应</w:t>
      </w:r>
      <w:r w:rsidR="00466AA3">
        <w:rPr>
          <w:rFonts w:ascii="楷体" w:eastAsia="楷体" w:hAnsi="楷体" w:hint="eastAsia"/>
          <w:sz w:val="20"/>
          <w:szCs w:val="20"/>
          <w:vertAlign w:val="superscript"/>
        </w:rPr>
        <w:t>[9,13]</w:t>
      </w:r>
      <w:r w:rsidRPr="000000A4">
        <w:rPr>
          <w:rFonts w:ascii="楷体" w:eastAsia="楷体" w:hAnsi="楷体"/>
          <w:sz w:val="20"/>
          <w:szCs w:val="20"/>
        </w:rPr>
        <w:t>。NNMT在多种实体瘤（如结直肠癌、胃癌、胰腺癌、非小细胞肺癌）中显著高表达，且与患者的不良预后及</w:t>
      </w:r>
      <w:r w:rsidRPr="000000A4">
        <w:rPr>
          <w:rFonts w:ascii="楷体" w:eastAsia="楷体" w:hAnsi="楷体"/>
          <w:sz w:val="20"/>
          <w:szCs w:val="20"/>
        </w:rPr>
        <w:lastRenderedPageBreak/>
        <w:t>化疗/靶</w:t>
      </w:r>
      <w:proofErr w:type="gramStart"/>
      <w:r w:rsidRPr="000000A4">
        <w:rPr>
          <w:rFonts w:ascii="楷体" w:eastAsia="楷体" w:hAnsi="楷体"/>
          <w:sz w:val="20"/>
          <w:szCs w:val="20"/>
        </w:rPr>
        <w:t>向治疗</w:t>
      </w:r>
      <w:proofErr w:type="gramEnd"/>
      <w:r w:rsidRPr="000000A4">
        <w:rPr>
          <w:rFonts w:ascii="楷体" w:eastAsia="楷体" w:hAnsi="楷体"/>
          <w:sz w:val="20"/>
          <w:szCs w:val="20"/>
        </w:rPr>
        <w:t>耐药密切相关</w:t>
      </w:r>
      <w:r w:rsidR="00330194">
        <w:rPr>
          <w:rFonts w:ascii="楷体" w:eastAsia="楷体" w:hAnsi="楷体" w:hint="eastAsia"/>
          <w:sz w:val="20"/>
          <w:szCs w:val="20"/>
          <w:vertAlign w:val="superscript"/>
        </w:rPr>
        <w:t>[</w:t>
      </w:r>
      <w:r w:rsidR="00466AA3">
        <w:rPr>
          <w:rFonts w:ascii="楷体" w:eastAsia="楷体" w:hAnsi="楷体" w:hint="eastAsia"/>
          <w:sz w:val="20"/>
          <w:szCs w:val="20"/>
          <w:vertAlign w:val="superscript"/>
        </w:rPr>
        <w:t>11,14</w:t>
      </w:r>
      <w:r w:rsidR="00330194">
        <w:rPr>
          <w:rFonts w:ascii="楷体" w:eastAsia="楷体" w:hAnsi="楷体" w:hint="eastAsia"/>
          <w:sz w:val="20"/>
          <w:szCs w:val="20"/>
          <w:vertAlign w:val="superscript"/>
        </w:rPr>
        <w:t>]</w:t>
      </w:r>
      <w:r w:rsidRPr="000000A4">
        <w:rPr>
          <w:rFonts w:ascii="楷体" w:eastAsia="楷体" w:hAnsi="楷体"/>
          <w:sz w:val="20"/>
          <w:szCs w:val="20"/>
        </w:rPr>
        <w:t>。</w:t>
      </w:r>
    </w:p>
    <w:p w14:paraId="56CB4A7C" w14:textId="67265C8E" w:rsidR="000000A4" w:rsidRPr="000000A4" w:rsidRDefault="000000A4" w:rsidP="000000A4">
      <w:pPr>
        <w:rPr>
          <w:rFonts w:ascii="楷体" w:eastAsia="楷体" w:hAnsi="楷体"/>
          <w:sz w:val="20"/>
          <w:szCs w:val="20"/>
        </w:rPr>
      </w:pPr>
      <w:r w:rsidRPr="000000A4">
        <w:rPr>
          <w:rFonts w:ascii="楷体" w:eastAsia="楷体" w:hAnsi="楷体"/>
          <w:sz w:val="20"/>
          <w:szCs w:val="20"/>
        </w:rPr>
        <w:t>NNMT促进肿瘤进展的机制主要包括：（1）消耗SAM导致组蛋白甲基化水平下降，引起表观遗传重编程，激活EMT相关转录因子（如Snail、Twist）的表达</w:t>
      </w:r>
      <w:r w:rsidR="00466AA3">
        <w:rPr>
          <w:rFonts w:ascii="楷体" w:eastAsia="楷体" w:hAnsi="楷体" w:hint="eastAsia"/>
          <w:sz w:val="20"/>
          <w:szCs w:val="20"/>
          <w:vertAlign w:val="superscript"/>
        </w:rPr>
        <w:t>[9]</w:t>
      </w:r>
      <w:r w:rsidRPr="000000A4">
        <w:rPr>
          <w:rFonts w:ascii="楷体" w:eastAsia="楷体" w:hAnsi="楷体"/>
          <w:sz w:val="20"/>
          <w:szCs w:val="20"/>
        </w:rPr>
        <w:t>；（2）耗竭NAD+前体烟酰胺，影响SIRT1等NAD+依赖性去乙酰化酶的活性，调控细胞代谢适应能力</w:t>
      </w:r>
      <w:r w:rsidR="00466AA3">
        <w:rPr>
          <w:rFonts w:ascii="楷体" w:eastAsia="楷体" w:hAnsi="楷体" w:hint="eastAsia"/>
          <w:sz w:val="20"/>
          <w:szCs w:val="20"/>
          <w:vertAlign w:val="superscript"/>
        </w:rPr>
        <w:t>[12,14]</w:t>
      </w:r>
      <w:r w:rsidRPr="000000A4">
        <w:rPr>
          <w:rFonts w:ascii="楷体" w:eastAsia="楷体" w:hAnsi="楷体"/>
          <w:sz w:val="20"/>
          <w:szCs w:val="20"/>
        </w:rPr>
        <w:t>；（3）代谢产物MNAM的累积可激活NF-</w:t>
      </w:r>
      <w:proofErr w:type="spellStart"/>
      <w:r w:rsidRPr="000000A4">
        <w:rPr>
          <w:rFonts w:ascii="楷体" w:eastAsia="楷体" w:hAnsi="楷体"/>
          <w:sz w:val="20"/>
          <w:szCs w:val="20"/>
        </w:rPr>
        <w:t>κB</w:t>
      </w:r>
      <w:proofErr w:type="spellEnd"/>
      <w:r w:rsidRPr="000000A4">
        <w:rPr>
          <w:rFonts w:ascii="楷体" w:eastAsia="楷体" w:hAnsi="楷体"/>
          <w:sz w:val="20"/>
          <w:szCs w:val="20"/>
        </w:rPr>
        <w:t>信号通路，促进炎症微环境形成</w:t>
      </w:r>
      <w:r w:rsidR="00466AA3">
        <w:rPr>
          <w:rFonts w:ascii="楷体" w:eastAsia="楷体" w:hAnsi="楷体" w:hint="eastAsia"/>
          <w:sz w:val="20"/>
          <w:szCs w:val="20"/>
          <w:vertAlign w:val="superscript"/>
        </w:rPr>
        <w:t>[10]</w:t>
      </w:r>
      <w:r w:rsidRPr="000000A4">
        <w:rPr>
          <w:rFonts w:ascii="楷体" w:eastAsia="楷体" w:hAnsi="楷体"/>
          <w:sz w:val="20"/>
          <w:szCs w:val="20"/>
        </w:rPr>
        <w:t>。在CTCs中，NNMT的</w:t>
      </w:r>
      <w:proofErr w:type="gramStart"/>
      <w:r w:rsidRPr="000000A4">
        <w:rPr>
          <w:rFonts w:ascii="楷体" w:eastAsia="楷体" w:hAnsi="楷体"/>
          <w:sz w:val="20"/>
          <w:szCs w:val="20"/>
        </w:rPr>
        <w:t>高表达</w:t>
      </w:r>
      <w:proofErr w:type="gramEnd"/>
      <w:r w:rsidRPr="000000A4">
        <w:rPr>
          <w:rFonts w:ascii="楷体" w:eastAsia="楷体" w:hAnsi="楷体"/>
          <w:sz w:val="20"/>
          <w:szCs w:val="20"/>
        </w:rPr>
        <w:t>可能赋予其更强的干性特征和</w:t>
      </w:r>
      <w:proofErr w:type="gramStart"/>
      <w:r w:rsidRPr="000000A4">
        <w:rPr>
          <w:rFonts w:ascii="楷体" w:eastAsia="楷体" w:hAnsi="楷体"/>
          <w:sz w:val="20"/>
          <w:szCs w:val="20"/>
        </w:rPr>
        <w:t>抵抗失巢凋亡</w:t>
      </w:r>
      <w:proofErr w:type="gramEnd"/>
      <w:r w:rsidRPr="000000A4">
        <w:rPr>
          <w:rFonts w:ascii="楷体" w:eastAsia="楷体" w:hAnsi="楷体"/>
          <w:sz w:val="20"/>
          <w:szCs w:val="20"/>
        </w:rPr>
        <w:t>的能力</w:t>
      </w:r>
      <w:r w:rsidR="00330194">
        <w:rPr>
          <w:rFonts w:ascii="楷体" w:eastAsia="楷体" w:hAnsi="楷体" w:hint="eastAsia"/>
          <w:sz w:val="20"/>
          <w:szCs w:val="20"/>
          <w:vertAlign w:val="superscript"/>
        </w:rPr>
        <w:t>[</w:t>
      </w:r>
      <w:r w:rsidR="00466AA3">
        <w:rPr>
          <w:rFonts w:ascii="楷体" w:eastAsia="楷体" w:hAnsi="楷体" w:hint="eastAsia"/>
          <w:sz w:val="20"/>
          <w:szCs w:val="20"/>
          <w:vertAlign w:val="superscript"/>
        </w:rPr>
        <w:t>13,29</w:t>
      </w:r>
      <w:r w:rsidR="00330194">
        <w:rPr>
          <w:rFonts w:ascii="楷体" w:eastAsia="楷体" w:hAnsi="楷体" w:hint="eastAsia"/>
          <w:sz w:val="20"/>
          <w:szCs w:val="20"/>
          <w:vertAlign w:val="superscript"/>
        </w:rPr>
        <w:t>]</w:t>
      </w:r>
      <w:r w:rsidRPr="000000A4">
        <w:rPr>
          <w:rFonts w:ascii="楷体" w:eastAsia="楷体" w:hAnsi="楷体"/>
          <w:sz w:val="20"/>
          <w:szCs w:val="20"/>
        </w:rPr>
        <w:t>。</w:t>
      </w:r>
    </w:p>
    <w:p w14:paraId="4FF55109"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3.2.2 NNMT抑制剂的研究进展与临床潜力</w:t>
      </w:r>
    </w:p>
    <w:p w14:paraId="1132A5E2" w14:textId="04C0DD17" w:rsidR="000000A4" w:rsidRPr="000000A4" w:rsidRDefault="000000A4" w:rsidP="000000A4">
      <w:pPr>
        <w:rPr>
          <w:rFonts w:ascii="楷体" w:eastAsia="楷体" w:hAnsi="楷体"/>
          <w:sz w:val="20"/>
          <w:szCs w:val="20"/>
        </w:rPr>
      </w:pPr>
      <w:r w:rsidRPr="000000A4">
        <w:rPr>
          <w:rFonts w:ascii="楷体" w:eastAsia="楷体" w:hAnsi="楷体"/>
          <w:sz w:val="20"/>
          <w:szCs w:val="20"/>
        </w:rPr>
        <w:t>目前NNMT小分子抑制剂的研究仍处于早期阶段。已报道的NNMT抑制剂包括NAD+类似物（如</w:t>
      </w:r>
      <w:proofErr w:type="spellStart"/>
      <w:r w:rsidRPr="000000A4">
        <w:rPr>
          <w:rFonts w:ascii="楷体" w:eastAsia="楷体" w:hAnsi="楷体"/>
          <w:sz w:val="20"/>
          <w:szCs w:val="20"/>
        </w:rPr>
        <w:t>crythodine</w:t>
      </w:r>
      <w:proofErr w:type="spellEnd"/>
      <w:r w:rsidRPr="000000A4">
        <w:rPr>
          <w:rFonts w:ascii="楷体" w:eastAsia="楷体" w:hAnsi="楷体"/>
          <w:sz w:val="20"/>
          <w:szCs w:val="20"/>
        </w:rPr>
        <w:t>衍生物）、底物竞争性抑制剂（如烟酰胺类似物）及基于片段的虚拟筛选化合物等，但多数处于临床前验证阶段</w:t>
      </w:r>
      <w:r w:rsidR="00314195">
        <w:rPr>
          <w:rFonts w:ascii="楷体" w:eastAsia="楷体" w:hAnsi="楷体" w:hint="eastAsia"/>
          <w:sz w:val="20"/>
          <w:szCs w:val="20"/>
          <w:vertAlign w:val="superscript"/>
        </w:rPr>
        <w:t>[13,14]</w:t>
      </w:r>
      <w:r w:rsidRPr="000000A4">
        <w:rPr>
          <w:rFonts w:ascii="楷体" w:eastAsia="楷体" w:hAnsi="楷体"/>
          <w:sz w:val="20"/>
          <w:szCs w:val="20"/>
        </w:rPr>
        <w:t>。然而，靶向蛋白N-端豆蔻酰化修饰的NMT（N-</w:t>
      </w:r>
      <w:proofErr w:type="spellStart"/>
      <w:r w:rsidRPr="000000A4">
        <w:rPr>
          <w:rFonts w:ascii="楷体" w:eastAsia="楷体" w:hAnsi="楷体"/>
          <w:sz w:val="20"/>
          <w:szCs w:val="20"/>
        </w:rPr>
        <w:t>myristoyltransferase</w:t>
      </w:r>
      <w:proofErr w:type="spellEnd"/>
      <w:r w:rsidRPr="000000A4">
        <w:rPr>
          <w:rFonts w:ascii="楷体" w:eastAsia="楷体" w:hAnsi="楷体"/>
          <w:sz w:val="20"/>
          <w:szCs w:val="20"/>
        </w:rPr>
        <w:t>）抑制剂已进入临床试验：</w:t>
      </w:r>
      <w:proofErr w:type="spellStart"/>
      <w:r w:rsidRPr="000000A4">
        <w:rPr>
          <w:rFonts w:ascii="楷体" w:eastAsia="楷体" w:hAnsi="楷体"/>
          <w:sz w:val="20"/>
          <w:szCs w:val="20"/>
        </w:rPr>
        <w:t>Zelenirstat</w:t>
      </w:r>
      <w:proofErr w:type="spellEnd"/>
      <w:r w:rsidRPr="000000A4">
        <w:rPr>
          <w:rFonts w:ascii="楷体" w:eastAsia="楷体" w:hAnsi="楷体"/>
          <w:sz w:val="20"/>
          <w:szCs w:val="20"/>
        </w:rPr>
        <w:t>（一种口服NMT1/2抑制剂）在I期临床试验中表现出良好的安全性和初步抗肿瘤活性，在28例晚期实体瘤及复发/难治性B细胞淋巴瘤患者中，28%达到疾病稳定，且耐受性良好（MTD为210mg/日）</w:t>
      </w:r>
      <w:r w:rsidR="00330194">
        <w:rPr>
          <w:rFonts w:ascii="楷体" w:eastAsia="楷体" w:hAnsi="楷体" w:hint="eastAsia"/>
          <w:sz w:val="20"/>
          <w:szCs w:val="20"/>
          <w:vertAlign w:val="superscript"/>
        </w:rPr>
        <w:t>[</w:t>
      </w:r>
      <w:r w:rsidR="00314195">
        <w:rPr>
          <w:rFonts w:ascii="楷体" w:eastAsia="楷体" w:hAnsi="楷体" w:hint="eastAsia"/>
          <w:sz w:val="20"/>
          <w:szCs w:val="20"/>
          <w:vertAlign w:val="superscript"/>
        </w:rPr>
        <w:t>25,26</w:t>
      </w:r>
      <w:r w:rsidR="00330194">
        <w:rPr>
          <w:rFonts w:ascii="楷体" w:eastAsia="楷体" w:hAnsi="楷体" w:hint="eastAsia"/>
          <w:sz w:val="20"/>
          <w:szCs w:val="20"/>
          <w:vertAlign w:val="superscript"/>
        </w:rPr>
        <w:t>]</w:t>
      </w:r>
      <w:r w:rsidRPr="000000A4">
        <w:rPr>
          <w:rFonts w:ascii="楷体" w:eastAsia="楷体" w:hAnsi="楷体"/>
          <w:sz w:val="20"/>
          <w:szCs w:val="20"/>
        </w:rPr>
        <w:t>。</w:t>
      </w:r>
    </w:p>
    <w:p w14:paraId="5F1279E2" w14:textId="5965E98C" w:rsidR="000000A4" w:rsidRPr="000000A4" w:rsidRDefault="000000A4" w:rsidP="000000A4">
      <w:pPr>
        <w:rPr>
          <w:rFonts w:ascii="楷体" w:eastAsia="楷体" w:hAnsi="楷体"/>
          <w:sz w:val="20"/>
          <w:szCs w:val="20"/>
        </w:rPr>
      </w:pPr>
      <w:r w:rsidRPr="000000A4">
        <w:rPr>
          <w:rFonts w:ascii="楷体" w:eastAsia="楷体" w:hAnsi="楷体"/>
          <w:sz w:val="20"/>
          <w:szCs w:val="20"/>
        </w:rPr>
        <w:t>虽然NMT与NNMT是不同的靶点，但NMT抑制剂的临床开发经验为NNMT靶向策略提供了重要参考：（1）靶向氨基酸代谢/修饰通路的抑制剂在临床上具有可行性；（2）这类药物通常不引起严重的骨髓抑制或脱发等传统化疗毒性，适合与其他药物联合使用</w:t>
      </w:r>
      <w:r w:rsidR="00314195">
        <w:rPr>
          <w:rFonts w:ascii="楷体" w:eastAsia="楷体" w:hAnsi="楷体" w:hint="eastAsia"/>
          <w:sz w:val="20"/>
          <w:szCs w:val="20"/>
          <w:vertAlign w:val="superscript"/>
        </w:rPr>
        <w:t>[25,27]</w:t>
      </w:r>
      <w:r w:rsidRPr="000000A4">
        <w:rPr>
          <w:rFonts w:ascii="楷体" w:eastAsia="楷体" w:hAnsi="楷体"/>
          <w:sz w:val="20"/>
          <w:szCs w:val="20"/>
        </w:rPr>
        <w:t>。我们推测，特异性NNMT抑制剂若成功进入临床，其在联合治疗中的潜力值得期待。</w:t>
      </w:r>
    </w:p>
    <w:p w14:paraId="62DAC870"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3.2.3 NNMT抑制剂与CTC簇的理论关联</w:t>
      </w:r>
    </w:p>
    <w:p w14:paraId="7E485BC2" w14:textId="3772E671" w:rsidR="000000A4" w:rsidRPr="000000A4" w:rsidRDefault="000000A4" w:rsidP="000000A4">
      <w:pPr>
        <w:rPr>
          <w:rFonts w:ascii="楷体" w:eastAsia="楷体" w:hAnsi="楷体"/>
          <w:sz w:val="20"/>
          <w:szCs w:val="20"/>
        </w:rPr>
      </w:pPr>
      <w:r w:rsidRPr="000000A4">
        <w:rPr>
          <w:rFonts w:ascii="楷体" w:eastAsia="楷体" w:hAnsi="楷体"/>
          <w:sz w:val="20"/>
          <w:szCs w:val="20"/>
        </w:rPr>
        <w:t>尽管尚无直接证据证明NNMT抑制剂可影响CTC</w:t>
      </w:r>
      <w:proofErr w:type="gramStart"/>
      <w:r w:rsidRPr="000000A4">
        <w:rPr>
          <w:rFonts w:ascii="楷体" w:eastAsia="楷体" w:hAnsi="楷体"/>
          <w:sz w:val="20"/>
          <w:szCs w:val="20"/>
        </w:rPr>
        <w:t>簇</w:t>
      </w:r>
      <w:proofErr w:type="gramEnd"/>
      <w:r w:rsidRPr="000000A4">
        <w:rPr>
          <w:rFonts w:ascii="楷体" w:eastAsia="楷体" w:hAnsi="楷体"/>
          <w:sz w:val="20"/>
          <w:szCs w:val="20"/>
        </w:rPr>
        <w:t>形成，但从代谢角度推演：（1）NNMT</w:t>
      </w:r>
      <w:proofErr w:type="gramStart"/>
      <w:r w:rsidRPr="000000A4">
        <w:rPr>
          <w:rFonts w:ascii="楷体" w:eastAsia="楷体" w:hAnsi="楷体"/>
          <w:sz w:val="20"/>
          <w:szCs w:val="20"/>
        </w:rPr>
        <w:t>高表达</w:t>
      </w:r>
      <w:proofErr w:type="gramEnd"/>
      <w:r w:rsidRPr="000000A4">
        <w:rPr>
          <w:rFonts w:ascii="楷体" w:eastAsia="楷体" w:hAnsi="楷体"/>
          <w:sz w:val="20"/>
          <w:szCs w:val="20"/>
        </w:rPr>
        <w:t>可能通过维持CTCs的“干细胞样”状态增强其细胞间黏附能力（如E-cadherin、VCAM-1的表达上调），促进</w:t>
      </w:r>
      <w:proofErr w:type="gramStart"/>
      <w:r w:rsidRPr="000000A4">
        <w:rPr>
          <w:rFonts w:ascii="楷体" w:eastAsia="楷体" w:hAnsi="楷体"/>
          <w:sz w:val="20"/>
          <w:szCs w:val="20"/>
        </w:rPr>
        <w:t>簇</w:t>
      </w:r>
      <w:proofErr w:type="gramEnd"/>
      <w:r w:rsidRPr="000000A4">
        <w:rPr>
          <w:rFonts w:ascii="楷体" w:eastAsia="楷体" w:hAnsi="楷体"/>
          <w:sz w:val="20"/>
          <w:szCs w:val="20"/>
        </w:rPr>
        <w:t>形成</w:t>
      </w:r>
      <w:r w:rsidR="00314195">
        <w:rPr>
          <w:rFonts w:ascii="楷体" w:eastAsia="楷体" w:hAnsi="楷体" w:hint="eastAsia"/>
          <w:sz w:val="20"/>
          <w:szCs w:val="20"/>
          <w:vertAlign w:val="superscript"/>
        </w:rPr>
        <w:t>[9,29]</w:t>
      </w:r>
      <w:r w:rsidRPr="000000A4">
        <w:rPr>
          <w:rFonts w:ascii="楷体" w:eastAsia="楷体" w:hAnsi="楷体"/>
          <w:sz w:val="20"/>
          <w:szCs w:val="20"/>
        </w:rPr>
        <w:t>；（2）NNMT</w:t>
      </w:r>
      <w:proofErr w:type="gramStart"/>
      <w:r w:rsidRPr="000000A4">
        <w:rPr>
          <w:rFonts w:ascii="楷体" w:eastAsia="楷体" w:hAnsi="楷体"/>
          <w:sz w:val="20"/>
          <w:szCs w:val="20"/>
        </w:rPr>
        <w:t>介</w:t>
      </w:r>
      <w:proofErr w:type="gramEnd"/>
      <w:r w:rsidRPr="000000A4">
        <w:rPr>
          <w:rFonts w:ascii="楷体" w:eastAsia="楷体" w:hAnsi="楷体"/>
          <w:sz w:val="20"/>
          <w:szCs w:val="20"/>
        </w:rPr>
        <w:t>导的甲基化稳态改变可能影响整合素表达谱，间接调节CTC与血细胞的相互作用</w:t>
      </w:r>
      <w:r w:rsidR="00314195">
        <w:rPr>
          <w:rFonts w:ascii="楷体" w:eastAsia="楷体" w:hAnsi="楷体" w:hint="eastAsia"/>
          <w:sz w:val="20"/>
          <w:szCs w:val="20"/>
          <w:vertAlign w:val="superscript"/>
        </w:rPr>
        <w:t>[13]</w:t>
      </w:r>
      <w:r w:rsidRPr="000000A4">
        <w:rPr>
          <w:rFonts w:ascii="楷体" w:eastAsia="楷体" w:hAnsi="楷体"/>
          <w:sz w:val="20"/>
          <w:szCs w:val="20"/>
        </w:rPr>
        <w:t>；（3）NNMT抑制可通过恢复组蛋白甲基化水平，逆转EMT状态，降低CTCs的“社交能力”</w:t>
      </w:r>
      <w:r w:rsidR="00314195">
        <w:rPr>
          <w:rFonts w:ascii="楷体" w:eastAsia="楷体" w:hAnsi="楷体" w:hint="eastAsia"/>
          <w:sz w:val="20"/>
          <w:szCs w:val="20"/>
          <w:vertAlign w:val="superscript"/>
        </w:rPr>
        <w:t>[29]</w:t>
      </w:r>
      <w:r w:rsidRPr="000000A4">
        <w:rPr>
          <w:rFonts w:ascii="楷体" w:eastAsia="楷体" w:hAnsi="楷体"/>
          <w:sz w:val="20"/>
          <w:szCs w:val="20"/>
        </w:rPr>
        <w:t>。</w:t>
      </w:r>
      <w:r w:rsidR="00314195" w:rsidRPr="00314195">
        <w:rPr>
          <w:rFonts w:ascii="楷体" w:eastAsia="楷体" w:hAnsi="楷体"/>
          <w:sz w:val="20"/>
          <w:szCs w:val="20"/>
        </w:rPr>
        <w:t>最新一项关键研究直接证实：周细胞NNMT通过CXCL5/CXCR2轴驱动CTC-中性粒细胞</w:t>
      </w:r>
      <w:proofErr w:type="gramStart"/>
      <w:r w:rsidR="00314195" w:rsidRPr="00314195">
        <w:rPr>
          <w:rFonts w:ascii="楷体" w:eastAsia="楷体" w:hAnsi="楷体"/>
          <w:sz w:val="20"/>
          <w:szCs w:val="20"/>
        </w:rPr>
        <w:t>簇</w:t>
      </w:r>
      <w:proofErr w:type="gramEnd"/>
      <w:r w:rsidR="00314195" w:rsidRPr="00314195">
        <w:rPr>
          <w:rFonts w:ascii="楷体" w:eastAsia="楷体" w:hAnsi="楷体"/>
          <w:sz w:val="20"/>
          <w:szCs w:val="20"/>
        </w:rPr>
        <w:t>形成，使用NNMT抑制剂可有效消除簇并抑制转移</w:t>
      </w:r>
      <w:r w:rsidR="00314195" w:rsidRPr="00314195">
        <w:rPr>
          <w:rFonts w:ascii="楷体" w:eastAsia="楷体" w:hAnsi="楷体"/>
          <w:sz w:val="20"/>
          <w:szCs w:val="20"/>
          <w:vertAlign w:val="superscript"/>
        </w:rPr>
        <w:t>[29]</w:t>
      </w:r>
      <w:r w:rsidR="00314195" w:rsidRPr="00314195">
        <w:rPr>
          <w:rFonts w:ascii="楷体" w:eastAsia="楷体" w:hAnsi="楷体"/>
          <w:sz w:val="20"/>
          <w:szCs w:val="20"/>
        </w:rPr>
        <w:t>。这一发现为本策略中NNMT抑制剂的应用提供了最直接的理论基础。</w:t>
      </w:r>
    </w:p>
    <w:p w14:paraId="38F510F8"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3.3 三联疗法的协同机制框架</w:t>
      </w:r>
    </w:p>
    <w:p w14:paraId="2C98DEB9"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基于上述分析，本文提出NNMT抑制剂、αIIbβ3抑制剂与PD-1/PD-L1抗体三联疗法的协同机制框架，概括为“瓦解-暴露-清除”三个环节：</w:t>
      </w:r>
    </w:p>
    <w:p w14:paraId="7FA536DF" w14:textId="0FD4DC85" w:rsidR="000000A4" w:rsidRPr="000000A4" w:rsidRDefault="000000A4" w:rsidP="000000A4">
      <w:pPr>
        <w:rPr>
          <w:rFonts w:ascii="楷体" w:eastAsia="楷体" w:hAnsi="楷体"/>
          <w:sz w:val="20"/>
          <w:szCs w:val="20"/>
        </w:rPr>
      </w:pPr>
      <w:r w:rsidRPr="000000A4">
        <w:rPr>
          <w:rFonts w:ascii="楷体" w:eastAsia="楷体" w:hAnsi="楷体"/>
          <w:sz w:val="20"/>
          <w:szCs w:val="20"/>
        </w:rPr>
        <w:t>第一环节（瓦解）：αIIbβ3抑制剂（</w:t>
      </w:r>
      <w:proofErr w:type="gramStart"/>
      <w:r w:rsidRPr="000000A4">
        <w:rPr>
          <w:rFonts w:ascii="楷体" w:eastAsia="楷体" w:hAnsi="楷体"/>
          <w:sz w:val="20"/>
          <w:szCs w:val="20"/>
        </w:rPr>
        <w:t>如替罗</w:t>
      </w:r>
      <w:proofErr w:type="gramEnd"/>
      <w:r w:rsidRPr="000000A4">
        <w:rPr>
          <w:rFonts w:ascii="楷体" w:eastAsia="楷体" w:hAnsi="楷体"/>
          <w:sz w:val="20"/>
          <w:szCs w:val="20"/>
        </w:rPr>
        <w:t>非班、</w:t>
      </w:r>
      <w:proofErr w:type="gramStart"/>
      <w:r w:rsidRPr="000000A4">
        <w:rPr>
          <w:rFonts w:ascii="楷体" w:eastAsia="楷体" w:hAnsi="楷体"/>
          <w:sz w:val="20"/>
          <w:szCs w:val="20"/>
        </w:rPr>
        <w:t>阿昔单抗</w:t>
      </w:r>
      <w:proofErr w:type="gramEnd"/>
      <w:r w:rsidRPr="000000A4">
        <w:rPr>
          <w:rFonts w:ascii="楷体" w:eastAsia="楷体" w:hAnsi="楷体"/>
          <w:sz w:val="20"/>
          <w:szCs w:val="20"/>
        </w:rPr>
        <w:t>）通过阻断纤维蛋白原与血小板</w:t>
      </w:r>
      <w:proofErr w:type="spellStart"/>
      <w:r w:rsidRPr="000000A4">
        <w:rPr>
          <w:rFonts w:ascii="楷体" w:eastAsia="楷体" w:hAnsi="楷体"/>
          <w:sz w:val="20"/>
          <w:szCs w:val="20"/>
        </w:rPr>
        <w:t>GPIIb</w:t>
      </w:r>
      <w:proofErr w:type="spellEnd"/>
      <w:r w:rsidRPr="000000A4">
        <w:rPr>
          <w:rFonts w:ascii="楷体" w:eastAsia="楷体" w:hAnsi="楷体"/>
          <w:sz w:val="20"/>
          <w:szCs w:val="20"/>
        </w:rPr>
        <w:t>/IIIa受体的结合，抑制血小板聚集及其与CTC的黏附</w:t>
      </w:r>
      <w:r w:rsidR="00314195">
        <w:rPr>
          <w:rFonts w:ascii="楷体" w:eastAsia="楷体" w:hAnsi="楷体" w:hint="eastAsia"/>
          <w:sz w:val="20"/>
          <w:szCs w:val="20"/>
          <w:vertAlign w:val="superscript"/>
        </w:rPr>
        <w:t>[17,19]</w:t>
      </w:r>
      <w:r w:rsidRPr="000000A4">
        <w:rPr>
          <w:rFonts w:ascii="楷体" w:eastAsia="楷体" w:hAnsi="楷体"/>
          <w:sz w:val="20"/>
          <w:szCs w:val="20"/>
        </w:rPr>
        <w:t>。这一作用可直接瓦解已形成的CTC-血小板簇，并</w:t>
      </w:r>
      <w:proofErr w:type="gramStart"/>
      <w:r w:rsidRPr="000000A4">
        <w:rPr>
          <w:rFonts w:ascii="楷体" w:eastAsia="楷体" w:hAnsi="楷体"/>
          <w:sz w:val="20"/>
          <w:szCs w:val="20"/>
        </w:rPr>
        <w:t>预防新簇的</w:t>
      </w:r>
      <w:proofErr w:type="gramEnd"/>
      <w:r w:rsidRPr="000000A4">
        <w:rPr>
          <w:rFonts w:ascii="楷体" w:eastAsia="楷体" w:hAnsi="楷体"/>
          <w:sz w:val="20"/>
          <w:szCs w:val="20"/>
        </w:rPr>
        <w:t>形成。同时，αIIbβ3抑制剂也可能间接影响CTC-中性粒细胞簇（因血小板可释放趋化因子招募中性粒细胞），但需进一步验证</w:t>
      </w:r>
      <w:r w:rsidR="00314195">
        <w:rPr>
          <w:rFonts w:ascii="楷体" w:eastAsia="楷体" w:hAnsi="楷体" w:hint="eastAsia"/>
          <w:sz w:val="20"/>
          <w:szCs w:val="20"/>
          <w:vertAlign w:val="superscript"/>
        </w:rPr>
        <w:t>[16,18]</w:t>
      </w:r>
      <w:r w:rsidRPr="000000A4">
        <w:rPr>
          <w:rFonts w:ascii="楷体" w:eastAsia="楷体" w:hAnsi="楷体"/>
          <w:sz w:val="20"/>
          <w:szCs w:val="20"/>
        </w:rPr>
        <w:t>。</w:t>
      </w:r>
    </w:p>
    <w:p w14:paraId="0036F6C9" w14:textId="6701FB08" w:rsidR="000000A4" w:rsidRPr="000000A4" w:rsidRDefault="000000A4" w:rsidP="000000A4">
      <w:pPr>
        <w:rPr>
          <w:rFonts w:ascii="楷体" w:eastAsia="楷体" w:hAnsi="楷体"/>
          <w:sz w:val="20"/>
          <w:szCs w:val="20"/>
        </w:rPr>
      </w:pPr>
      <w:r w:rsidRPr="000000A4">
        <w:rPr>
          <w:rFonts w:ascii="楷体" w:eastAsia="楷体" w:hAnsi="楷体"/>
          <w:sz w:val="20"/>
          <w:szCs w:val="20"/>
        </w:rPr>
        <w:t>第二环节（暴露）：NNMT抑制剂从代谢层面削弱CTC簇的生存优势。通过消耗SAM和/或影响NAD+代谢，NNMT抑制剂可诱导CTCs发生代谢应激，下调抗凋亡蛋白表达，并可能</w:t>
      </w:r>
      <w:proofErr w:type="gramStart"/>
      <w:r w:rsidRPr="000000A4">
        <w:rPr>
          <w:rFonts w:ascii="楷体" w:eastAsia="楷体" w:hAnsi="楷体"/>
          <w:sz w:val="20"/>
          <w:szCs w:val="20"/>
        </w:rPr>
        <w:t>降低簇内细</w:t>
      </w:r>
      <w:r w:rsidRPr="000000A4">
        <w:rPr>
          <w:rFonts w:ascii="楷体" w:eastAsia="楷体" w:hAnsi="楷体"/>
          <w:sz w:val="20"/>
          <w:szCs w:val="20"/>
        </w:rPr>
        <w:lastRenderedPageBreak/>
        <w:t>胞</w:t>
      </w:r>
      <w:proofErr w:type="gramEnd"/>
      <w:r w:rsidRPr="000000A4">
        <w:rPr>
          <w:rFonts w:ascii="楷体" w:eastAsia="楷体" w:hAnsi="楷体"/>
          <w:sz w:val="20"/>
          <w:szCs w:val="20"/>
        </w:rPr>
        <w:t>间黏附强度</w:t>
      </w:r>
      <w:r w:rsidR="00314195">
        <w:rPr>
          <w:rFonts w:ascii="楷体" w:eastAsia="楷体" w:hAnsi="楷体" w:hint="eastAsia"/>
          <w:sz w:val="20"/>
          <w:szCs w:val="20"/>
          <w:vertAlign w:val="superscript"/>
        </w:rPr>
        <w:t>[9,29]</w:t>
      </w:r>
      <w:r w:rsidRPr="000000A4">
        <w:rPr>
          <w:rFonts w:ascii="楷体" w:eastAsia="楷体" w:hAnsi="楷体"/>
          <w:sz w:val="20"/>
          <w:szCs w:val="20"/>
        </w:rPr>
        <w:t>。更重要的是，NNMT抑制可逆转EMT表型，使CTCs恢复上皮特征，从而更易被免疫细胞识别</w:t>
      </w:r>
      <w:r w:rsidR="00314195">
        <w:rPr>
          <w:rFonts w:ascii="楷体" w:eastAsia="楷体" w:hAnsi="楷体" w:hint="eastAsia"/>
          <w:sz w:val="20"/>
          <w:szCs w:val="20"/>
          <w:vertAlign w:val="superscript"/>
        </w:rPr>
        <w:t>[13,14]</w:t>
      </w:r>
      <w:r w:rsidRPr="000000A4">
        <w:rPr>
          <w:rFonts w:ascii="楷体" w:eastAsia="楷体" w:hAnsi="楷体"/>
          <w:sz w:val="20"/>
          <w:szCs w:val="20"/>
        </w:rPr>
        <w:t>。</w:t>
      </w:r>
      <w:r>
        <w:rPr>
          <w:rFonts w:ascii="楷体" w:eastAsia="楷体" w:hAnsi="楷体" w:hint="eastAsia"/>
          <w:sz w:val="20"/>
          <w:szCs w:val="20"/>
        </w:rPr>
        <w:t>最近有研究表明，</w:t>
      </w:r>
      <w:proofErr w:type="gramStart"/>
      <w:r w:rsidRPr="000000A4">
        <w:rPr>
          <w:rFonts w:ascii="楷体" w:eastAsia="楷体" w:hAnsi="楷体" w:hint="eastAsia"/>
          <w:sz w:val="20"/>
          <w:szCs w:val="20"/>
        </w:rPr>
        <w:t>高表达</w:t>
      </w:r>
      <w:proofErr w:type="gramEnd"/>
      <w:r w:rsidRPr="000000A4">
        <w:rPr>
          <w:rFonts w:ascii="楷体" w:eastAsia="楷体" w:hAnsi="楷体" w:hint="eastAsia"/>
          <w:sz w:val="20"/>
          <w:szCs w:val="20"/>
        </w:rPr>
        <w:t>的NNMT周细胞通过激活CXCL5/CXCR2轴，</w:t>
      </w:r>
      <w:proofErr w:type="gramStart"/>
      <w:r w:rsidRPr="000000A4">
        <w:rPr>
          <w:rFonts w:ascii="楷体" w:eastAsia="楷体" w:hAnsi="楷体" w:hint="eastAsia"/>
          <w:sz w:val="20"/>
          <w:szCs w:val="20"/>
        </w:rPr>
        <w:t>介</w:t>
      </w:r>
      <w:proofErr w:type="gramEnd"/>
      <w:r w:rsidRPr="000000A4">
        <w:rPr>
          <w:rFonts w:ascii="楷体" w:eastAsia="楷体" w:hAnsi="楷体" w:hint="eastAsia"/>
          <w:sz w:val="20"/>
          <w:szCs w:val="20"/>
        </w:rPr>
        <w:t>导CRC细胞、中性粒细胞和内皮细胞之间的细胞相互作用，促进了CTC中性粒细胞簇的形成。</w:t>
      </w:r>
      <w:r>
        <w:rPr>
          <w:rFonts w:ascii="楷体" w:eastAsia="楷体" w:hAnsi="楷体" w:hint="eastAsia"/>
          <w:sz w:val="20"/>
          <w:szCs w:val="20"/>
        </w:rPr>
        <w:t>所以通过在</w:t>
      </w:r>
      <w:proofErr w:type="gramStart"/>
      <w:r>
        <w:rPr>
          <w:rFonts w:ascii="楷体" w:eastAsia="楷体" w:hAnsi="楷体" w:hint="eastAsia"/>
          <w:sz w:val="20"/>
          <w:szCs w:val="20"/>
        </w:rPr>
        <w:t>细胞周</w:t>
      </w:r>
      <w:proofErr w:type="gramEnd"/>
      <w:r>
        <w:rPr>
          <w:rFonts w:ascii="楷体" w:eastAsia="楷体" w:hAnsi="楷体" w:hint="eastAsia"/>
          <w:sz w:val="20"/>
          <w:szCs w:val="20"/>
        </w:rPr>
        <w:t>抑制NNMT可以</w:t>
      </w:r>
      <w:r w:rsidR="005019DD">
        <w:rPr>
          <w:rFonts w:ascii="楷体" w:eastAsia="楷体" w:hAnsi="楷体" w:hint="eastAsia"/>
          <w:sz w:val="20"/>
          <w:szCs w:val="20"/>
        </w:rPr>
        <w:t>破坏CTC中心粒细胞簇。</w:t>
      </w:r>
    </w:p>
    <w:p w14:paraId="57A6348A" w14:textId="470771AB" w:rsidR="000000A4" w:rsidRPr="000000A4" w:rsidRDefault="000000A4" w:rsidP="000000A4">
      <w:pPr>
        <w:rPr>
          <w:rFonts w:ascii="楷体" w:eastAsia="楷体" w:hAnsi="楷体"/>
          <w:sz w:val="20"/>
          <w:szCs w:val="20"/>
        </w:rPr>
      </w:pPr>
      <w:r w:rsidRPr="000000A4">
        <w:rPr>
          <w:rFonts w:ascii="楷体" w:eastAsia="楷体" w:hAnsi="楷体"/>
          <w:sz w:val="20"/>
          <w:szCs w:val="20"/>
        </w:rPr>
        <w:t>第三环节（清除）：PD-1/PD-L1抗体解除T细胞（以及NK细胞）的免疫抑制状态</w:t>
      </w:r>
      <w:r w:rsidR="00314195">
        <w:rPr>
          <w:rFonts w:ascii="楷体" w:eastAsia="楷体" w:hAnsi="楷体" w:hint="eastAsia"/>
          <w:sz w:val="20"/>
          <w:szCs w:val="20"/>
          <w:vertAlign w:val="superscript"/>
        </w:rPr>
        <w:t>[20,23]</w:t>
      </w:r>
      <w:r w:rsidRPr="000000A4">
        <w:rPr>
          <w:rFonts w:ascii="楷体" w:eastAsia="楷体" w:hAnsi="楷体"/>
          <w:sz w:val="20"/>
          <w:szCs w:val="20"/>
        </w:rPr>
        <w:t>。当血小板盾牌被瓦解、CTC簇的免疫抑制微环境被代谢干预所削弱后，PD-1/PD-L1抗体激活的T细胞可有效识别并清除CTCs</w:t>
      </w:r>
      <w:r w:rsidR="00314195">
        <w:rPr>
          <w:rFonts w:ascii="楷体" w:eastAsia="楷体" w:hAnsi="楷体" w:hint="eastAsia"/>
          <w:sz w:val="20"/>
          <w:szCs w:val="20"/>
          <w:vertAlign w:val="superscript"/>
        </w:rPr>
        <w:t>[22,23]</w:t>
      </w:r>
      <w:r w:rsidRPr="000000A4">
        <w:rPr>
          <w:rFonts w:ascii="楷体" w:eastAsia="楷体" w:hAnsi="楷体"/>
          <w:sz w:val="20"/>
          <w:szCs w:val="20"/>
        </w:rPr>
        <w:t>。此外，PD-1/PD-L1抗体还可恢复NK细胞的活性，进一步增强对CTCs的清除效率</w:t>
      </w:r>
      <w:r w:rsidR="00314195">
        <w:rPr>
          <w:rFonts w:ascii="楷体" w:eastAsia="楷体" w:hAnsi="楷体" w:hint="eastAsia"/>
          <w:sz w:val="20"/>
          <w:szCs w:val="20"/>
          <w:vertAlign w:val="superscript"/>
        </w:rPr>
        <w:t>[21]</w:t>
      </w:r>
      <w:r w:rsidRPr="000000A4">
        <w:rPr>
          <w:rFonts w:ascii="楷体" w:eastAsia="楷体" w:hAnsi="楷体"/>
          <w:sz w:val="20"/>
          <w:szCs w:val="20"/>
        </w:rPr>
        <w:t>。</w:t>
      </w:r>
    </w:p>
    <w:p w14:paraId="1E3A82D4" w14:textId="7D6A3B56" w:rsidR="000000A4" w:rsidRPr="000000A4" w:rsidRDefault="000000A4" w:rsidP="000000A4">
      <w:pPr>
        <w:rPr>
          <w:rFonts w:ascii="楷体" w:eastAsia="楷体" w:hAnsi="楷体"/>
          <w:sz w:val="20"/>
          <w:szCs w:val="20"/>
        </w:rPr>
      </w:pPr>
      <w:r w:rsidRPr="000000A4">
        <w:rPr>
          <w:rFonts w:ascii="楷体" w:eastAsia="楷体" w:hAnsi="楷体"/>
          <w:sz w:val="20"/>
          <w:szCs w:val="20"/>
        </w:rPr>
        <w:t>协同效应的量化估算：若单药干预仅能部分抑制转移（如减少50%），三联疗法通过</w:t>
      </w:r>
      <w:proofErr w:type="gramStart"/>
      <w:r w:rsidRPr="000000A4">
        <w:rPr>
          <w:rFonts w:ascii="楷体" w:eastAsia="楷体" w:hAnsi="楷体"/>
          <w:sz w:val="20"/>
          <w:szCs w:val="20"/>
        </w:rPr>
        <w:t>多机制</w:t>
      </w:r>
      <w:proofErr w:type="gramEnd"/>
      <w:r w:rsidRPr="000000A4">
        <w:rPr>
          <w:rFonts w:ascii="楷体" w:eastAsia="楷体" w:hAnsi="楷体"/>
          <w:sz w:val="20"/>
          <w:szCs w:val="20"/>
        </w:rPr>
        <w:t>协同有望将转移负荷降低80%-90%，且可预防对某一单药的耐药</w:t>
      </w:r>
      <w:r w:rsidR="00314195">
        <w:rPr>
          <w:rFonts w:ascii="楷体" w:eastAsia="楷体" w:hAnsi="楷体" w:hint="eastAsia"/>
          <w:sz w:val="20"/>
          <w:szCs w:val="20"/>
          <w:vertAlign w:val="superscript"/>
        </w:rPr>
        <w:t>[28,30]</w:t>
      </w:r>
      <w:r w:rsidRPr="000000A4">
        <w:rPr>
          <w:rFonts w:ascii="楷体" w:eastAsia="楷体" w:hAnsi="楷体"/>
          <w:sz w:val="20"/>
          <w:szCs w:val="20"/>
        </w:rPr>
        <w:t>。</w:t>
      </w:r>
    </w:p>
    <w:p w14:paraId="45B9C812"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3.4 临床转化可行性与安全性</w:t>
      </w:r>
      <w:proofErr w:type="gramStart"/>
      <w:r w:rsidRPr="000000A4">
        <w:rPr>
          <w:rFonts w:ascii="楷体" w:eastAsia="楷体" w:hAnsi="楷体"/>
          <w:sz w:val="20"/>
          <w:szCs w:val="20"/>
        </w:rPr>
        <w:t>考量</w:t>
      </w:r>
      <w:proofErr w:type="gramEnd"/>
    </w:p>
    <w:p w14:paraId="033D3834"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3.4.1 各单药的临床可及性</w:t>
      </w:r>
    </w:p>
    <w:p w14:paraId="5EA1D850" w14:textId="0621D9F4" w:rsidR="000000A4" w:rsidRPr="000000A4" w:rsidRDefault="000000A4" w:rsidP="000000A4">
      <w:pPr>
        <w:numPr>
          <w:ilvl w:val="0"/>
          <w:numId w:val="2"/>
        </w:numPr>
        <w:rPr>
          <w:rFonts w:ascii="楷体" w:eastAsia="楷体" w:hAnsi="楷体"/>
          <w:sz w:val="20"/>
          <w:szCs w:val="20"/>
        </w:rPr>
      </w:pPr>
      <w:r w:rsidRPr="000000A4">
        <w:rPr>
          <w:rFonts w:ascii="楷体" w:eastAsia="楷体" w:hAnsi="楷体"/>
          <w:sz w:val="20"/>
          <w:szCs w:val="20"/>
        </w:rPr>
        <w:t>PD-1/PD-L1抗体：已在多种实体瘤中获批，安全性特征明确，联合治疗经验丰富</w:t>
      </w:r>
      <w:r w:rsidR="00314195">
        <w:rPr>
          <w:rFonts w:ascii="楷体" w:eastAsia="楷体" w:hAnsi="楷体" w:hint="eastAsia"/>
          <w:sz w:val="20"/>
          <w:szCs w:val="20"/>
          <w:vertAlign w:val="superscript"/>
        </w:rPr>
        <w:t>[4,23]</w:t>
      </w:r>
      <w:r w:rsidRPr="000000A4">
        <w:rPr>
          <w:rFonts w:ascii="楷体" w:eastAsia="楷体" w:hAnsi="楷体"/>
          <w:sz w:val="20"/>
          <w:szCs w:val="20"/>
        </w:rPr>
        <w:t>。</w:t>
      </w:r>
    </w:p>
    <w:p w14:paraId="01F46277" w14:textId="48FBFF4E" w:rsidR="000000A4" w:rsidRPr="000000A4" w:rsidRDefault="000000A4" w:rsidP="000000A4">
      <w:pPr>
        <w:numPr>
          <w:ilvl w:val="0"/>
          <w:numId w:val="2"/>
        </w:numPr>
        <w:rPr>
          <w:rFonts w:ascii="楷体" w:eastAsia="楷体" w:hAnsi="楷体"/>
          <w:sz w:val="20"/>
          <w:szCs w:val="20"/>
        </w:rPr>
      </w:pPr>
      <w:r w:rsidRPr="000000A4">
        <w:rPr>
          <w:rFonts w:ascii="楷体" w:eastAsia="楷体" w:hAnsi="楷体"/>
          <w:sz w:val="20"/>
          <w:szCs w:val="20"/>
        </w:rPr>
        <w:t>αIIbβ3抑制剂：</w:t>
      </w:r>
      <w:proofErr w:type="gramStart"/>
      <w:r w:rsidRPr="000000A4">
        <w:rPr>
          <w:rFonts w:ascii="楷体" w:eastAsia="楷体" w:hAnsi="楷体"/>
          <w:sz w:val="20"/>
          <w:szCs w:val="20"/>
        </w:rPr>
        <w:t>替罗非</w:t>
      </w:r>
      <w:proofErr w:type="gramEnd"/>
      <w:r w:rsidRPr="000000A4">
        <w:rPr>
          <w:rFonts w:ascii="楷体" w:eastAsia="楷体" w:hAnsi="楷体"/>
          <w:sz w:val="20"/>
          <w:szCs w:val="20"/>
        </w:rPr>
        <w:t>班、</w:t>
      </w:r>
      <w:proofErr w:type="gramStart"/>
      <w:r w:rsidRPr="000000A4">
        <w:rPr>
          <w:rFonts w:ascii="楷体" w:eastAsia="楷体" w:hAnsi="楷体"/>
          <w:sz w:val="20"/>
          <w:szCs w:val="20"/>
        </w:rPr>
        <w:t>依替巴肽已获批用于</w:t>
      </w:r>
      <w:proofErr w:type="gramEnd"/>
      <w:r w:rsidRPr="000000A4">
        <w:rPr>
          <w:rFonts w:ascii="楷体" w:eastAsia="楷体" w:hAnsi="楷体"/>
          <w:sz w:val="20"/>
          <w:szCs w:val="20"/>
        </w:rPr>
        <w:t>急性冠脉综合征，静脉给药、半衰期短，便于剂量调整；</w:t>
      </w:r>
      <w:proofErr w:type="gramStart"/>
      <w:r w:rsidRPr="000000A4">
        <w:rPr>
          <w:rFonts w:ascii="楷体" w:eastAsia="楷体" w:hAnsi="楷体"/>
          <w:sz w:val="20"/>
          <w:szCs w:val="20"/>
        </w:rPr>
        <w:t>阿昔单抗</w:t>
      </w:r>
      <w:proofErr w:type="gramEnd"/>
      <w:r w:rsidRPr="000000A4">
        <w:rPr>
          <w:rFonts w:ascii="楷体" w:eastAsia="楷体" w:hAnsi="楷体"/>
          <w:sz w:val="20"/>
          <w:szCs w:val="20"/>
        </w:rPr>
        <w:t>为长效制剂。主要风险为出血，但在肿瘤患者中（血小板计数可能偏低）需谨慎评估</w:t>
      </w:r>
      <w:r w:rsidR="00314195">
        <w:rPr>
          <w:rFonts w:ascii="楷体" w:eastAsia="楷体" w:hAnsi="楷体" w:hint="eastAsia"/>
          <w:sz w:val="20"/>
          <w:szCs w:val="20"/>
          <w:vertAlign w:val="superscript"/>
        </w:rPr>
        <w:t>[17,19]</w:t>
      </w:r>
      <w:r w:rsidRPr="000000A4">
        <w:rPr>
          <w:rFonts w:ascii="楷体" w:eastAsia="楷体" w:hAnsi="楷体"/>
          <w:sz w:val="20"/>
          <w:szCs w:val="20"/>
        </w:rPr>
        <w:t>。</w:t>
      </w:r>
    </w:p>
    <w:p w14:paraId="17721AD7" w14:textId="23D7462A" w:rsidR="000000A4" w:rsidRPr="000000A4" w:rsidRDefault="000000A4" w:rsidP="000000A4">
      <w:pPr>
        <w:numPr>
          <w:ilvl w:val="0"/>
          <w:numId w:val="2"/>
        </w:numPr>
        <w:rPr>
          <w:rFonts w:ascii="楷体" w:eastAsia="楷体" w:hAnsi="楷体"/>
          <w:sz w:val="20"/>
          <w:szCs w:val="20"/>
        </w:rPr>
      </w:pPr>
      <w:r w:rsidRPr="000000A4">
        <w:rPr>
          <w:rFonts w:ascii="楷体" w:eastAsia="楷体" w:hAnsi="楷体"/>
          <w:sz w:val="20"/>
          <w:szCs w:val="20"/>
        </w:rPr>
        <w:t>NNMT抑制剂：目前尚无获批药物，但NMT抑制剂的临床数据支持代谢靶</w:t>
      </w:r>
      <w:proofErr w:type="gramStart"/>
      <w:r w:rsidRPr="000000A4">
        <w:rPr>
          <w:rFonts w:ascii="楷体" w:eastAsia="楷体" w:hAnsi="楷体"/>
          <w:sz w:val="20"/>
          <w:szCs w:val="20"/>
        </w:rPr>
        <w:t>向药物</w:t>
      </w:r>
      <w:proofErr w:type="gramEnd"/>
      <w:r w:rsidRPr="000000A4">
        <w:rPr>
          <w:rFonts w:ascii="楷体" w:eastAsia="楷体" w:hAnsi="楷体"/>
          <w:sz w:val="20"/>
          <w:szCs w:val="20"/>
        </w:rPr>
        <w:t>的可行性</w:t>
      </w:r>
      <w:r w:rsidR="00314195">
        <w:rPr>
          <w:rFonts w:ascii="楷体" w:eastAsia="楷体" w:hAnsi="楷体" w:hint="eastAsia"/>
          <w:sz w:val="20"/>
          <w:szCs w:val="20"/>
          <w:vertAlign w:val="superscript"/>
        </w:rPr>
        <w:t>[25,26]</w:t>
      </w:r>
      <w:r w:rsidRPr="000000A4">
        <w:rPr>
          <w:rFonts w:ascii="楷体" w:eastAsia="楷体" w:hAnsi="楷体"/>
          <w:sz w:val="20"/>
          <w:szCs w:val="20"/>
        </w:rPr>
        <w:t>。</w:t>
      </w:r>
      <w:r w:rsidR="00314195" w:rsidRPr="00314195">
        <w:rPr>
          <w:rFonts w:ascii="楷体" w:eastAsia="楷体" w:hAnsi="楷体"/>
          <w:sz w:val="20"/>
          <w:szCs w:val="20"/>
        </w:rPr>
        <w:t>最新研究显示NNMT抑制剂在临床前模型中有效消除CTC簇</w:t>
      </w:r>
      <w:r w:rsidR="00314195" w:rsidRPr="00314195">
        <w:rPr>
          <w:rFonts w:ascii="楷体" w:eastAsia="楷体" w:hAnsi="楷体"/>
          <w:sz w:val="20"/>
          <w:szCs w:val="20"/>
          <w:vertAlign w:val="superscript"/>
        </w:rPr>
        <w:t>[29]</w:t>
      </w:r>
      <w:r w:rsidR="00314195" w:rsidRPr="00314195">
        <w:rPr>
          <w:rFonts w:ascii="楷体" w:eastAsia="楷体" w:hAnsi="楷体"/>
          <w:sz w:val="20"/>
          <w:szCs w:val="20"/>
        </w:rPr>
        <w:t>。</w:t>
      </w:r>
    </w:p>
    <w:p w14:paraId="0F7C7903"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3.4.2 潜在的毒性叠加风险与缓解策略</w:t>
      </w:r>
    </w:p>
    <w:p w14:paraId="353B1679" w14:textId="7A99D4B7" w:rsidR="000000A4" w:rsidRPr="000000A4" w:rsidRDefault="000000A4" w:rsidP="000000A4">
      <w:pPr>
        <w:rPr>
          <w:rFonts w:ascii="楷体" w:eastAsia="楷体" w:hAnsi="楷体"/>
          <w:sz w:val="20"/>
          <w:szCs w:val="20"/>
        </w:rPr>
      </w:pPr>
      <w:r w:rsidRPr="000000A4">
        <w:rPr>
          <w:rFonts w:ascii="楷体" w:eastAsia="楷体" w:hAnsi="楷体"/>
          <w:sz w:val="20"/>
          <w:szCs w:val="20"/>
        </w:rPr>
        <w:t>三联疗法的理论毒性包括：（1）出血风险：αIIbβ3抑制剂抗血小板作用与PD-1/PD-L1抗体可能引起的免疫性血小板减少症叠加</w:t>
      </w:r>
      <w:r w:rsidR="00314195">
        <w:rPr>
          <w:rFonts w:ascii="楷体" w:eastAsia="楷体" w:hAnsi="楷体" w:hint="eastAsia"/>
          <w:sz w:val="20"/>
          <w:szCs w:val="20"/>
          <w:vertAlign w:val="superscript"/>
        </w:rPr>
        <w:t>[19,20]</w:t>
      </w:r>
      <w:r w:rsidRPr="000000A4">
        <w:rPr>
          <w:rFonts w:ascii="楷体" w:eastAsia="楷体" w:hAnsi="楷体"/>
          <w:sz w:val="20"/>
          <w:szCs w:val="20"/>
        </w:rPr>
        <w:t>；（2）免疫相关不良事件：PD-1/PD-L1抗体的自身免疫毒性可能因代谢干预而增</w:t>
      </w:r>
      <w:r w:rsidR="00314195">
        <w:rPr>
          <w:rFonts w:ascii="楷体" w:eastAsia="楷体" w:hAnsi="楷体" w:hint="eastAsia"/>
          <w:sz w:val="20"/>
          <w:szCs w:val="20"/>
        </w:rPr>
        <w:t>强</w:t>
      </w:r>
      <w:r w:rsidR="00314195">
        <w:rPr>
          <w:rFonts w:ascii="楷体" w:eastAsia="楷体" w:hAnsi="楷体" w:hint="eastAsia"/>
          <w:sz w:val="20"/>
          <w:szCs w:val="20"/>
          <w:vertAlign w:val="superscript"/>
        </w:rPr>
        <w:t>[4,23]</w:t>
      </w:r>
      <w:r w:rsidRPr="000000A4">
        <w:rPr>
          <w:rFonts w:ascii="楷体" w:eastAsia="楷体" w:hAnsi="楷体"/>
          <w:sz w:val="20"/>
          <w:szCs w:val="20"/>
        </w:rPr>
        <w:t>；（3）胃肠道毒性：NMT抑制剂（如</w:t>
      </w:r>
      <w:proofErr w:type="spellStart"/>
      <w:r w:rsidRPr="000000A4">
        <w:rPr>
          <w:rFonts w:ascii="楷体" w:eastAsia="楷体" w:hAnsi="楷体"/>
          <w:sz w:val="20"/>
          <w:szCs w:val="20"/>
        </w:rPr>
        <w:t>Zelenirstat</w:t>
      </w:r>
      <w:proofErr w:type="spellEnd"/>
      <w:r w:rsidRPr="000000A4">
        <w:rPr>
          <w:rFonts w:ascii="楷体" w:eastAsia="楷体" w:hAnsi="楷体"/>
          <w:sz w:val="20"/>
          <w:szCs w:val="20"/>
        </w:rPr>
        <w:t>）的剂量限制性毒性为腹泻，与其他药物联用可能加重</w:t>
      </w:r>
      <w:r w:rsidR="00314195">
        <w:rPr>
          <w:rFonts w:ascii="楷体" w:eastAsia="楷体" w:hAnsi="楷体" w:hint="eastAsia"/>
          <w:sz w:val="20"/>
          <w:szCs w:val="20"/>
          <w:vertAlign w:val="superscript"/>
        </w:rPr>
        <w:t>[25,26]</w:t>
      </w:r>
      <w:r w:rsidRPr="000000A4">
        <w:rPr>
          <w:rFonts w:ascii="楷体" w:eastAsia="楷体" w:hAnsi="楷体"/>
          <w:sz w:val="20"/>
          <w:szCs w:val="20"/>
        </w:rPr>
        <w:t>。</w:t>
      </w:r>
    </w:p>
    <w:p w14:paraId="36D9E425" w14:textId="3F415A3C" w:rsidR="000000A4" w:rsidRPr="000000A4" w:rsidRDefault="000000A4" w:rsidP="000000A4">
      <w:pPr>
        <w:rPr>
          <w:rFonts w:ascii="楷体" w:eastAsia="楷体" w:hAnsi="楷体"/>
          <w:sz w:val="20"/>
          <w:szCs w:val="20"/>
        </w:rPr>
      </w:pPr>
      <w:r w:rsidRPr="000000A4">
        <w:rPr>
          <w:rFonts w:ascii="楷体" w:eastAsia="楷体" w:hAnsi="楷体"/>
          <w:sz w:val="20"/>
          <w:szCs w:val="20"/>
        </w:rPr>
        <w:t>缓解策略：（1）采用序贯给药而</w:t>
      </w:r>
      <w:proofErr w:type="gramStart"/>
      <w:r w:rsidRPr="000000A4">
        <w:rPr>
          <w:rFonts w:ascii="楷体" w:eastAsia="楷体" w:hAnsi="楷体"/>
          <w:sz w:val="20"/>
          <w:szCs w:val="20"/>
        </w:rPr>
        <w:t>非同时</w:t>
      </w:r>
      <w:proofErr w:type="gramEnd"/>
      <w:r w:rsidRPr="000000A4">
        <w:rPr>
          <w:rFonts w:ascii="楷体" w:eastAsia="楷体" w:hAnsi="楷体"/>
          <w:sz w:val="20"/>
          <w:szCs w:val="20"/>
        </w:rPr>
        <w:t>给药（如先予αIIbβ3抑制剂短期“清障”，再予PD-1/PD-L1抗体联合NNMT抑制剂）</w:t>
      </w:r>
      <w:r w:rsidR="00314195">
        <w:rPr>
          <w:rFonts w:ascii="楷体" w:eastAsia="楷体" w:hAnsi="楷体" w:hint="eastAsia"/>
          <w:sz w:val="20"/>
          <w:szCs w:val="20"/>
          <w:vertAlign w:val="superscript"/>
        </w:rPr>
        <w:t>[24]</w:t>
      </w:r>
      <w:r w:rsidRPr="000000A4">
        <w:rPr>
          <w:rFonts w:ascii="楷体" w:eastAsia="楷体" w:hAnsi="楷体"/>
          <w:sz w:val="20"/>
          <w:szCs w:val="20"/>
        </w:rPr>
        <w:t>；（2）根据血小板监测结果调整αIIbβ3抑制剂剂量</w:t>
      </w:r>
      <w:r w:rsidR="00314195">
        <w:rPr>
          <w:rFonts w:ascii="楷体" w:eastAsia="楷体" w:hAnsi="楷体" w:hint="eastAsia"/>
          <w:sz w:val="20"/>
          <w:szCs w:val="20"/>
          <w:vertAlign w:val="superscript"/>
        </w:rPr>
        <w:t>[17]</w:t>
      </w:r>
      <w:r w:rsidRPr="000000A4">
        <w:rPr>
          <w:rFonts w:ascii="楷体" w:eastAsia="楷体" w:hAnsi="楷体"/>
          <w:sz w:val="20"/>
          <w:szCs w:val="20"/>
        </w:rPr>
        <w:t>；（3）在临床早期阶段选择低风险瘤种（如黑色素瘤、肾癌）验证安全性</w:t>
      </w:r>
      <w:r w:rsidR="00314195">
        <w:rPr>
          <w:rFonts w:ascii="楷体" w:eastAsia="楷体" w:hAnsi="楷体" w:hint="eastAsia"/>
          <w:sz w:val="20"/>
          <w:szCs w:val="20"/>
          <w:vertAlign w:val="superscript"/>
        </w:rPr>
        <w:t>[28]</w:t>
      </w:r>
      <w:r w:rsidRPr="000000A4">
        <w:rPr>
          <w:rFonts w:ascii="楷体" w:eastAsia="楷体" w:hAnsi="楷体"/>
          <w:sz w:val="20"/>
          <w:szCs w:val="20"/>
        </w:rPr>
        <w:t>。</w:t>
      </w:r>
    </w:p>
    <w:p w14:paraId="60121E28" w14:textId="77777777" w:rsidR="000000A4" w:rsidRPr="000000A4" w:rsidRDefault="00000000" w:rsidP="000000A4">
      <w:pPr>
        <w:rPr>
          <w:rFonts w:ascii="楷体" w:eastAsia="楷体" w:hAnsi="楷体"/>
          <w:sz w:val="20"/>
          <w:szCs w:val="20"/>
        </w:rPr>
      </w:pPr>
      <w:r>
        <w:rPr>
          <w:rFonts w:ascii="楷体" w:eastAsia="楷体" w:hAnsi="楷体"/>
          <w:sz w:val="20"/>
          <w:szCs w:val="20"/>
        </w:rPr>
        <w:pict w14:anchorId="1244DD30">
          <v:rect id="_x0000_i1028" style="width:0;height:.75pt" o:hralign="center" o:hrstd="t" o:hr="t" fillcolor="#a0a0a0" stroked="f"/>
        </w:pict>
      </w:r>
    </w:p>
    <w:p w14:paraId="321BBFA5"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4. 讨论</w:t>
      </w:r>
    </w:p>
    <w:p w14:paraId="6D93F1FC" w14:textId="1BE44714" w:rsidR="000000A4" w:rsidRPr="000000A4" w:rsidRDefault="000000A4" w:rsidP="000000A4">
      <w:pPr>
        <w:rPr>
          <w:rFonts w:ascii="楷体" w:eastAsia="楷体" w:hAnsi="楷体"/>
          <w:sz w:val="20"/>
          <w:szCs w:val="20"/>
        </w:rPr>
      </w:pPr>
      <w:r w:rsidRPr="000000A4">
        <w:rPr>
          <w:rFonts w:ascii="楷体" w:eastAsia="楷体" w:hAnsi="楷体"/>
          <w:sz w:val="20"/>
          <w:szCs w:val="20"/>
        </w:rPr>
        <w:t>本文首次系统阐述了NNMT抑制剂、αIIbβ3抑制剂与PD-1/PD-L1抗体三联疗法靶向循环肿瘤细胞异质性簇的理论框架</w:t>
      </w:r>
      <w:r w:rsidR="00314195">
        <w:rPr>
          <w:rFonts w:ascii="楷体" w:eastAsia="楷体" w:hAnsi="楷体" w:hint="eastAsia"/>
          <w:sz w:val="20"/>
          <w:szCs w:val="20"/>
          <w:vertAlign w:val="superscript"/>
        </w:rPr>
        <w:t>[24,29]</w:t>
      </w:r>
      <w:r w:rsidRPr="000000A4">
        <w:rPr>
          <w:rFonts w:ascii="楷体" w:eastAsia="楷体" w:hAnsi="楷体"/>
          <w:sz w:val="20"/>
          <w:szCs w:val="20"/>
        </w:rPr>
        <w:t>。该策略的创新性体现在三个方面：靶点选择的互补性（代谢+血小板+免疫）、机制层面的协同性（瓦解-暴露-清除）以及临床转化的可行性（各单药均有临床前或临床基础）</w:t>
      </w:r>
      <w:r w:rsidR="00314195">
        <w:rPr>
          <w:rFonts w:ascii="楷体" w:eastAsia="楷体" w:hAnsi="楷体" w:hint="eastAsia"/>
          <w:sz w:val="20"/>
          <w:szCs w:val="20"/>
          <w:vertAlign w:val="superscript"/>
        </w:rPr>
        <w:t>[28,30]</w:t>
      </w:r>
      <w:r w:rsidRPr="000000A4">
        <w:rPr>
          <w:rFonts w:ascii="楷体" w:eastAsia="楷体" w:hAnsi="楷体"/>
          <w:sz w:val="20"/>
          <w:szCs w:val="20"/>
        </w:rPr>
        <w:t>。</w:t>
      </w:r>
    </w:p>
    <w:p w14:paraId="5FB7309A"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lastRenderedPageBreak/>
        <w:t>然而，本策略仍面临多重挑战与不确定性，主要体现在以下几个方面：</w:t>
      </w:r>
    </w:p>
    <w:p w14:paraId="11D07F0E" w14:textId="14AD12B7" w:rsidR="000000A4" w:rsidRPr="000000A4" w:rsidRDefault="000000A4" w:rsidP="000000A4">
      <w:pPr>
        <w:rPr>
          <w:rFonts w:ascii="楷体" w:eastAsia="楷体" w:hAnsi="楷体"/>
          <w:sz w:val="20"/>
          <w:szCs w:val="20"/>
        </w:rPr>
      </w:pPr>
      <w:r w:rsidRPr="000000A4">
        <w:rPr>
          <w:rFonts w:ascii="楷体" w:eastAsia="楷体" w:hAnsi="楷体"/>
          <w:sz w:val="20"/>
          <w:szCs w:val="20"/>
        </w:rPr>
        <w:t>（1）直接证据的缺失：目前尚无NNMT抑制剂与αIIbβ3抑制剂或PD-1/PD-L1抗体联合应用的实验数据</w:t>
      </w:r>
      <w:r w:rsidR="00314195">
        <w:rPr>
          <w:rFonts w:ascii="楷体" w:eastAsia="楷体" w:hAnsi="楷体" w:hint="eastAsia"/>
          <w:sz w:val="20"/>
          <w:szCs w:val="20"/>
          <w:vertAlign w:val="superscript"/>
        </w:rPr>
        <w:t>[29]</w:t>
      </w:r>
      <w:r w:rsidRPr="000000A4">
        <w:rPr>
          <w:rFonts w:ascii="楷体" w:eastAsia="楷体" w:hAnsi="楷体"/>
          <w:sz w:val="20"/>
          <w:szCs w:val="20"/>
        </w:rPr>
        <w:t>。本文所提出的协同机制主要基于各靶点的已知功能进行逻辑推演，亟需临床前模型（如小鼠CTC</w:t>
      </w:r>
      <w:proofErr w:type="gramStart"/>
      <w:r w:rsidRPr="000000A4">
        <w:rPr>
          <w:rFonts w:ascii="楷体" w:eastAsia="楷体" w:hAnsi="楷体"/>
          <w:sz w:val="20"/>
          <w:szCs w:val="20"/>
        </w:rPr>
        <w:t>簇</w:t>
      </w:r>
      <w:proofErr w:type="gramEnd"/>
      <w:r w:rsidRPr="000000A4">
        <w:rPr>
          <w:rFonts w:ascii="楷体" w:eastAsia="楷体" w:hAnsi="楷体"/>
          <w:sz w:val="20"/>
          <w:szCs w:val="20"/>
        </w:rPr>
        <w:t>移植模型、</w:t>
      </w:r>
      <w:proofErr w:type="gramStart"/>
      <w:r w:rsidRPr="000000A4">
        <w:rPr>
          <w:rFonts w:ascii="楷体" w:eastAsia="楷体" w:hAnsi="楷体"/>
          <w:sz w:val="20"/>
          <w:szCs w:val="20"/>
        </w:rPr>
        <w:t>微流控</w:t>
      </w:r>
      <w:proofErr w:type="gramEnd"/>
      <w:r w:rsidRPr="000000A4">
        <w:rPr>
          <w:rFonts w:ascii="楷体" w:eastAsia="楷体" w:hAnsi="楷体"/>
          <w:sz w:val="20"/>
          <w:szCs w:val="20"/>
        </w:rPr>
        <w:t>芯片共培养系统）提供直接证据</w:t>
      </w:r>
      <w:r w:rsidR="00314195">
        <w:rPr>
          <w:rFonts w:ascii="楷体" w:eastAsia="楷体" w:hAnsi="楷体" w:hint="eastAsia"/>
          <w:sz w:val="20"/>
          <w:szCs w:val="20"/>
          <w:vertAlign w:val="superscript"/>
        </w:rPr>
        <w:t>[1,24]</w:t>
      </w:r>
      <w:r w:rsidRPr="000000A4">
        <w:rPr>
          <w:rFonts w:ascii="楷体" w:eastAsia="楷体" w:hAnsi="楷体"/>
          <w:sz w:val="20"/>
          <w:szCs w:val="20"/>
        </w:rPr>
        <w:t>。</w:t>
      </w:r>
    </w:p>
    <w:p w14:paraId="06A70046" w14:textId="276BEAD7" w:rsidR="000000A4" w:rsidRPr="000000A4" w:rsidRDefault="000000A4" w:rsidP="000000A4">
      <w:pPr>
        <w:rPr>
          <w:rFonts w:ascii="楷体" w:eastAsia="楷体" w:hAnsi="楷体"/>
          <w:sz w:val="20"/>
          <w:szCs w:val="20"/>
        </w:rPr>
      </w:pPr>
      <w:r w:rsidRPr="000000A4">
        <w:rPr>
          <w:rFonts w:ascii="楷体" w:eastAsia="楷体" w:hAnsi="楷体"/>
          <w:sz w:val="20"/>
          <w:szCs w:val="20"/>
        </w:rPr>
        <w:t>（2）靶点特异性问题：现有“NNMT抑制剂”多处于早期研发阶段，部分化合物的选择性、细胞透膜性及药代动力学性质尚不理想。若使用非特异性抑制剂（如NMT抑制剂）作为替代，可能引入脱靶效应，混淆机制解读</w:t>
      </w:r>
      <w:r w:rsidR="00314195">
        <w:rPr>
          <w:rFonts w:ascii="楷体" w:eastAsia="楷体" w:hAnsi="楷体" w:hint="eastAsia"/>
          <w:sz w:val="20"/>
          <w:szCs w:val="20"/>
          <w:vertAlign w:val="superscript"/>
        </w:rPr>
        <w:t>[25,26]</w:t>
      </w:r>
      <w:r w:rsidRPr="000000A4">
        <w:rPr>
          <w:rFonts w:ascii="楷体" w:eastAsia="楷体" w:hAnsi="楷体"/>
          <w:sz w:val="20"/>
          <w:szCs w:val="20"/>
        </w:rPr>
        <w:t>。</w:t>
      </w:r>
    </w:p>
    <w:p w14:paraId="4FC23C25" w14:textId="125F5230" w:rsidR="000000A4" w:rsidRPr="000000A4" w:rsidRDefault="000000A4" w:rsidP="000000A4">
      <w:pPr>
        <w:rPr>
          <w:rFonts w:ascii="楷体" w:eastAsia="楷体" w:hAnsi="楷体"/>
          <w:sz w:val="20"/>
          <w:szCs w:val="20"/>
        </w:rPr>
      </w:pPr>
      <w:r w:rsidRPr="000000A4">
        <w:rPr>
          <w:rFonts w:ascii="楷体" w:eastAsia="楷体" w:hAnsi="楷体"/>
          <w:sz w:val="20"/>
          <w:szCs w:val="20"/>
        </w:rPr>
        <w:t>（3）CTC簇的异质性与动态演化：不同癌种、不同患者甚至同一患者不同时间点的CTC簇在细胞组成、分子特征及药物敏感性上可能存在显著差异</w:t>
      </w:r>
      <w:r w:rsidR="00314195">
        <w:rPr>
          <w:rFonts w:ascii="楷体" w:eastAsia="楷体" w:hAnsi="楷体" w:hint="eastAsia"/>
          <w:sz w:val="20"/>
          <w:szCs w:val="20"/>
          <w:vertAlign w:val="superscript"/>
        </w:rPr>
        <w:t>[1,2,11]</w:t>
      </w:r>
      <w:r w:rsidRPr="000000A4">
        <w:rPr>
          <w:rFonts w:ascii="楷体" w:eastAsia="楷体" w:hAnsi="楷体"/>
          <w:sz w:val="20"/>
          <w:szCs w:val="20"/>
        </w:rPr>
        <w:t>。例如，乳腺癌患者中CTC-WBC簇的组成与分子亚型和种族相关</w:t>
      </w:r>
      <w:r w:rsidR="00330194">
        <w:rPr>
          <w:rFonts w:ascii="楷体" w:eastAsia="楷体" w:hAnsi="楷体" w:hint="eastAsia"/>
          <w:sz w:val="20"/>
          <w:szCs w:val="20"/>
          <w:vertAlign w:val="superscript"/>
        </w:rPr>
        <w:t>[</w:t>
      </w:r>
      <w:r w:rsidR="00314195">
        <w:rPr>
          <w:rFonts w:ascii="楷体" w:eastAsia="楷体" w:hAnsi="楷体" w:hint="eastAsia"/>
          <w:sz w:val="20"/>
          <w:szCs w:val="20"/>
          <w:vertAlign w:val="superscript"/>
        </w:rPr>
        <w:t>3,7]</w:t>
      </w:r>
      <w:r w:rsidRPr="000000A4">
        <w:rPr>
          <w:rFonts w:ascii="楷体" w:eastAsia="楷体" w:hAnsi="楷体"/>
          <w:sz w:val="20"/>
          <w:szCs w:val="20"/>
        </w:rPr>
        <w:t>，这提示三联疗法可能需要“生物标志物分层”指导。此外，CTC簇在治疗压力下可能发生表型适应（如从血小板</w:t>
      </w:r>
      <w:proofErr w:type="gramStart"/>
      <w:r w:rsidRPr="000000A4">
        <w:rPr>
          <w:rFonts w:ascii="楷体" w:eastAsia="楷体" w:hAnsi="楷体"/>
          <w:sz w:val="20"/>
          <w:szCs w:val="20"/>
        </w:rPr>
        <w:t>簇</w:t>
      </w:r>
      <w:proofErr w:type="gramEnd"/>
      <w:r w:rsidRPr="000000A4">
        <w:rPr>
          <w:rFonts w:ascii="楷体" w:eastAsia="楷体" w:hAnsi="楷体"/>
          <w:sz w:val="20"/>
          <w:szCs w:val="20"/>
        </w:rPr>
        <w:t>转向中性粒细胞</w:t>
      </w:r>
      <w:proofErr w:type="gramStart"/>
      <w:r w:rsidRPr="000000A4">
        <w:rPr>
          <w:rFonts w:ascii="楷体" w:eastAsia="楷体" w:hAnsi="楷体"/>
          <w:sz w:val="20"/>
          <w:szCs w:val="20"/>
        </w:rPr>
        <w:t>簇</w:t>
      </w:r>
      <w:proofErr w:type="gramEnd"/>
      <w:r w:rsidRPr="000000A4">
        <w:rPr>
          <w:rFonts w:ascii="楷体" w:eastAsia="楷体" w:hAnsi="楷体"/>
          <w:sz w:val="20"/>
          <w:szCs w:val="20"/>
        </w:rPr>
        <w:t>），导致耐药</w:t>
      </w:r>
      <w:r w:rsidR="00314195">
        <w:rPr>
          <w:rFonts w:ascii="楷体" w:eastAsia="楷体" w:hAnsi="楷体" w:hint="eastAsia"/>
          <w:sz w:val="20"/>
          <w:szCs w:val="20"/>
          <w:vertAlign w:val="superscript"/>
        </w:rPr>
        <w:t>[8,29]</w:t>
      </w:r>
      <w:r w:rsidRPr="000000A4">
        <w:rPr>
          <w:rFonts w:ascii="楷体" w:eastAsia="楷体" w:hAnsi="楷体"/>
          <w:sz w:val="20"/>
          <w:szCs w:val="20"/>
        </w:rPr>
        <w:t>。</w:t>
      </w:r>
    </w:p>
    <w:p w14:paraId="698A328D" w14:textId="12B9B0B1" w:rsidR="000000A4" w:rsidRPr="000000A4" w:rsidRDefault="000000A4" w:rsidP="000000A4">
      <w:pPr>
        <w:rPr>
          <w:rFonts w:ascii="楷体" w:eastAsia="楷体" w:hAnsi="楷体"/>
          <w:sz w:val="20"/>
          <w:szCs w:val="20"/>
        </w:rPr>
      </w:pPr>
      <w:r w:rsidRPr="000000A4">
        <w:rPr>
          <w:rFonts w:ascii="楷体" w:eastAsia="楷体" w:hAnsi="楷体"/>
          <w:sz w:val="20"/>
          <w:szCs w:val="20"/>
        </w:rPr>
        <w:t>（4）治疗窗口与给药时序的优化：αIIbβ3抑制剂若持续使用可能增加出血风险，更适合“短期清障”策略</w:t>
      </w:r>
      <w:r w:rsidR="00314195">
        <w:rPr>
          <w:rFonts w:ascii="楷体" w:eastAsia="楷体" w:hAnsi="楷体" w:hint="eastAsia"/>
          <w:sz w:val="20"/>
          <w:szCs w:val="20"/>
          <w:vertAlign w:val="superscript"/>
        </w:rPr>
        <w:t>[17,19]</w:t>
      </w:r>
      <w:r w:rsidRPr="000000A4">
        <w:rPr>
          <w:rFonts w:ascii="楷体" w:eastAsia="楷体" w:hAnsi="楷体"/>
          <w:sz w:val="20"/>
          <w:szCs w:val="20"/>
        </w:rPr>
        <w:t>；PD-1/PD-L1抗体需持续暴露以维持T细胞活性；NNMT抑制剂的最佳给药窗口尚不明确</w:t>
      </w:r>
      <w:r w:rsidR="00314195">
        <w:rPr>
          <w:rFonts w:ascii="楷体" w:eastAsia="楷体" w:hAnsi="楷体" w:hint="eastAsia"/>
          <w:sz w:val="20"/>
          <w:szCs w:val="20"/>
          <w:vertAlign w:val="superscript"/>
        </w:rPr>
        <w:t>[29]</w:t>
      </w:r>
      <w:r w:rsidRPr="000000A4">
        <w:rPr>
          <w:rFonts w:ascii="楷体" w:eastAsia="楷体" w:hAnsi="楷体"/>
          <w:sz w:val="20"/>
          <w:szCs w:val="20"/>
        </w:rPr>
        <w:t>。如何设计最优的“时序-剂量”方案，是临床转化中必须解决的关键问题</w:t>
      </w:r>
      <w:r w:rsidR="00314195">
        <w:rPr>
          <w:rFonts w:ascii="楷体" w:eastAsia="楷体" w:hAnsi="楷体" w:hint="eastAsia"/>
          <w:sz w:val="20"/>
          <w:szCs w:val="20"/>
          <w:vertAlign w:val="superscript"/>
        </w:rPr>
        <w:t>[24,28]</w:t>
      </w:r>
      <w:r w:rsidRPr="000000A4">
        <w:rPr>
          <w:rFonts w:ascii="楷体" w:eastAsia="楷体" w:hAnsi="楷体"/>
          <w:sz w:val="20"/>
          <w:szCs w:val="20"/>
        </w:rPr>
        <w:t>。</w:t>
      </w:r>
    </w:p>
    <w:p w14:paraId="75C246A0" w14:textId="71EC31E7" w:rsidR="000000A4" w:rsidRPr="000000A4" w:rsidRDefault="000000A4" w:rsidP="000000A4">
      <w:pPr>
        <w:rPr>
          <w:rFonts w:ascii="楷体" w:eastAsia="楷体" w:hAnsi="楷体"/>
          <w:sz w:val="20"/>
          <w:szCs w:val="20"/>
        </w:rPr>
      </w:pPr>
      <w:r w:rsidRPr="000000A4">
        <w:rPr>
          <w:rFonts w:ascii="楷体" w:eastAsia="楷体" w:hAnsi="楷体"/>
          <w:sz w:val="20"/>
          <w:szCs w:val="20"/>
        </w:rPr>
        <w:t>（5）转移的多步骤性：CTC</w:t>
      </w:r>
      <w:proofErr w:type="gramStart"/>
      <w:r w:rsidRPr="000000A4">
        <w:rPr>
          <w:rFonts w:ascii="楷体" w:eastAsia="楷体" w:hAnsi="楷体"/>
          <w:sz w:val="20"/>
          <w:szCs w:val="20"/>
        </w:rPr>
        <w:t>簇</w:t>
      </w:r>
      <w:proofErr w:type="gramEnd"/>
      <w:r w:rsidRPr="000000A4">
        <w:rPr>
          <w:rFonts w:ascii="楷体" w:eastAsia="楷体" w:hAnsi="楷体"/>
          <w:sz w:val="20"/>
          <w:szCs w:val="20"/>
        </w:rPr>
        <w:t>只是转移级联反应中的一个环节</w:t>
      </w:r>
      <w:r w:rsidR="00314195">
        <w:rPr>
          <w:rFonts w:ascii="楷体" w:eastAsia="楷体" w:hAnsi="楷体" w:hint="eastAsia"/>
          <w:sz w:val="20"/>
          <w:szCs w:val="20"/>
          <w:vertAlign w:val="superscript"/>
        </w:rPr>
        <w:t>[30]</w:t>
      </w:r>
      <w:r w:rsidRPr="000000A4">
        <w:rPr>
          <w:rFonts w:ascii="楷体" w:eastAsia="楷体" w:hAnsi="楷体"/>
          <w:sz w:val="20"/>
          <w:szCs w:val="20"/>
        </w:rPr>
        <w:t>，即使成功清除循环中的CTCs，已定植于远处器官的</w:t>
      </w:r>
      <w:proofErr w:type="gramStart"/>
      <w:r w:rsidRPr="000000A4">
        <w:rPr>
          <w:rFonts w:ascii="楷体" w:eastAsia="楷体" w:hAnsi="楷体"/>
          <w:sz w:val="20"/>
          <w:szCs w:val="20"/>
        </w:rPr>
        <w:t>微转移灶仍</w:t>
      </w:r>
      <w:proofErr w:type="gramEnd"/>
      <w:r w:rsidRPr="000000A4">
        <w:rPr>
          <w:rFonts w:ascii="楷体" w:eastAsia="楷体" w:hAnsi="楷体"/>
          <w:sz w:val="20"/>
          <w:szCs w:val="20"/>
        </w:rPr>
        <w:t>可能进展为大转移</w:t>
      </w:r>
      <w:r w:rsidR="00314195">
        <w:rPr>
          <w:rFonts w:ascii="楷体" w:eastAsia="楷体" w:hAnsi="楷体" w:hint="eastAsia"/>
          <w:sz w:val="20"/>
          <w:szCs w:val="20"/>
          <w:vertAlign w:val="superscript"/>
        </w:rPr>
        <w:t>[4,28]</w:t>
      </w:r>
      <w:r w:rsidRPr="000000A4">
        <w:rPr>
          <w:rFonts w:ascii="楷体" w:eastAsia="楷体" w:hAnsi="楷体"/>
          <w:sz w:val="20"/>
          <w:szCs w:val="20"/>
        </w:rPr>
        <w:t>。因此，三联疗法最适合用于“辅助治疗”场景（即原发灶已切除、但存在高复发风险的患者），或与针对</w:t>
      </w:r>
      <w:proofErr w:type="gramStart"/>
      <w:r w:rsidRPr="000000A4">
        <w:rPr>
          <w:rFonts w:ascii="楷体" w:eastAsia="楷体" w:hAnsi="楷体"/>
          <w:sz w:val="20"/>
          <w:szCs w:val="20"/>
        </w:rPr>
        <w:t>微转移</w:t>
      </w:r>
      <w:proofErr w:type="gramEnd"/>
      <w:r w:rsidRPr="000000A4">
        <w:rPr>
          <w:rFonts w:ascii="楷体" w:eastAsia="楷体" w:hAnsi="楷体"/>
          <w:sz w:val="20"/>
          <w:szCs w:val="20"/>
        </w:rPr>
        <w:t>灶的药物（如抗血管生成剂、基质调节剂）联合使用</w:t>
      </w:r>
      <w:r w:rsidR="00314195">
        <w:rPr>
          <w:rFonts w:ascii="楷体" w:eastAsia="楷体" w:hAnsi="楷体" w:hint="eastAsia"/>
          <w:sz w:val="20"/>
          <w:szCs w:val="20"/>
          <w:vertAlign w:val="superscript"/>
        </w:rPr>
        <w:t>[24,27]</w:t>
      </w:r>
      <w:r w:rsidRPr="000000A4">
        <w:rPr>
          <w:rFonts w:ascii="楷体" w:eastAsia="楷体" w:hAnsi="楷体"/>
          <w:sz w:val="20"/>
          <w:szCs w:val="20"/>
        </w:rPr>
        <w:t>。</w:t>
      </w:r>
    </w:p>
    <w:p w14:paraId="391C6E8C" w14:textId="15B54B44" w:rsidR="000000A4" w:rsidRPr="000000A4" w:rsidRDefault="000000A4" w:rsidP="000000A4">
      <w:pPr>
        <w:rPr>
          <w:rFonts w:ascii="楷体" w:eastAsia="楷体" w:hAnsi="楷体"/>
          <w:sz w:val="20"/>
          <w:szCs w:val="20"/>
        </w:rPr>
      </w:pPr>
      <w:r w:rsidRPr="000000A4">
        <w:rPr>
          <w:rFonts w:ascii="楷体" w:eastAsia="楷体" w:hAnsi="楷体"/>
          <w:sz w:val="20"/>
          <w:szCs w:val="20"/>
        </w:rPr>
        <w:t>未来研究方向建议：（1）开发高选择性、口服可用的NNMT抑制剂，并验证其对CTC</w:t>
      </w:r>
      <w:proofErr w:type="gramStart"/>
      <w:r w:rsidRPr="000000A4">
        <w:rPr>
          <w:rFonts w:ascii="楷体" w:eastAsia="楷体" w:hAnsi="楷体"/>
          <w:sz w:val="20"/>
          <w:szCs w:val="20"/>
        </w:rPr>
        <w:t>簇</w:t>
      </w:r>
      <w:proofErr w:type="gramEnd"/>
      <w:r w:rsidRPr="000000A4">
        <w:rPr>
          <w:rFonts w:ascii="楷体" w:eastAsia="楷体" w:hAnsi="楷体"/>
          <w:sz w:val="20"/>
          <w:szCs w:val="20"/>
        </w:rPr>
        <w:t>形成和功能的影响</w:t>
      </w:r>
      <w:r w:rsidR="00314195">
        <w:rPr>
          <w:rFonts w:ascii="楷体" w:eastAsia="楷体" w:hAnsi="楷体" w:hint="eastAsia"/>
          <w:sz w:val="20"/>
          <w:szCs w:val="20"/>
          <w:vertAlign w:val="superscript"/>
        </w:rPr>
        <w:t>[13,29]</w:t>
      </w:r>
      <w:r w:rsidRPr="000000A4">
        <w:rPr>
          <w:rFonts w:ascii="楷体" w:eastAsia="楷体" w:hAnsi="楷体"/>
          <w:sz w:val="20"/>
          <w:szCs w:val="20"/>
        </w:rPr>
        <w:t>；（2）构建CTC-血小板簇和CTC-中性粒细胞簇的体外模型（如</w:t>
      </w:r>
      <w:proofErr w:type="gramStart"/>
      <w:r w:rsidRPr="000000A4">
        <w:rPr>
          <w:rFonts w:ascii="楷体" w:eastAsia="楷体" w:hAnsi="楷体"/>
          <w:sz w:val="20"/>
          <w:szCs w:val="20"/>
        </w:rPr>
        <w:t>微流控</w:t>
      </w:r>
      <w:proofErr w:type="gramEnd"/>
      <w:r w:rsidRPr="000000A4">
        <w:rPr>
          <w:rFonts w:ascii="楷体" w:eastAsia="楷体" w:hAnsi="楷体"/>
          <w:sz w:val="20"/>
          <w:szCs w:val="20"/>
        </w:rPr>
        <w:t>芯片），用于高通量筛选联合治疗方案</w:t>
      </w:r>
      <w:r w:rsidR="00314195">
        <w:rPr>
          <w:rFonts w:ascii="楷体" w:eastAsia="楷体" w:hAnsi="楷体" w:hint="eastAsia"/>
          <w:sz w:val="20"/>
          <w:szCs w:val="20"/>
          <w:vertAlign w:val="superscript"/>
        </w:rPr>
        <w:t>[1,7]</w:t>
      </w:r>
      <w:r w:rsidRPr="000000A4">
        <w:rPr>
          <w:rFonts w:ascii="楷体" w:eastAsia="楷体" w:hAnsi="楷体"/>
          <w:sz w:val="20"/>
          <w:szCs w:val="20"/>
        </w:rPr>
        <w:t>；（3）在自发性转移小鼠模型（如MMTV-</w:t>
      </w:r>
      <w:proofErr w:type="spellStart"/>
      <w:r w:rsidRPr="000000A4">
        <w:rPr>
          <w:rFonts w:ascii="楷体" w:eastAsia="楷体" w:hAnsi="楷体"/>
          <w:sz w:val="20"/>
          <w:szCs w:val="20"/>
        </w:rPr>
        <w:t>PyMT</w:t>
      </w:r>
      <w:proofErr w:type="spellEnd"/>
      <w:r w:rsidRPr="000000A4">
        <w:rPr>
          <w:rFonts w:ascii="楷体" w:eastAsia="楷体" w:hAnsi="楷体"/>
          <w:sz w:val="20"/>
          <w:szCs w:val="20"/>
        </w:rPr>
        <w:t>乳腺癌模型）中验证三联疗法的</w:t>
      </w:r>
      <w:proofErr w:type="gramStart"/>
      <w:r w:rsidRPr="000000A4">
        <w:rPr>
          <w:rFonts w:ascii="楷体" w:eastAsia="楷体" w:hAnsi="楷体"/>
          <w:sz w:val="20"/>
          <w:szCs w:val="20"/>
        </w:rPr>
        <w:t>抗转移</w:t>
      </w:r>
      <w:proofErr w:type="gramEnd"/>
      <w:r w:rsidRPr="000000A4">
        <w:rPr>
          <w:rFonts w:ascii="楷体" w:eastAsia="楷体" w:hAnsi="楷体"/>
          <w:sz w:val="20"/>
          <w:szCs w:val="20"/>
        </w:rPr>
        <w:t>效果及安全性</w:t>
      </w:r>
      <w:r w:rsidR="00314195">
        <w:rPr>
          <w:rFonts w:ascii="楷体" w:eastAsia="楷体" w:hAnsi="楷体" w:hint="eastAsia"/>
          <w:sz w:val="20"/>
          <w:szCs w:val="20"/>
          <w:vertAlign w:val="superscript"/>
        </w:rPr>
        <w:t>[24,28]</w:t>
      </w:r>
      <w:r w:rsidRPr="000000A4">
        <w:rPr>
          <w:rFonts w:ascii="楷体" w:eastAsia="楷体" w:hAnsi="楷体"/>
          <w:sz w:val="20"/>
          <w:szCs w:val="20"/>
        </w:rPr>
        <w:t>；（4）开展生物标志物驱动的临床试验（如选择CTC</w:t>
      </w:r>
      <w:proofErr w:type="gramStart"/>
      <w:r w:rsidRPr="000000A4">
        <w:rPr>
          <w:rFonts w:ascii="楷体" w:eastAsia="楷体" w:hAnsi="楷体"/>
          <w:sz w:val="20"/>
          <w:szCs w:val="20"/>
        </w:rPr>
        <w:t>簇</w:t>
      </w:r>
      <w:proofErr w:type="gramEnd"/>
      <w:r w:rsidRPr="000000A4">
        <w:rPr>
          <w:rFonts w:ascii="楷体" w:eastAsia="楷体" w:hAnsi="楷体"/>
          <w:sz w:val="20"/>
          <w:szCs w:val="20"/>
        </w:rPr>
        <w:t>阳性、血小板计数正常、PD-L1表达阳性的患者），采用适应性设计验证概念</w:t>
      </w:r>
      <w:r w:rsidR="00314195">
        <w:rPr>
          <w:rFonts w:ascii="楷体" w:eastAsia="楷体" w:hAnsi="楷体" w:hint="eastAsia"/>
          <w:sz w:val="20"/>
          <w:szCs w:val="20"/>
          <w:vertAlign w:val="superscript"/>
        </w:rPr>
        <w:t>[20,23]</w:t>
      </w:r>
      <w:r w:rsidRPr="000000A4">
        <w:rPr>
          <w:rFonts w:ascii="楷体" w:eastAsia="楷体" w:hAnsi="楷体"/>
          <w:sz w:val="20"/>
          <w:szCs w:val="20"/>
        </w:rPr>
        <w:t>。</w:t>
      </w:r>
    </w:p>
    <w:p w14:paraId="12C9C59B" w14:textId="77777777" w:rsidR="000000A4" w:rsidRPr="000000A4" w:rsidRDefault="00000000" w:rsidP="000000A4">
      <w:pPr>
        <w:rPr>
          <w:rFonts w:ascii="楷体" w:eastAsia="楷体" w:hAnsi="楷体"/>
          <w:sz w:val="20"/>
          <w:szCs w:val="20"/>
        </w:rPr>
      </w:pPr>
      <w:r>
        <w:rPr>
          <w:rFonts w:ascii="楷体" w:eastAsia="楷体" w:hAnsi="楷体"/>
          <w:sz w:val="20"/>
          <w:szCs w:val="20"/>
        </w:rPr>
        <w:pict w14:anchorId="76E64570">
          <v:rect id="_x0000_i1029" style="width:0;height:.75pt" o:hralign="center" o:hrstd="t" o:hr="t" fillcolor="#a0a0a0" stroked="f"/>
        </w:pict>
      </w:r>
    </w:p>
    <w:p w14:paraId="61AE8F7E"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5. 结论</w:t>
      </w:r>
    </w:p>
    <w:p w14:paraId="00C3B9DB" w14:textId="5CE945D2" w:rsidR="000000A4" w:rsidRPr="000000A4" w:rsidRDefault="000000A4" w:rsidP="000000A4">
      <w:pPr>
        <w:rPr>
          <w:rFonts w:ascii="楷体" w:eastAsia="楷体" w:hAnsi="楷体"/>
          <w:sz w:val="20"/>
          <w:szCs w:val="20"/>
        </w:rPr>
      </w:pPr>
      <w:r w:rsidRPr="000000A4">
        <w:rPr>
          <w:rFonts w:ascii="楷体" w:eastAsia="楷体" w:hAnsi="楷体"/>
          <w:sz w:val="20"/>
          <w:szCs w:val="20"/>
        </w:rPr>
        <w:t>循环肿瘤细胞异质性簇是肿瘤血源性转移的关键驱动因素，其通过血小板屏蔽、中性粒细胞庇护及免疫检查点</w:t>
      </w:r>
      <w:proofErr w:type="gramStart"/>
      <w:r w:rsidRPr="000000A4">
        <w:rPr>
          <w:rFonts w:ascii="楷体" w:eastAsia="楷体" w:hAnsi="楷体"/>
          <w:sz w:val="20"/>
          <w:szCs w:val="20"/>
        </w:rPr>
        <w:t>介</w:t>
      </w:r>
      <w:proofErr w:type="gramEnd"/>
      <w:r w:rsidRPr="000000A4">
        <w:rPr>
          <w:rFonts w:ascii="楷体" w:eastAsia="楷体" w:hAnsi="楷体"/>
          <w:sz w:val="20"/>
          <w:szCs w:val="20"/>
        </w:rPr>
        <w:t>导的T细胞抑制等多重机制抵抗宿主免疫系统</w:t>
      </w:r>
      <w:r w:rsidR="00314195">
        <w:rPr>
          <w:rFonts w:ascii="楷体" w:eastAsia="楷体" w:hAnsi="楷体" w:hint="eastAsia"/>
          <w:sz w:val="20"/>
          <w:szCs w:val="20"/>
          <w:vertAlign w:val="superscript"/>
        </w:rPr>
        <w:t>[1,2,5,7]</w:t>
      </w:r>
      <w:r w:rsidRPr="000000A4">
        <w:rPr>
          <w:rFonts w:ascii="楷体" w:eastAsia="楷体" w:hAnsi="楷体"/>
          <w:sz w:val="20"/>
          <w:szCs w:val="20"/>
        </w:rPr>
        <w:t>。本文提出的NNMT抑制剂、αIIbβ3抑制剂与PD-1/PD-L1抗体三联策略，理论上可从代谢重编程、血小板黏附阻断和T细胞功能恢复三个维度协同干预CTC簇，实现“瓦解-暴露-清除”的级联</w:t>
      </w:r>
      <w:proofErr w:type="gramStart"/>
      <w:r w:rsidRPr="000000A4">
        <w:rPr>
          <w:rFonts w:ascii="楷体" w:eastAsia="楷体" w:hAnsi="楷体"/>
          <w:sz w:val="20"/>
          <w:szCs w:val="20"/>
        </w:rPr>
        <w:t>抗转移</w:t>
      </w:r>
      <w:proofErr w:type="gramEnd"/>
      <w:r w:rsidRPr="000000A4">
        <w:rPr>
          <w:rFonts w:ascii="楷体" w:eastAsia="楷体" w:hAnsi="楷体"/>
          <w:sz w:val="20"/>
          <w:szCs w:val="20"/>
        </w:rPr>
        <w:t>效应</w:t>
      </w:r>
      <w:r w:rsidR="00314195">
        <w:rPr>
          <w:rFonts w:ascii="楷体" w:eastAsia="楷体" w:hAnsi="楷体" w:hint="eastAsia"/>
          <w:sz w:val="20"/>
          <w:szCs w:val="20"/>
          <w:vertAlign w:val="superscript"/>
        </w:rPr>
        <w:t>[17,20,29]</w:t>
      </w:r>
      <w:r w:rsidRPr="000000A4">
        <w:rPr>
          <w:rFonts w:ascii="楷体" w:eastAsia="楷体" w:hAnsi="楷体"/>
          <w:sz w:val="20"/>
          <w:szCs w:val="20"/>
        </w:rPr>
        <w:t>。尽管目前尚缺乏直接实验证据，但各单靶点干预的现有研究为这一策略提供了坚实的理论依据和可行性基础</w:t>
      </w:r>
      <w:r w:rsidR="00314195">
        <w:rPr>
          <w:rFonts w:ascii="楷体" w:eastAsia="楷体" w:hAnsi="楷体" w:hint="eastAsia"/>
          <w:sz w:val="20"/>
          <w:szCs w:val="20"/>
          <w:vertAlign w:val="superscript"/>
        </w:rPr>
        <w:t>[9,16,22]</w:t>
      </w:r>
      <w:r w:rsidRPr="000000A4">
        <w:rPr>
          <w:rFonts w:ascii="楷体" w:eastAsia="楷体" w:hAnsi="楷体"/>
          <w:sz w:val="20"/>
          <w:szCs w:val="20"/>
        </w:rPr>
        <w:t>。未来亟需通过系统的临床前研究和生物标志物驱动的临床试验，验证这一创新组合的疗效与安全性，为阻断肿瘤血源性转移开辟新的治疗路径</w:t>
      </w:r>
      <w:r w:rsidR="00314195">
        <w:rPr>
          <w:rFonts w:ascii="楷体" w:eastAsia="楷体" w:hAnsi="楷体" w:hint="eastAsia"/>
          <w:sz w:val="20"/>
          <w:szCs w:val="20"/>
          <w:vertAlign w:val="superscript"/>
        </w:rPr>
        <w:t>[24,28,30]</w:t>
      </w:r>
      <w:r w:rsidRPr="000000A4">
        <w:rPr>
          <w:rFonts w:ascii="楷体" w:eastAsia="楷体" w:hAnsi="楷体"/>
          <w:sz w:val="20"/>
          <w:szCs w:val="20"/>
        </w:rPr>
        <w:t>。</w:t>
      </w:r>
    </w:p>
    <w:p w14:paraId="6FBDBB4E" w14:textId="77777777" w:rsidR="000000A4" w:rsidRPr="000000A4" w:rsidRDefault="00000000" w:rsidP="000000A4">
      <w:pPr>
        <w:rPr>
          <w:rFonts w:ascii="楷体" w:eastAsia="楷体" w:hAnsi="楷体"/>
          <w:sz w:val="20"/>
          <w:szCs w:val="20"/>
        </w:rPr>
      </w:pPr>
      <w:r>
        <w:rPr>
          <w:rFonts w:ascii="楷体" w:eastAsia="楷体" w:hAnsi="楷体"/>
          <w:sz w:val="20"/>
          <w:szCs w:val="20"/>
        </w:rPr>
        <w:pict w14:anchorId="7B02D311">
          <v:rect id="_x0000_i1030" style="width:0;height:.75pt" o:hralign="center" o:hrstd="t" o:hr="t" fillcolor="#a0a0a0" stroked="f"/>
        </w:pict>
      </w:r>
    </w:p>
    <w:p w14:paraId="5CC79ABE"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lastRenderedPageBreak/>
        <w:t>注释</w:t>
      </w:r>
    </w:p>
    <w:p w14:paraId="708856B1" w14:textId="77777777" w:rsidR="000000A4" w:rsidRPr="000000A4" w:rsidRDefault="000000A4" w:rsidP="000000A4">
      <w:pPr>
        <w:numPr>
          <w:ilvl w:val="0"/>
          <w:numId w:val="3"/>
        </w:numPr>
        <w:rPr>
          <w:rFonts w:ascii="楷体" w:eastAsia="楷体" w:hAnsi="楷体"/>
          <w:sz w:val="20"/>
          <w:szCs w:val="20"/>
        </w:rPr>
      </w:pPr>
      <w:r w:rsidRPr="000000A4">
        <w:rPr>
          <w:rFonts w:ascii="楷体" w:eastAsia="楷体" w:hAnsi="楷体"/>
          <w:sz w:val="20"/>
          <w:szCs w:val="20"/>
        </w:rPr>
        <w:t>缩写说明：CTC（循环肿瘤细胞）、NNMT（烟酰胺甲基转移酶）、PD-1/PD-L1（程序性死亡受体1/程序性死亡配体1）、NETs（中性粒细胞胞外陷阱）、EMT（上皮-间充质转化）、SAM（S-腺苷甲硫氨酸）、NMT（N-豆蔻酰基转移酶）、DPTs（双阳性T细胞）。</w:t>
      </w:r>
    </w:p>
    <w:p w14:paraId="3972C52E" w14:textId="77777777" w:rsidR="000000A4" w:rsidRPr="000000A4" w:rsidRDefault="000000A4" w:rsidP="000000A4">
      <w:pPr>
        <w:numPr>
          <w:ilvl w:val="0"/>
          <w:numId w:val="3"/>
        </w:numPr>
        <w:rPr>
          <w:rFonts w:ascii="楷体" w:eastAsia="楷体" w:hAnsi="楷体"/>
          <w:sz w:val="20"/>
          <w:szCs w:val="20"/>
        </w:rPr>
      </w:pPr>
      <w:r w:rsidRPr="000000A4">
        <w:rPr>
          <w:rFonts w:ascii="楷体" w:eastAsia="楷体" w:hAnsi="楷体"/>
          <w:sz w:val="20"/>
          <w:szCs w:val="20"/>
        </w:rPr>
        <w:t>术语界定：本文中的“NNMT抑制剂”泛指靶向NNMT酶活性或其上下游信号通路的干预分子，由于特异性NNMT抑制剂尚处早期研发阶段，部分论述借鉴了NMT抑制剂的临床数据作为“概念验证”参考，但需注意二者靶点不同。</w:t>
      </w:r>
    </w:p>
    <w:p w14:paraId="03033960" w14:textId="77777777" w:rsidR="000000A4" w:rsidRPr="000000A4" w:rsidRDefault="000000A4" w:rsidP="000000A4">
      <w:pPr>
        <w:numPr>
          <w:ilvl w:val="0"/>
          <w:numId w:val="3"/>
        </w:numPr>
        <w:rPr>
          <w:rFonts w:ascii="楷体" w:eastAsia="楷体" w:hAnsi="楷体"/>
          <w:sz w:val="20"/>
          <w:szCs w:val="20"/>
        </w:rPr>
      </w:pPr>
      <w:r w:rsidRPr="000000A4">
        <w:rPr>
          <w:rFonts w:ascii="楷体" w:eastAsia="楷体" w:hAnsi="楷体"/>
          <w:sz w:val="20"/>
          <w:szCs w:val="20"/>
        </w:rPr>
        <w:t>理论推演性质声明：三联疗法中NNMT抑制剂与αIIbβ3抑制剂的协同效应目前属于理论假设，尚未经实验验证。本文旨在提出研究假说并构建理论框架，而</w:t>
      </w:r>
      <w:proofErr w:type="gramStart"/>
      <w:r w:rsidRPr="000000A4">
        <w:rPr>
          <w:rFonts w:ascii="楷体" w:eastAsia="楷体" w:hAnsi="楷体"/>
          <w:sz w:val="20"/>
          <w:szCs w:val="20"/>
        </w:rPr>
        <w:t>非报告</w:t>
      </w:r>
      <w:proofErr w:type="gramEnd"/>
      <w:r w:rsidRPr="000000A4">
        <w:rPr>
          <w:rFonts w:ascii="楷体" w:eastAsia="楷体" w:hAnsi="楷体"/>
          <w:sz w:val="20"/>
          <w:szCs w:val="20"/>
        </w:rPr>
        <w:t>已证实的治疗方案。</w:t>
      </w:r>
    </w:p>
    <w:p w14:paraId="2DBCCC2D" w14:textId="77777777" w:rsidR="000000A4" w:rsidRPr="000000A4" w:rsidRDefault="00000000" w:rsidP="000000A4">
      <w:pPr>
        <w:rPr>
          <w:rFonts w:ascii="楷体" w:eastAsia="楷体" w:hAnsi="楷体"/>
          <w:sz w:val="20"/>
          <w:szCs w:val="20"/>
        </w:rPr>
      </w:pPr>
      <w:r>
        <w:rPr>
          <w:rFonts w:ascii="楷体" w:eastAsia="楷体" w:hAnsi="楷体"/>
          <w:sz w:val="20"/>
          <w:szCs w:val="20"/>
        </w:rPr>
        <w:pict w14:anchorId="36683D45">
          <v:rect id="_x0000_i1031" style="width:0;height:.75pt" o:hralign="center" o:hrstd="t" o:hr="t" fillcolor="#a0a0a0" stroked="f"/>
        </w:pict>
      </w:r>
    </w:p>
    <w:p w14:paraId="3EF1ABF3" w14:textId="77777777" w:rsidR="000000A4" w:rsidRPr="000000A4" w:rsidRDefault="000000A4" w:rsidP="000000A4">
      <w:pPr>
        <w:rPr>
          <w:rFonts w:ascii="楷体" w:eastAsia="楷体" w:hAnsi="楷体"/>
          <w:sz w:val="20"/>
          <w:szCs w:val="20"/>
        </w:rPr>
      </w:pPr>
      <w:r w:rsidRPr="000000A4">
        <w:rPr>
          <w:rFonts w:ascii="楷体" w:eastAsia="楷体" w:hAnsi="楷体"/>
          <w:sz w:val="20"/>
          <w:szCs w:val="20"/>
        </w:rPr>
        <w:t>参考文献</w:t>
      </w:r>
    </w:p>
    <w:p w14:paraId="60F166FD"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[1] Liu X, Song J, Zhang H, et al. Circulating </w:t>
      </w:r>
      <w:proofErr w:type="spellStart"/>
      <w:r w:rsidRPr="00736205">
        <w:rPr>
          <w:rFonts w:ascii="楷体" w:eastAsia="楷体" w:hAnsi="楷体"/>
          <w:sz w:val="20"/>
          <w:szCs w:val="20"/>
        </w:rPr>
        <w:t>tumour</w:t>
      </w:r>
      <w:proofErr w:type="spellEnd"/>
      <w:r w:rsidRPr="00736205">
        <w:rPr>
          <w:rFonts w:ascii="楷体" w:eastAsia="楷体" w:hAnsi="楷体"/>
          <w:sz w:val="20"/>
          <w:szCs w:val="20"/>
        </w:rPr>
        <w:t xml:space="preserve"> cell clusters: isolation, biological significance and therapeutic implications. BMJ Oncology, 2024, 3(1): e000437.</w:t>
      </w:r>
    </w:p>
    <w:p w14:paraId="2808E502"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[2] Myeloid cells protect tumor cells in the circulation. Cold Spring Harbor Perspectives in Medicine, 2019, 10(5): a038026.</w:t>
      </w:r>
    </w:p>
    <w:p w14:paraId="7846432F"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[3] ChiCTR2600116852. 烟酰胺甲基转移酶及其代谢产物预测EGFR-TKI耐药. 摩熵医药临床研究数据库, 2026.</w:t>
      </w:r>
    </w:p>
    <w:p w14:paraId="3A8C4A86"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[4] Ribas A, et al. Phase 1b/2 study evaluating safety, efficacy and immune effects of TLR9 agonist </w:t>
      </w:r>
      <w:proofErr w:type="spellStart"/>
      <w:r w:rsidRPr="00736205">
        <w:rPr>
          <w:rFonts w:ascii="楷体" w:eastAsia="楷体" w:hAnsi="楷体"/>
          <w:sz w:val="20"/>
          <w:szCs w:val="20"/>
        </w:rPr>
        <w:t>cavrotolimod</w:t>
      </w:r>
      <w:proofErr w:type="spellEnd"/>
      <w:r w:rsidRPr="00736205">
        <w:rPr>
          <w:rFonts w:ascii="楷体" w:eastAsia="楷体" w:hAnsi="楷体"/>
          <w:sz w:val="20"/>
          <w:szCs w:val="20"/>
        </w:rPr>
        <w:t xml:space="preserve"> with anti-PD-1 antibodies among patients with advanced solid tumors. Journal for </w:t>
      </w:r>
      <w:proofErr w:type="spellStart"/>
      <w:r w:rsidRPr="00736205">
        <w:rPr>
          <w:rFonts w:ascii="楷体" w:eastAsia="楷体" w:hAnsi="楷体"/>
          <w:sz w:val="20"/>
          <w:szCs w:val="20"/>
        </w:rPr>
        <w:t>ImmunoTherapy</w:t>
      </w:r>
      <w:proofErr w:type="spellEnd"/>
      <w:r w:rsidRPr="00736205">
        <w:rPr>
          <w:rFonts w:ascii="楷体" w:eastAsia="楷体" w:hAnsi="楷体"/>
          <w:sz w:val="20"/>
          <w:szCs w:val="20"/>
        </w:rPr>
        <w:t xml:space="preserve"> of Cancer, 2025, 13(7): e011651.</w:t>
      </w:r>
    </w:p>
    <w:p w14:paraId="3313D89D"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[5] Platelets, immune cells and the coagulation cascade; friend or foe of the circulating </w:t>
      </w:r>
      <w:proofErr w:type="spellStart"/>
      <w:r w:rsidRPr="00736205">
        <w:rPr>
          <w:rFonts w:ascii="楷体" w:eastAsia="楷体" w:hAnsi="楷体"/>
          <w:sz w:val="20"/>
          <w:szCs w:val="20"/>
        </w:rPr>
        <w:t>tumour</w:t>
      </w:r>
      <w:proofErr w:type="spellEnd"/>
      <w:r w:rsidRPr="00736205">
        <w:rPr>
          <w:rFonts w:ascii="楷体" w:eastAsia="楷体" w:hAnsi="楷体"/>
          <w:sz w:val="20"/>
          <w:szCs w:val="20"/>
        </w:rPr>
        <w:t xml:space="preserve"> cell? Molecular Cancer, 2021, 20(1): 65.</w:t>
      </w:r>
    </w:p>
    <w:p w14:paraId="1B69C206"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[6] Spratlin JL, Sangha RS, Jamal R, et al. A first-in-human, open-label, phase I trial of daily oral </w:t>
      </w:r>
      <w:proofErr w:type="spellStart"/>
      <w:r w:rsidRPr="00736205">
        <w:rPr>
          <w:rFonts w:ascii="楷体" w:eastAsia="楷体" w:hAnsi="楷体"/>
          <w:sz w:val="20"/>
          <w:szCs w:val="20"/>
        </w:rPr>
        <w:t>zelenirstat</w:t>
      </w:r>
      <w:proofErr w:type="spellEnd"/>
      <w:r w:rsidRPr="00736205">
        <w:rPr>
          <w:rFonts w:ascii="楷体" w:eastAsia="楷体" w:hAnsi="楷体"/>
          <w:sz w:val="20"/>
          <w:szCs w:val="20"/>
        </w:rPr>
        <w:t>, an NMT inhibitor, in patients with relapsed/refractory advanced cancer including gastrointestinal cancers. Journal of Clinical Oncology, 2024, 42(suppl 3): 129.</w:t>
      </w:r>
    </w:p>
    <w:p w14:paraId="4345227E"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[7] Anti-PD-1/PD-L1 Antibodies Plus Gemcitabine and Cisplatin for Advanced CCA. ICHGCP Clinical Trials Registry, 2025.</w:t>
      </w:r>
    </w:p>
    <w:p w14:paraId="4E490C19"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[8] Jamal R, Spratlin J, Kuruvilla J, et al. Final results of a first-in-human phase I dose escalation trial of daily oral </w:t>
      </w:r>
      <w:proofErr w:type="spellStart"/>
      <w:r w:rsidRPr="00736205">
        <w:rPr>
          <w:rFonts w:ascii="楷体" w:eastAsia="楷体" w:hAnsi="楷体"/>
          <w:sz w:val="20"/>
          <w:szCs w:val="20"/>
        </w:rPr>
        <w:t>zelenirstat</w:t>
      </w:r>
      <w:proofErr w:type="spellEnd"/>
      <w:r w:rsidRPr="00736205">
        <w:rPr>
          <w:rFonts w:ascii="楷体" w:eastAsia="楷体" w:hAnsi="楷体"/>
          <w:sz w:val="20"/>
          <w:szCs w:val="20"/>
        </w:rPr>
        <w:t>, a n-</w:t>
      </w:r>
      <w:proofErr w:type="spellStart"/>
      <w:r w:rsidRPr="00736205">
        <w:rPr>
          <w:rFonts w:ascii="楷体" w:eastAsia="楷体" w:hAnsi="楷体"/>
          <w:sz w:val="20"/>
          <w:szCs w:val="20"/>
        </w:rPr>
        <w:t>myristoyltransferase</w:t>
      </w:r>
      <w:proofErr w:type="spellEnd"/>
      <w:r w:rsidRPr="00736205">
        <w:rPr>
          <w:rFonts w:ascii="楷体" w:eastAsia="楷体" w:hAnsi="楷体"/>
          <w:sz w:val="20"/>
          <w:szCs w:val="20"/>
        </w:rPr>
        <w:t xml:space="preserve"> inhibitor, in patients with advanced solid tumors and relapsed/refractory B-cell </w:t>
      </w:r>
      <w:r w:rsidRPr="00736205">
        <w:rPr>
          <w:rFonts w:ascii="楷体" w:eastAsia="楷体" w:hAnsi="楷体"/>
          <w:sz w:val="20"/>
          <w:szCs w:val="20"/>
        </w:rPr>
        <w:lastRenderedPageBreak/>
        <w:t>lymphomas. Journal of Clinical Oncology, 2024, 42(16_suppl): 3082.</w:t>
      </w:r>
    </w:p>
    <w:p w14:paraId="6361EA21"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[9] A Study </w:t>
      </w:r>
      <w:proofErr w:type="gramStart"/>
      <w:r w:rsidRPr="00736205">
        <w:rPr>
          <w:rFonts w:ascii="楷体" w:eastAsia="楷体" w:hAnsi="楷体"/>
          <w:sz w:val="20"/>
          <w:szCs w:val="20"/>
        </w:rPr>
        <w:t>Of</w:t>
      </w:r>
      <w:proofErr w:type="gramEnd"/>
      <w:r w:rsidRPr="00736205">
        <w:rPr>
          <w:rFonts w:ascii="楷体" w:eastAsia="楷体" w:hAnsi="楷体"/>
          <w:sz w:val="20"/>
          <w:szCs w:val="20"/>
        </w:rPr>
        <w:t xml:space="preserve"> </w:t>
      </w:r>
      <w:proofErr w:type="spellStart"/>
      <w:r w:rsidRPr="00736205">
        <w:rPr>
          <w:rFonts w:ascii="楷体" w:eastAsia="楷体" w:hAnsi="楷体"/>
          <w:sz w:val="20"/>
          <w:szCs w:val="20"/>
        </w:rPr>
        <w:t>Tolododekin</w:t>
      </w:r>
      <w:proofErr w:type="spellEnd"/>
      <w:r w:rsidRPr="00736205">
        <w:rPr>
          <w:rFonts w:ascii="楷体" w:eastAsia="楷体" w:hAnsi="楷体"/>
          <w:sz w:val="20"/>
          <w:szCs w:val="20"/>
        </w:rPr>
        <w:t xml:space="preserve"> Alfa (ANK-101) In Combination </w:t>
      </w:r>
      <w:proofErr w:type="gramStart"/>
      <w:r w:rsidRPr="00736205">
        <w:rPr>
          <w:rFonts w:ascii="楷体" w:eastAsia="楷体" w:hAnsi="楷体"/>
          <w:sz w:val="20"/>
          <w:szCs w:val="20"/>
        </w:rPr>
        <w:t>With</w:t>
      </w:r>
      <w:proofErr w:type="gramEnd"/>
      <w:r w:rsidRPr="00736205">
        <w:rPr>
          <w:rFonts w:ascii="楷体" w:eastAsia="楷体" w:hAnsi="楷体"/>
          <w:sz w:val="20"/>
          <w:szCs w:val="20"/>
        </w:rPr>
        <w:t xml:space="preserve"> </w:t>
      </w:r>
      <w:proofErr w:type="gramStart"/>
      <w:r w:rsidRPr="00736205">
        <w:rPr>
          <w:rFonts w:ascii="楷体" w:eastAsia="楷体" w:hAnsi="楷体"/>
          <w:sz w:val="20"/>
          <w:szCs w:val="20"/>
        </w:rPr>
        <w:t>An</w:t>
      </w:r>
      <w:proofErr w:type="gramEnd"/>
      <w:r w:rsidRPr="00736205">
        <w:rPr>
          <w:rFonts w:ascii="楷体" w:eastAsia="楷体" w:hAnsi="楷体"/>
          <w:sz w:val="20"/>
          <w:szCs w:val="20"/>
        </w:rPr>
        <w:t xml:space="preserve"> Anti-PD-1/PD-L1 Antibody </w:t>
      </w:r>
      <w:proofErr w:type="gramStart"/>
      <w:r w:rsidRPr="00736205">
        <w:rPr>
          <w:rFonts w:ascii="楷体" w:eastAsia="楷体" w:hAnsi="楷体"/>
          <w:sz w:val="20"/>
          <w:szCs w:val="20"/>
        </w:rPr>
        <w:t>In</w:t>
      </w:r>
      <w:proofErr w:type="gramEnd"/>
      <w:r w:rsidRPr="00736205">
        <w:rPr>
          <w:rFonts w:ascii="楷体" w:eastAsia="楷体" w:hAnsi="楷体"/>
          <w:sz w:val="20"/>
          <w:szCs w:val="20"/>
        </w:rPr>
        <w:t xml:space="preserve"> Participants </w:t>
      </w:r>
      <w:proofErr w:type="gramStart"/>
      <w:r w:rsidRPr="00736205">
        <w:rPr>
          <w:rFonts w:ascii="楷体" w:eastAsia="楷体" w:hAnsi="楷体"/>
          <w:sz w:val="20"/>
          <w:szCs w:val="20"/>
        </w:rPr>
        <w:t>With</w:t>
      </w:r>
      <w:proofErr w:type="gramEnd"/>
      <w:r w:rsidRPr="00736205">
        <w:rPr>
          <w:rFonts w:ascii="楷体" w:eastAsia="楷体" w:hAnsi="楷体"/>
          <w:sz w:val="20"/>
          <w:szCs w:val="20"/>
        </w:rPr>
        <w:t xml:space="preserve"> Advanced Non-Small Cell Lung Cancer. Mayo Clinic Clinical Trials, 2025.</w:t>
      </w:r>
    </w:p>
    <w:p w14:paraId="3E5FE608"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[10] Rare Subset of T Cells Form Heterotypic Clusters with Circulating Tumor Cells to Foster Cancer Metastasis. bioRxiv, 2025, DOI: 10.1101/2025.04.01.646421.</w:t>
      </w:r>
    </w:p>
    <w:p w14:paraId="000885EB" w14:textId="77777777" w:rsidR="00736205" w:rsidRPr="00736205" w:rsidRDefault="00736205" w:rsidP="00736205">
      <w:pPr>
        <w:rPr>
          <w:rFonts w:ascii="楷体" w:eastAsia="楷体" w:hAnsi="楷体"/>
          <w:b/>
          <w:bCs/>
          <w:sz w:val="20"/>
          <w:szCs w:val="20"/>
        </w:rPr>
      </w:pPr>
      <w:r w:rsidRPr="00736205">
        <w:rPr>
          <w:rFonts w:ascii="楷体" w:eastAsia="楷体" w:hAnsi="楷体"/>
          <w:b/>
          <w:bCs/>
          <w:sz w:val="20"/>
          <w:szCs w:val="20"/>
        </w:rPr>
        <w:t>补充文献（30篇）</w:t>
      </w:r>
    </w:p>
    <w:p w14:paraId="62064702"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[11] Aceto N, Bardia A, Miyamoto DT, et al. Circulating tumor cell clusters are oligoclonal precursors of breast cancer metastasis. Cell, 2014, 158(5): 1110-1122.</w:t>
      </w:r>
    </w:p>
    <w:p w14:paraId="25DF123D"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[12] Szczerba BM, Castro-Giner F, Vetter M, et al. Neutrophils escort circulating </w:t>
      </w:r>
      <w:proofErr w:type="spellStart"/>
      <w:r w:rsidRPr="00736205">
        <w:rPr>
          <w:rFonts w:ascii="楷体" w:eastAsia="楷体" w:hAnsi="楷体"/>
          <w:sz w:val="20"/>
          <w:szCs w:val="20"/>
        </w:rPr>
        <w:t>tumour</w:t>
      </w:r>
      <w:proofErr w:type="spellEnd"/>
      <w:r w:rsidRPr="00736205">
        <w:rPr>
          <w:rFonts w:ascii="楷体" w:eastAsia="楷体" w:hAnsi="楷体"/>
          <w:sz w:val="20"/>
          <w:szCs w:val="20"/>
        </w:rPr>
        <w:t xml:space="preserve"> cells to enable cell cycle progression. Nature, 2019, 566(7745): 553-557.</w:t>
      </w:r>
    </w:p>
    <w:p w14:paraId="79CB6E98"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[13] </w:t>
      </w:r>
      <w:proofErr w:type="spellStart"/>
      <w:r w:rsidRPr="00736205">
        <w:rPr>
          <w:rFonts w:ascii="楷体" w:eastAsia="楷体" w:hAnsi="楷体"/>
          <w:sz w:val="20"/>
          <w:szCs w:val="20"/>
        </w:rPr>
        <w:t>Ulanovskaya</w:t>
      </w:r>
      <w:proofErr w:type="spellEnd"/>
      <w:r w:rsidRPr="00736205">
        <w:rPr>
          <w:rFonts w:ascii="楷体" w:eastAsia="楷体" w:hAnsi="楷体"/>
          <w:sz w:val="20"/>
          <w:szCs w:val="20"/>
        </w:rPr>
        <w:t xml:space="preserve"> OA, Zuhl AM, Cravatt BF. NNMT promotes epigenetic remodeling in cancer by creating a metabolic methylation sink. Nature Chemical Biology, 2013, 9(5): 300-306.</w:t>
      </w:r>
    </w:p>
    <w:p w14:paraId="0C5EC584"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[14] Eckert MA, Coscia F, </w:t>
      </w:r>
      <w:proofErr w:type="spellStart"/>
      <w:r w:rsidRPr="00736205">
        <w:rPr>
          <w:rFonts w:ascii="楷体" w:eastAsia="楷体" w:hAnsi="楷体"/>
          <w:sz w:val="20"/>
          <w:szCs w:val="20"/>
        </w:rPr>
        <w:t>Chryplewicz</w:t>
      </w:r>
      <w:proofErr w:type="spellEnd"/>
      <w:r w:rsidRPr="00736205">
        <w:rPr>
          <w:rFonts w:ascii="楷体" w:eastAsia="楷体" w:hAnsi="楷体"/>
          <w:sz w:val="20"/>
          <w:szCs w:val="20"/>
        </w:rPr>
        <w:t xml:space="preserve"> A, et al. Proteomics reveals NNMT as a master metabolic regulator of cancer-associated fibroblasts. Nature, 2019, 569(7758): 723-727.</w:t>
      </w:r>
    </w:p>
    <w:p w14:paraId="2ACC1C04"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[15] Gay LJ, Felding-Habermann B. Contribution of platelets to </w:t>
      </w:r>
      <w:proofErr w:type="spellStart"/>
      <w:r w:rsidRPr="00736205">
        <w:rPr>
          <w:rFonts w:ascii="楷体" w:eastAsia="楷体" w:hAnsi="楷体"/>
          <w:sz w:val="20"/>
          <w:szCs w:val="20"/>
        </w:rPr>
        <w:t>tumour</w:t>
      </w:r>
      <w:proofErr w:type="spellEnd"/>
      <w:r w:rsidRPr="00736205">
        <w:rPr>
          <w:rFonts w:ascii="楷体" w:eastAsia="楷体" w:hAnsi="楷体"/>
          <w:sz w:val="20"/>
          <w:szCs w:val="20"/>
        </w:rPr>
        <w:t xml:space="preserve"> metastasis. Nature Reviews Cancer, 2011, 11(2): 123-134.</w:t>
      </w:r>
    </w:p>
    <w:p w14:paraId="735B8EBB"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[16] Labelle M, Begum S, Hynes RO. Direct signaling between platelets and cancer cells induces an epithelial-mesenchymal-like transition and promotes metastasis. Cancer Cell, 2011, 20(5): 576-590.</w:t>
      </w:r>
    </w:p>
    <w:p w14:paraId="1A7F8E80"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[17] Gan J, Zhang X, Guo J. The role of platelets in tumor immune evasion and metastasis: mechanisms and therapeutic implications. Cancer Cell International, 2025, 25: 258.</w:t>
      </w:r>
    </w:p>
    <w:p w14:paraId="2A8A9400"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[18] Raskov H, et al. The impact of platelets on the metastatic potential of </w:t>
      </w:r>
      <w:proofErr w:type="spellStart"/>
      <w:r w:rsidRPr="00736205">
        <w:rPr>
          <w:rFonts w:ascii="楷体" w:eastAsia="楷体" w:hAnsi="楷体"/>
          <w:sz w:val="20"/>
          <w:szCs w:val="20"/>
        </w:rPr>
        <w:t>tumour</w:t>
      </w:r>
      <w:proofErr w:type="spellEnd"/>
      <w:r w:rsidRPr="00736205">
        <w:rPr>
          <w:rFonts w:ascii="楷体" w:eastAsia="楷体" w:hAnsi="楷体"/>
          <w:sz w:val="20"/>
          <w:szCs w:val="20"/>
        </w:rPr>
        <w:t xml:space="preserve"> cells. </w:t>
      </w:r>
      <w:proofErr w:type="spellStart"/>
      <w:r w:rsidRPr="00736205">
        <w:rPr>
          <w:rFonts w:ascii="楷体" w:eastAsia="楷体" w:hAnsi="楷体"/>
          <w:sz w:val="20"/>
          <w:szCs w:val="20"/>
        </w:rPr>
        <w:t>Heliyon</w:t>
      </w:r>
      <w:proofErr w:type="spellEnd"/>
      <w:r w:rsidRPr="00736205">
        <w:rPr>
          <w:rFonts w:ascii="楷体" w:eastAsia="楷体" w:hAnsi="楷体"/>
          <w:sz w:val="20"/>
          <w:szCs w:val="20"/>
        </w:rPr>
        <w:t>, 2024, 10(14): e34361.</w:t>
      </w:r>
    </w:p>
    <w:p w14:paraId="215C9320"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[19] Tesfamariam B, Wood SC. Targeting glycoprotein VI to disrupt platelet-mediated tumor cell extravasation. Pharmacological Research, 2022, 182: 106301.</w:t>
      </w:r>
    </w:p>
    <w:p w14:paraId="77850545"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[20] Mazel M, Jacot W, Pantel K, et al. Frequent expression of PD-L1 on circulating breast cancer cells. Molecular Oncology, 2015, 9(9): 1773-1782.</w:t>
      </w:r>
    </w:p>
    <w:p w14:paraId="45280F51"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[21] CTC immune escape mediated by PD-L1. Medical Hypotheses, 2016, 93: 138-139.</w:t>
      </w:r>
    </w:p>
    <w:p w14:paraId="2CE07BF5"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lastRenderedPageBreak/>
        <w:t xml:space="preserve">[22] </w:t>
      </w:r>
      <w:proofErr w:type="spellStart"/>
      <w:r w:rsidRPr="00736205">
        <w:rPr>
          <w:rFonts w:ascii="楷体" w:eastAsia="楷体" w:hAnsi="楷体"/>
          <w:sz w:val="20"/>
          <w:szCs w:val="20"/>
        </w:rPr>
        <w:t>Spiliotaki</w:t>
      </w:r>
      <w:proofErr w:type="spellEnd"/>
      <w:r w:rsidRPr="00736205">
        <w:rPr>
          <w:rFonts w:ascii="楷体" w:eastAsia="楷体" w:hAnsi="楷体"/>
          <w:sz w:val="20"/>
          <w:szCs w:val="20"/>
        </w:rPr>
        <w:t xml:space="preserve"> M, Nikolaou C, Mavroudis D, et al. Expression of PD-L1 on circulating tumor cells (CTCs) in patients with breast cancer. Cancer Research, 2017, 77(4_Supplement): P3-01-05.</w:t>
      </w:r>
    </w:p>
    <w:p w14:paraId="3B001E33"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[23] Ganesh K, </w:t>
      </w:r>
      <w:proofErr w:type="spellStart"/>
      <w:r w:rsidRPr="00736205">
        <w:rPr>
          <w:rFonts w:ascii="楷体" w:eastAsia="楷体" w:hAnsi="楷体"/>
          <w:sz w:val="20"/>
          <w:szCs w:val="20"/>
        </w:rPr>
        <w:t>Massagué</w:t>
      </w:r>
      <w:proofErr w:type="spellEnd"/>
      <w:r w:rsidRPr="00736205">
        <w:rPr>
          <w:rFonts w:ascii="楷体" w:eastAsia="楷体" w:hAnsi="楷体"/>
          <w:sz w:val="20"/>
          <w:szCs w:val="20"/>
        </w:rPr>
        <w:t xml:space="preserve"> J. Targeting metastatic cancer. Nature Medicine, 2021, 27: 34-44.</w:t>
      </w:r>
    </w:p>
    <w:p w14:paraId="0E936D36"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[24] Su Y, et al. Targeting circulating tumor cell</w:t>
      </w:r>
      <w:r w:rsidRPr="00736205">
        <w:rPr>
          <w:rFonts w:ascii="Courier New" w:eastAsia="楷体" w:hAnsi="Courier New" w:cs="Courier New"/>
          <w:sz w:val="20"/>
          <w:szCs w:val="20"/>
        </w:rPr>
        <w:t>‒</w:t>
      </w:r>
      <w:r w:rsidRPr="00736205">
        <w:rPr>
          <w:rFonts w:ascii="楷体" w:eastAsia="楷体" w:hAnsi="楷体"/>
          <w:sz w:val="20"/>
          <w:szCs w:val="20"/>
        </w:rPr>
        <w:t>neutrophil interactions: nanoengineered strategies for inhibiting cancer metastasis. Journal of Nanobiotechnology, 2025.</w:t>
      </w:r>
    </w:p>
    <w:p w14:paraId="48D16C8F"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[25] Kazia Therapeutics. Phase 1b trial of </w:t>
      </w:r>
      <w:proofErr w:type="spellStart"/>
      <w:r w:rsidRPr="00736205">
        <w:rPr>
          <w:rFonts w:ascii="楷体" w:eastAsia="楷体" w:hAnsi="楷体"/>
          <w:sz w:val="20"/>
          <w:szCs w:val="20"/>
        </w:rPr>
        <w:t>paxalisib</w:t>
      </w:r>
      <w:proofErr w:type="spellEnd"/>
      <w:r w:rsidRPr="00736205">
        <w:rPr>
          <w:rFonts w:ascii="楷体" w:eastAsia="楷体" w:hAnsi="楷体"/>
          <w:sz w:val="20"/>
          <w:szCs w:val="20"/>
        </w:rPr>
        <w:t xml:space="preserve"> + pembrolizumab in triple-negative breast cancer achieves &gt;50% CTC reduction. Press Release, 2025.</w:t>
      </w:r>
    </w:p>
    <w:p w14:paraId="253E8FC7"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[26] Hu C, Long L, Lou J, et al. CTC-neutrophil interaction: A key driver and therapeutic target of cancer metastasis. Biomedicine &amp; Pharmacotherapy, 2024, 180: 117474.</w:t>
      </w:r>
    </w:p>
    <w:p w14:paraId="6C1E995C"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[27] Saini M, Szczerba BM, Aceto N. Circulating tumor cell-neutrophil tango along the metastatic process. Cancer Research, 2019, 79(24): 6067-6073.</w:t>
      </w:r>
    </w:p>
    <w:p w14:paraId="6CEE56FB"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[28] Zhang D, et al. Pericyte NNMT drives CTC-neutrophil cluster formation via CXCL5/CXCR2 axis. Gut, 2025, 75(1): e334618.</w:t>
      </w:r>
    </w:p>
    <w:p w14:paraId="0E8BBF11"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 xml:space="preserve">[29] </w:t>
      </w:r>
      <w:proofErr w:type="spellStart"/>
      <w:r w:rsidRPr="00736205">
        <w:rPr>
          <w:rFonts w:ascii="楷体" w:eastAsia="楷体" w:hAnsi="楷体"/>
          <w:sz w:val="20"/>
          <w:szCs w:val="20"/>
        </w:rPr>
        <w:t>Gerstberger</w:t>
      </w:r>
      <w:proofErr w:type="spellEnd"/>
      <w:r w:rsidRPr="00736205">
        <w:rPr>
          <w:rFonts w:ascii="楷体" w:eastAsia="楷体" w:hAnsi="楷体"/>
          <w:sz w:val="20"/>
          <w:szCs w:val="20"/>
        </w:rPr>
        <w:t xml:space="preserve"> S, Jiang Q, Ganesh K. Metastasis. Cell, 2023, 186: 1564-1579.</w:t>
      </w:r>
    </w:p>
    <w:p w14:paraId="222DA799" w14:textId="77777777" w:rsidR="00736205" w:rsidRPr="00736205" w:rsidRDefault="00736205" w:rsidP="00736205">
      <w:pPr>
        <w:rPr>
          <w:rFonts w:ascii="楷体" w:eastAsia="楷体" w:hAnsi="楷体"/>
          <w:sz w:val="20"/>
          <w:szCs w:val="20"/>
        </w:rPr>
      </w:pPr>
      <w:r w:rsidRPr="00736205">
        <w:rPr>
          <w:rFonts w:ascii="楷体" w:eastAsia="楷体" w:hAnsi="楷体"/>
          <w:sz w:val="20"/>
          <w:szCs w:val="20"/>
        </w:rPr>
        <w:t>[30] Wang W, Yang C, Wang T, Deng H. Complex roles of nicotinamide N-methyltransferase in cancer progression. Cell Death &amp; Disease, 2022, 13: 267.</w:t>
      </w:r>
    </w:p>
    <w:p w14:paraId="7FFC7DEE" w14:textId="77777777" w:rsidR="003F257E" w:rsidRPr="000000A4" w:rsidRDefault="003F257E" w:rsidP="000000A4">
      <w:pPr>
        <w:rPr>
          <w:rFonts w:ascii="楷体" w:eastAsia="楷体" w:hAnsi="楷体"/>
          <w:sz w:val="20"/>
          <w:szCs w:val="20"/>
        </w:rPr>
      </w:pPr>
    </w:p>
    <w:sectPr w:rsidR="003F257E" w:rsidRPr="000000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813EA" w14:textId="77777777" w:rsidR="003D0602" w:rsidRDefault="003D0602" w:rsidP="0041716B">
      <w:pPr>
        <w:spacing w:after="0" w:line="240" w:lineRule="auto"/>
      </w:pPr>
      <w:r>
        <w:separator/>
      </w:r>
    </w:p>
  </w:endnote>
  <w:endnote w:type="continuationSeparator" w:id="0">
    <w:p w14:paraId="042F5A36" w14:textId="77777777" w:rsidR="003D0602" w:rsidRDefault="003D0602" w:rsidP="00417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3587E" w14:textId="77777777" w:rsidR="003D0602" w:rsidRDefault="003D0602" w:rsidP="0041716B">
      <w:pPr>
        <w:spacing w:after="0" w:line="240" w:lineRule="auto"/>
      </w:pPr>
      <w:r>
        <w:separator/>
      </w:r>
    </w:p>
  </w:footnote>
  <w:footnote w:type="continuationSeparator" w:id="0">
    <w:p w14:paraId="0039DB46" w14:textId="77777777" w:rsidR="003D0602" w:rsidRDefault="003D0602" w:rsidP="00417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79C4"/>
    <w:multiLevelType w:val="multilevel"/>
    <w:tmpl w:val="72D4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165AB"/>
    <w:multiLevelType w:val="multilevel"/>
    <w:tmpl w:val="4AE0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AD3952"/>
    <w:multiLevelType w:val="multilevel"/>
    <w:tmpl w:val="755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702092">
    <w:abstractNumId w:val="2"/>
  </w:num>
  <w:num w:numId="2" w16cid:durableId="729227331">
    <w:abstractNumId w:val="0"/>
  </w:num>
  <w:num w:numId="3" w16cid:durableId="2008555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5A"/>
    <w:rsid w:val="000000A4"/>
    <w:rsid w:val="00135F59"/>
    <w:rsid w:val="00207735"/>
    <w:rsid w:val="00222570"/>
    <w:rsid w:val="002D7E95"/>
    <w:rsid w:val="00301360"/>
    <w:rsid w:val="00314195"/>
    <w:rsid w:val="00330194"/>
    <w:rsid w:val="003D0602"/>
    <w:rsid w:val="003F257E"/>
    <w:rsid w:val="0041716B"/>
    <w:rsid w:val="00455C17"/>
    <w:rsid w:val="00466AA3"/>
    <w:rsid w:val="005019DD"/>
    <w:rsid w:val="00736205"/>
    <w:rsid w:val="00775A5A"/>
    <w:rsid w:val="00885B22"/>
    <w:rsid w:val="009656BA"/>
    <w:rsid w:val="00B13960"/>
    <w:rsid w:val="00B3035E"/>
    <w:rsid w:val="00C14EC6"/>
    <w:rsid w:val="00E87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A5051"/>
  <w15:chartTrackingRefBased/>
  <w15:docId w15:val="{696F1B4D-C71E-47B5-B7E7-F23BAAC2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5A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75A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75A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75A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75A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75A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75A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5A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5A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5A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75A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75A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75A5A"/>
    <w:rPr>
      <w:rFonts w:cstheme="majorBidi"/>
      <w:color w:val="2F5496" w:themeColor="accent1" w:themeShade="BF"/>
      <w:sz w:val="28"/>
      <w:szCs w:val="28"/>
    </w:rPr>
  </w:style>
  <w:style w:type="character" w:customStyle="1" w:styleId="50">
    <w:name w:val="标题 5 字符"/>
    <w:basedOn w:val="a0"/>
    <w:link w:val="5"/>
    <w:uiPriority w:val="9"/>
    <w:semiHidden/>
    <w:rsid w:val="00775A5A"/>
    <w:rPr>
      <w:rFonts w:cstheme="majorBidi"/>
      <w:color w:val="2F5496" w:themeColor="accent1" w:themeShade="BF"/>
      <w:sz w:val="24"/>
    </w:rPr>
  </w:style>
  <w:style w:type="character" w:customStyle="1" w:styleId="60">
    <w:name w:val="标题 6 字符"/>
    <w:basedOn w:val="a0"/>
    <w:link w:val="6"/>
    <w:uiPriority w:val="9"/>
    <w:semiHidden/>
    <w:rsid w:val="00775A5A"/>
    <w:rPr>
      <w:rFonts w:cstheme="majorBidi"/>
      <w:b/>
      <w:bCs/>
      <w:color w:val="2F5496" w:themeColor="accent1" w:themeShade="BF"/>
    </w:rPr>
  </w:style>
  <w:style w:type="character" w:customStyle="1" w:styleId="70">
    <w:name w:val="标题 7 字符"/>
    <w:basedOn w:val="a0"/>
    <w:link w:val="7"/>
    <w:uiPriority w:val="9"/>
    <w:semiHidden/>
    <w:rsid w:val="00775A5A"/>
    <w:rPr>
      <w:rFonts w:cstheme="majorBidi"/>
      <w:b/>
      <w:bCs/>
      <w:color w:val="595959" w:themeColor="text1" w:themeTint="A6"/>
    </w:rPr>
  </w:style>
  <w:style w:type="character" w:customStyle="1" w:styleId="80">
    <w:name w:val="标题 8 字符"/>
    <w:basedOn w:val="a0"/>
    <w:link w:val="8"/>
    <w:uiPriority w:val="9"/>
    <w:semiHidden/>
    <w:rsid w:val="00775A5A"/>
    <w:rPr>
      <w:rFonts w:cstheme="majorBidi"/>
      <w:color w:val="595959" w:themeColor="text1" w:themeTint="A6"/>
    </w:rPr>
  </w:style>
  <w:style w:type="character" w:customStyle="1" w:styleId="90">
    <w:name w:val="标题 9 字符"/>
    <w:basedOn w:val="a0"/>
    <w:link w:val="9"/>
    <w:uiPriority w:val="9"/>
    <w:semiHidden/>
    <w:rsid w:val="00775A5A"/>
    <w:rPr>
      <w:rFonts w:eastAsiaTheme="majorEastAsia" w:cstheme="majorBidi"/>
      <w:color w:val="595959" w:themeColor="text1" w:themeTint="A6"/>
    </w:rPr>
  </w:style>
  <w:style w:type="paragraph" w:styleId="a3">
    <w:name w:val="Title"/>
    <w:basedOn w:val="a"/>
    <w:next w:val="a"/>
    <w:link w:val="a4"/>
    <w:uiPriority w:val="10"/>
    <w:qFormat/>
    <w:rsid w:val="00775A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5A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5A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5A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5A5A"/>
    <w:pPr>
      <w:spacing w:before="160"/>
      <w:jc w:val="center"/>
    </w:pPr>
    <w:rPr>
      <w:i/>
      <w:iCs/>
      <w:color w:val="404040" w:themeColor="text1" w:themeTint="BF"/>
    </w:rPr>
  </w:style>
  <w:style w:type="character" w:customStyle="1" w:styleId="a8">
    <w:name w:val="引用 字符"/>
    <w:basedOn w:val="a0"/>
    <w:link w:val="a7"/>
    <w:uiPriority w:val="29"/>
    <w:rsid w:val="00775A5A"/>
    <w:rPr>
      <w:i/>
      <w:iCs/>
      <w:color w:val="404040" w:themeColor="text1" w:themeTint="BF"/>
    </w:rPr>
  </w:style>
  <w:style w:type="paragraph" w:styleId="a9">
    <w:name w:val="List Paragraph"/>
    <w:basedOn w:val="a"/>
    <w:uiPriority w:val="34"/>
    <w:qFormat/>
    <w:rsid w:val="00775A5A"/>
    <w:pPr>
      <w:ind w:left="720"/>
      <w:contextualSpacing/>
    </w:pPr>
  </w:style>
  <w:style w:type="character" w:styleId="aa">
    <w:name w:val="Intense Emphasis"/>
    <w:basedOn w:val="a0"/>
    <w:uiPriority w:val="21"/>
    <w:qFormat/>
    <w:rsid w:val="00775A5A"/>
    <w:rPr>
      <w:i/>
      <w:iCs/>
      <w:color w:val="2F5496" w:themeColor="accent1" w:themeShade="BF"/>
    </w:rPr>
  </w:style>
  <w:style w:type="paragraph" w:styleId="ab">
    <w:name w:val="Intense Quote"/>
    <w:basedOn w:val="a"/>
    <w:next w:val="a"/>
    <w:link w:val="ac"/>
    <w:uiPriority w:val="30"/>
    <w:qFormat/>
    <w:rsid w:val="00775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75A5A"/>
    <w:rPr>
      <w:i/>
      <w:iCs/>
      <w:color w:val="2F5496" w:themeColor="accent1" w:themeShade="BF"/>
    </w:rPr>
  </w:style>
  <w:style w:type="character" w:styleId="ad">
    <w:name w:val="Intense Reference"/>
    <w:basedOn w:val="a0"/>
    <w:uiPriority w:val="32"/>
    <w:qFormat/>
    <w:rsid w:val="00775A5A"/>
    <w:rPr>
      <w:b/>
      <w:bCs/>
      <w:smallCaps/>
      <w:color w:val="2F5496" w:themeColor="accent1" w:themeShade="BF"/>
      <w:spacing w:val="5"/>
    </w:rPr>
  </w:style>
  <w:style w:type="paragraph" w:styleId="ae">
    <w:name w:val="header"/>
    <w:basedOn w:val="a"/>
    <w:link w:val="af"/>
    <w:uiPriority w:val="99"/>
    <w:unhideWhenUsed/>
    <w:rsid w:val="0041716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1716B"/>
    <w:rPr>
      <w:sz w:val="18"/>
      <w:szCs w:val="18"/>
    </w:rPr>
  </w:style>
  <w:style w:type="paragraph" w:styleId="af0">
    <w:name w:val="footer"/>
    <w:basedOn w:val="a"/>
    <w:link w:val="af1"/>
    <w:uiPriority w:val="99"/>
    <w:unhideWhenUsed/>
    <w:rsid w:val="0041716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1716B"/>
    <w:rPr>
      <w:sz w:val="18"/>
      <w:szCs w:val="18"/>
    </w:rPr>
  </w:style>
  <w:style w:type="character" w:styleId="af2">
    <w:name w:val="Hyperlink"/>
    <w:basedOn w:val="a0"/>
    <w:uiPriority w:val="99"/>
    <w:unhideWhenUsed/>
    <w:rsid w:val="000000A4"/>
    <w:rPr>
      <w:color w:val="0563C1" w:themeColor="hyperlink"/>
      <w:u w:val="single"/>
    </w:rPr>
  </w:style>
  <w:style w:type="character" w:styleId="af3">
    <w:name w:val="Unresolved Mention"/>
    <w:basedOn w:val="a0"/>
    <w:uiPriority w:val="99"/>
    <w:semiHidden/>
    <w:unhideWhenUsed/>
    <w:rsid w:val="00000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4706</Words>
  <Characters>8331</Characters>
  <Application>Microsoft Office Word</Application>
  <DocSecurity>0</DocSecurity>
  <Lines>198</Lines>
  <Paragraphs>103</Paragraphs>
  <ScaleCrop>false</ScaleCrop>
  <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家扬 龚</dc:creator>
  <cp:keywords/>
  <dc:description/>
  <cp:lastModifiedBy>家扬 龚</cp:lastModifiedBy>
  <cp:revision>16</cp:revision>
  <dcterms:created xsi:type="dcterms:W3CDTF">2026-04-02T07:46:00Z</dcterms:created>
  <dcterms:modified xsi:type="dcterms:W3CDTF">2026-04-03T03:01:00Z</dcterms:modified>
</cp:coreProperties>
</file>