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d7vhrhtjeot" w:id="0"/>
      <w:bookmarkEnd w:id="0"/>
      <w:r w:rsidDel="00000000" w:rsidR="00000000" w:rsidRPr="00000000">
        <w:rPr>
          <w:rtl w:val="0"/>
        </w:rPr>
        <w:t xml:space="preserve">Resumen Ejecutivo de Requerimientos</w:t>
      </w:r>
    </w:p>
    <w:p w:rsidR="00000000" w:rsidDel="00000000" w:rsidP="00000000" w:rsidRDefault="00000000" w:rsidRPr="00000000" w14:paraId="00000002">
      <w:pPr>
        <w:pStyle w:val="Subtitle"/>
        <w:rPr/>
      </w:pPr>
      <w:bookmarkStart w:colFirst="0" w:colLast="0" w:name="_s9h39hkgige7" w:id="1"/>
      <w:bookmarkEnd w:id="1"/>
      <w:r w:rsidDel="00000000" w:rsidR="00000000" w:rsidRPr="00000000">
        <w:rPr>
          <w:rtl w:val="0"/>
        </w:rPr>
        <w:t xml:space="preserve">Proyecto de Plataforma de Inversión y Gestión de Negocios (Frane / Franep)</w:t>
      </w:r>
    </w:p>
    <w:p w:rsidR="00000000" w:rsidDel="00000000" w:rsidP="00000000" w:rsidRDefault="00000000" w:rsidRPr="00000000" w14:paraId="00000003">
      <w:pPr>
        <w:pStyle w:val="Heading4"/>
        <w:rPr/>
      </w:pPr>
      <w:bookmarkStart w:colFirst="0" w:colLast="0" w:name="_fb9pjnagsw1" w:id="2"/>
      <w:bookmarkEnd w:id="2"/>
      <w:r w:rsidDel="00000000" w:rsidR="00000000" w:rsidRPr="00000000">
        <w:rPr>
          <w:rtl w:val="0"/>
        </w:rPr>
        <w:t xml:space="preserve">1. Visión General y Propósito Estratégico</w:t>
      </w:r>
    </w:p>
    <w:p w:rsidR="00000000" w:rsidDel="00000000" w:rsidP="00000000" w:rsidRDefault="00000000" w:rsidRPr="00000000" w14:paraId="00000004">
      <w:pPr>
        <w:rPr/>
      </w:pPr>
      <w:r w:rsidDel="00000000" w:rsidR="00000000" w:rsidRPr="00000000">
        <w:rPr>
          <w:rtl w:val="0"/>
        </w:rPr>
        <w:t xml:space="preserve">El proyecto, denominado tentativamente  </w:t>
      </w:r>
      <w:r w:rsidDel="00000000" w:rsidR="00000000" w:rsidRPr="00000000">
        <w:rPr>
          <w:b w:val="1"/>
          <w:bCs w:val="1"/>
          <w:rtl w:val="0"/>
        </w:rPr>
        <w:t xml:space="preserve">Frane</w:t>
      </w:r>
      <w:r w:rsidDel="00000000" w:rsidR="00000000" w:rsidRPr="00000000">
        <w:rPr>
          <w:rtl w:val="0"/>
        </w:rPr>
        <w:t xml:space="preserve">  o  </w:t>
      </w:r>
      <w:r w:rsidDel="00000000" w:rsidR="00000000" w:rsidRPr="00000000">
        <w:rPr>
          <w:b w:val="1"/>
          <w:bCs w:val="1"/>
          <w:rtl w:val="0"/>
        </w:rPr>
        <w:t xml:space="preserve">Franep</w:t>
      </w:r>
      <w:r w:rsidDel="00000000" w:rsidR="00000000" w:rsidRPr="00000000">
        <w:rPr>
          <w:rtl w:val="0"/>
        </w:rPr>
        <w:t xml:space="preserve"> , se posiciona como el ecosistema digital definitivo para la aceleración de inversiones y la formalización empresarial en Bolivia. Su visión estratégica es actuar como un puente de confianza que elimine la opacidad en las transacciones comerciales, transformando la manera en que los dueños de negocios captan capital y cómo los inversionistas gestionan su rentabilidad. Más que un simple directorio, Frane se concibe como una infraestructura de gestión integral que centraliza franquicias, sociedades comerciales constituidas y emprendimientos de alto impacto (MIPEs). Al integrar seguridad jurídica de vanguardia con herramientas de monitoreo en tiempo real, la plataforma garantiza que el crecimiento empresarial en el país sea ordenado, legalmente blindado y financieramente transparente. Esta arquitectura robusta se fundamenta en una segmentación precisa diseñada para cubrir todas las etapas de madurez de un negocio en el mercado local.</w:t>
      </w:r>
    </w:p>
    <w:p w:rsidR="00000000" w:rsidDel="00000000" w:rsidP="00000000" w:rsidRDefault="00000000" w:rsidRPr="00000000" w14:paraId="00000005">
      <w:pPr>
        <w:pStyle w:val="Heading4"/>
        <w:rPr/>
      </w:pPr>
      <w:bookmarkStart w:colFirst="0" w:colLast="0" w:name="_8swlci6i49oh" w:id="3"/>
      <w:bookmarkEnd w:id="3"/>
      <w:r w:rsidDel="00000000" w:rsidR="00000000" w:rsidRPr="00000000">
        <w:rPr>
          <w:rtl w:val="0"/>
        </w:rPr>
        <w:t xml:space="preserve">2. Segmentación del Ecosistema de Inversión</w:t>
      </w:r>
    </w:p>
    <w:p w:rsidR="00000000" w:rsidDel="00000000" w:rsidP="00000000" w:rsidRDefault="00000000" w:rsidRPr="00000000" w14:paraId="00000006">
      <w:pPr>
        <w:rPr/>
      </w:pPr>
      <w:r w:rsidDel="00000000" w:rsidR="00000000" w:rsidRPr="00000000">
        <w:rPr>
          <w:rtl w:val="0"/>
        </w:rPr>
        <w:t xml:space="preserve">La segmentación no es solo una división organizativa, sino una respuesta técnica a la complejidad del marco legal boliviano (SEPREC/SENAPI). Cada tipo de inversión demanda un protocolo de seguridad y una estructura de contrato diferenciada para proteger los activos y asegurar el retorno de inversión.</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Franquicias (Individuales, Departamentales y Nacionales):</w:t>
      </w:r>
      <w:r w:rsidDel="00000000" w:rsidR="00000000" w:rsidRPr="00000000">
        <w:rPr>
          <w:rtl w:val="0"/>
        </w:rPr>
        <w:t xml:space="preserve">  La propuesta de valor central es la comercialización del éxito probado. La plataforma permite la gestión de cánones de entrada y la transferencia controlada de manuales operativos y secretos comerciales. El impacto radica en permitir que una marca nacional se expanda mediante subfranquicias territoriales, asegurando que el franquiciante mantenga el control de su propiedad intelectual en cada nuevo punto de venta.</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Sociedades Comerciales (SRL y SA):</w:t>
      </w:r>
      <w:r w:rsidDel="00000000" w:rsidR="00000000" w:rsidRPr="00000000">
        <w:rPr>
          <w:rtl w:val="0"/>
        </w:rPr>
        <w:t xml:space="preserve">  Este segmento profesionaliza la inyección de capital en empresas ya operativas. La plataforma distingue técnicamente entre la venta de "capital social" para las Sociedades de Responsabilidad Limitada (SRL) y la emisión de "acciones" para las Sociedades Anónimas (SA). El "So What?" estratégico es el desbloqueo de liquidez: permitimos que empresas con proyectos de gran escala, pero flujo limitado, accedan a socios capitalistas de por vida sin depender de la banca tradicional.</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Sociedades Accidentales o de Cuentas en Participación:</w:t>
      </w:r>
      <w:r w:rsidDel="00000000" w:rsidR="00000000" w:rsidRPr="00000000">
        <w:rPr>
          <w:rtl w:val="0"/>
        </w:rPr>
        <w:t xml:space="preserve">  Dirigido a proyectos con temporalidad definida, como los ejecutados en el marco de la Fexpocruz. El valor aquí es la agilidad; la plataforma facilita la unión transitoria de dos o más entidades para un fin específico, disolviéndose al concluir el proyecto, lo que dinamiza la participación en licitaciones y eventos de gran magnitud.</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Emprendimientos (MIPEs / Startups):</w:t>
      </w:r>
      <w:r w:rsidDel="00000000" w:rsidR="00000000" w:rsidRPr="00000000">
        <w:rPr>
          <w:rtl w:val="0"/>
        </w:rPr>
        <w:t xml:space="preserve">  Bajo un modelo de "incubación y visibilidad", la plataforma actúa como asesor de formalización para negocios con alto potencial pero nulo capital inicial. Inspirado en el modelo de exclusividad de RE/MAX, se establece un contrato donde la plataforma se convierte en el gestor exclusivo de la estructuración societaria ante el SEPREC, asegurando que la idea validada se convierta en una empresa lista para su primera ronda de inversión.</w:t>
      </w:r>
    </w:p>
    <w:p w:rsidR="00000000" w:rsidDel="00000000" w:rsidP="00000000" w:rsidRDefault="00000000" w:rsidRPr="00000000" w14:paraId="0000000B">
      <w:pPr>
        <w:rPr/>
      </w:pPr>
      <w:r w:rsidDel="00000000" w:rsidR="00000000" w:rsidRPr="00000000">
        <w:rPr>
          <w:rtl w:val="0"/>
        </w:rPr>
        <w:t xml:space="preserve">Estos segmentos convergen en una arquitectura financiera diseñada para la sostenibilidad, donde cada transacción genera un flujo de ingresos claro para el ecosistema.</w:t>
      </w:r>
    </w:p>
    <w:p w:rsidR="00000000" w:rsidDel="00000000" w:rsidP="00000000" w:rsidRDefault="00000000" w:rsidRPr="00000000" w14:paraId="0000000C">
      <w:pPr>
        <w:pStyle w:val="Heading1"/>
        <w:rPr/>
      </w:pPr>
      <w:bookmarkStart w:colFirst="0" w:colLast="0" w:name="_pan78n7529ui" w:id="4"/>
      <w:bookmarkEnd w:id="4"/>
      <w:r w:rsidDel="00000000" w:rsidR="00000000" w:rsidRPr="00000000">
        <w:rPr>
          <w:rtl w:val="0"/>
        </w:rPr>
        <w:t xml:space="preserve">3. Modelo de Monetización y Sostenibilidad Financiera</w:t>
      </w:r>
    </w:p>
    <w:p w:rsidR="00000000" w:rsidDel="00000000" w:rsidP="00000000" w:rsidRDefault="00000000" w:rsidRPr="00000000" w14:paraId="0000000D">
      <w:pPr>
        <w:rPr/>
      </w:pPr>
      <w:r w:rsidDel="00000000" w:rsidR="00000000" w:rsidRPr="00000000">
        <w:rPr>
          <w:rtl w:val="0"/>
        </w:rPr>
        <w:t xml:space="preserve">Para garantizar la escalabilidad tecnológica, se ha definido una estructura de cobros diversificada que captura valor tanto en la entrada como en la operación continua de los negocios:</w:t>
      </w:r>
    </w:p>
    <w:p w:rsidR="00000000" w:rsidDel="00000000" w:rsidP="00000000" w:rsidRDefault="00000000" w:rsidRPr="00000000" w14:paraId="0000000E">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600"/>
        <w:gridCol w:w="4400"/>
        <w:tblGridChange w:id="0">
          <w:tblGrid>
            <w:gridCol w:w="3000"/>
            <w:gridCol w:w="2600"/>
            <w:gridCol w:w="4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00F">
            <w:pPr>
              <w:spacing w:line="240" w:lineRule="auto"/>
              <w:rPr/>
            </w:pPr>
            <w:r w:rsidDel="00000000" w:rsidR="00000000" w:rsidRPr="00000000">
              <w:rPr>
                <w:b w:val="1"/>
                <w:bCs w:val="1"/>
                <w:rtl w:val="0"/>
              </w:rPr>
              <w:t xml:space="preserve">Concepto</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010">
            <w:pPr>
              <w:spacing w:line="240" w:lineRule="auto"/>
              <w:rPr/>
            </w:pPr>
            <w:r w:rsidDel="00000000" w:rsidR="00000000" w:rsidRPr="00000000">
              <w:rPr>
                <w:b w:val="1"/>
                <w:bCs w:val="1"/>
                <w:rtl w:val="0"/>
              </w:rPr>
              <w:t xml:space="preserve">Porcentaje / Monto Estimado</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011">
            <w:pPr>
              <w:spacing w:line="240" w:lineRule="auto"/>
              <w:rPr/>
            </w:pPr>
            <w:r w:rsidDel="00000000" w:rsidR="00000000" w:rsidRPr="00000000">
              <w:rPr>
                <w:b w:val="1"/>
                <w:bCs w:val="1"/>
                <w:rtl w:val="0"/>
              </w:rPr>
              <w:t xml:space="preserve">Mecanismo de Captura</w:t>
            </w:r>
            <w:r w:rsidDel="00000000" w:rsidR="00000000" w:rsidRPr="00000000">
              <w:rPr>
                <w:rtl w:val="0"/>
              </w:rPr>
            </w:r>
          </w:p>
        </w:tc>
      </w:tr>
      <w:tr>
        <w:trPr>
          <w:cantSplit w:val="0"/>
          <w:tblHeader w:val="0"/>
        </w:trPr>
        <w:tc>
          <w:tcPr>
            <w:tcBorders>
              <w:top w:color="000000" w:space="0" w:sz="12" w:val="single"/>
            </w:tcBorders>
          </w:tcPr>
          <w:p w:rsidR="00000000" w:rsidDel="00000000" w:rsidP="00000000" w:rsidRDefault="00000000" w:rsidRPr="00000000" w14:paraId="00000012">
            <w:pPr>
              <w:spacing w:line="240" w:lineRule="auto"/>
              <w:rPr/>
            </w:pPr>
            <w:r w:rsidDel="00000000" w:rsidR="00000000" w:rsidRPr="00000000">
              <w:rPr>
                <w:b w:val="1"/>
                <w:bCs w:val="1"/>
                <w:rtl w:val="0"/>
              </w:rPr>
              <w:t xml:space="preserve">Canon de Entrada (Franquicias)</w:t>
            </w:r>
            <w:r w:rsidDel="00000000" w:rsidR="00000000" w:rsidRPr="00000000">
              <w:rPr>
                <w:rtl w:val="0"/>
              </w:rPr>
            </w:r>
          </w:p>
        </w:tc>
        <w:tc>
          <w:tcPr>
            <w:tcBorders>
              <w:top w:color="000000" w:space="0" w:sz="12" w:val="single"/>
            </w:tcBorders>
          </w:tcPr>
          <w:p w:rsidR="00000000" w:rsidDel="00000000" w:rsidP="00000000" w:rsidRDefault="00000000" w:rsidRPr="00000000" w14:paraId="00000013">
            <w:pPr>
              <w:spacing w:line="240" w:lineRule="auto"/>
              <w:rPr/>
            </w:pPr>
            <w:r w:rsidDel="00000000" w:rsidR="00000000" w:rsidRPr="00000000">
              <w:rPr>
                <w:rtl w:val="0"/>
              </w:rPr>
              <w:t xml:space="preserve">3% del monto total (Ej. $150 de un canon de $5,000)</w:t>
            </w:r>
          </w:p>
        </w:tc>
        <w:tc>
          <w:tcPr>
            <w:tcBorders>
              <w:top w:color="000000" w:space="0" w:sz="12" w:val="single"/>
            </w:tcBorders>
          </w:tcPr>
          <w:p w:rsidR="00000000" w:rsidDel="00000000" w:rsidP="00000000" w:rsidRDefault="00000000" w:rsidRPr="00000000" w14:paraId="00000014">
            <w:pPr>
              <w:spacing w:line="240" w:lineRule="auto"/>
              <w:rPr/>
            </w:pPr>
            <w:r w:rsidDel="00000000" w:rsidR="00000000" w:rsidRPr="00000000">
              <w:rPr>
                <w:rtl w:val="0"/>
              </w:rPr>
              <w:t xml:space="preserve">Corretaje (Brokerage) por la venta inicial de la marca.</w:t>
            </w:r>
          </w:p>
        </w:tc>
      </w:tr>
      <w:tr>
        <w:trPr>
          <w:cantSplit w:val="0"/>
          <w:tblHeader w:val="0"/>
        </w:trPr>
        <w:tc>
          <w:tcPr/>
          <w:p w:rsidR="00000000" w:rsidDel="00000000" w:rsidP="00000000" w:rsidRDefault="00000000" w:rsidRPr="00000000" w14:paraId="00000015">
            <w:pPr>
              <w:spacing w:line="240" w:lineRule="auto"/>
              <w:rPr/>
            </w:pPr>
            <w:r w:rsidDel="00000000" w:rsidR="00000000" w:rsidRPr="00000000">
              <w:rPr>
                <w:b w:val="1"/>
                <w:bCs w:val="1"/>
                <w:rtl w:val="0"/>
              </w:rPr>
              <w:t xml:space="preserve">Regalías (Royalties)</w:t>
            </w:r>
            <w:r w:rsidDel="00000000" w:rsidR="00000000" w:rsidRPr="00000000">
              <w:rPr>
                <w:rtl w:val="0"/>
              </w:rPr>
            </w:r>
          </w:p>
        </w:tc>
        <w:tc>
          <w:tcPr/>
          <w:p w:rsidR="00000000" w:rsidDel="00000000" w:rsidP="00000000" w:rsidRDefault="00000000" w:rsidRPr="00000000" w14:paraId="00000016">
            <w:pPr>
              <w:spacing w:line="240" w:lineRule="auto"/>
              <w:rPr/>
            </w:pPr>
            <w:r w:rsidDel="00000000" w:rsidR="00000000" w:rsidRPr="00000000">
              <w:rPr>
                <w:rtl w:val="0"/>
              </w:rPr>
              <w:t xml:space="preserve">3% - 8% de ventas/utilidades</w:t>
            </w:r>
          </w:p>
        </w:tc>
        <w:tc>
          <w:tcPr/>
          <w:p w:rsidR="00000000" w:rsidDel="00000000" w:rsidP="00000000" w:rsidRDefault="00000000" w:rsidRPr="00000000" w14:paraId="00000017">
            <w:pPr>
              <w:spacing w:line="240" w:lineRule="auto"/>
              <w:rPr/>
            </w:pPr>
            <w:r w:rsidDel="00000000" w:rsidR="00000000" w:rsidRPr="00000000">
              <w:rPr>
                <w:rtl w:val="0"/>
              </w:rPr>
              <w:t xml:space="preserve">Cobro porcentual recurrente (mensual o anual) supervisado por la plataforma.</w:t>
            </w:r>
          </w:p>
        </w:tc>
      </w:tr>
      <w:tr>
        <w:trPr>
          <w:cantSplit w:val="0"/>
          <w:tblHeader w:val="0"/>
        </w:trPr>
        <w:tc>
          <w:tcPr/>
          <w:p w:rsidR="00000000" w:rsidDel="00000000" w:rsidP="00000000" w:rsidRDefault="00000000" w:rsidRPr="00000000" w14:paraId="00000018">
            <w:pPr>
              <w:spacing w:line="240" w:lineRule="auto"/>
              <w:rPr/>
            </w:pPr>
            <w:r w:rsidDel="00000000" w:rsidR="00000000" w:rsidRPr="00000000">
              <w:rPr>
                <w:b w:val="1"/>
                <w:bCs w:val="1"/>
                <w:rtl w:val="0"/>
              </w:rPr>
              <w:t xml:space="preserve">Inyección de Capital (Sociedades)</w:t>
            </w:r>
            <w:r w:rsidDel="00000000" w:rsidR="00000000" w:rsidRPr="00000000">
              <w:rPr>
                <w:rtl w:val="0"/>
              </w:rPr>
            </w:r>
          </w:p>
        </w:tc>
        <w:tc>
          <w:tcPr/>
          <w:p w:rsidR="00000000" w:rsidDel="00000000" w:rsidP="00000000" w:rsidRDefault="00000000" w:rsidRPr="00000000" w14:paraId="00000019">
            <w:pPr>
              <w:spacing w:line="240" w:lineRule="auto"/>
              <w:rPr/>
            </w:pPr>
            <w:r w:rsidDel="00000000" w:rsidR="00000000" w:rsidRPr="00000000">
              <w:rPr>
                <w:rtl w:val="0"/>
              </w:rPr>
              <w:t xml:space="preserve">Porcentaje a negociar / Fee de cierre</w:t>
            </w:r>
          </w:p>
        </w:tc>
        <w:tc>
          <w:tcPr/>
          <w:p w:rsidR="00000000" w:rsidDel="00000000" w:rsidP="00000000" w:rsidRDefault="00000000" w:rsidRPr="00000000" w14:paraId="0000001A">
            <w:pPr>
              <w:spacing w:line="240" w:lineRule="auto"/>
              <w:rPr/>
            </w:pPr>
            <w:r w:rsidDel="00000000" w:rsidR="00000000" w:rsidRPr="00000000">
              <w:rPr>
                <w:rtl w:val="0"/>
              </w:rPr>
              <w:t xml:space="preserve">Comisión por mediación (Broker) en la entrada de nuevos socios capitalistas.</w:t>
            </w:r>
          </w:p>
        </w:tc>
      </w:tr>
      <w:tr>
        <w:trPr>
          <w:cantSplit w:val="0"/>
          <w:tblHeader w:val="0"/>
        </w:trPr>
        <w:tc>
          <w:tcPr/>
          <w:p w:rsidR="00000000" w:rsidDel="00000000" w:rsidP="00000000" w:rsidRDefault="00000000" w:rsidRPr="00000000" w14:paraId="0000001B">
            <w:pPr>
              <w:spacing w:line="240" w:lineRule="auto"/>
              <w:rPr/>
            </w:pPr>
            <w:r w:rsidDel="00000000" w:rsidR="00000000" w:rsidRPr="00000000">
              <w:rPr>
                <w:b w:val="1"/>
                <w:bCs w:val="1"/>
                <w:rtl w:val="0"/>
              </w:rPr>
              <w:t xml:space="preserve">Asesorías Técnicas</w:t>
            </w:r>
            <w:r w:rsidDel="00000000" w:rsidR="00000000" w:rsidRPr="00000000">
              <w:rPr>
                <w:rtl w:val="0"/>
              </w:rPr>
            </w:r>
          </w:p>
        </w:tc>
        <w:tc>
          <w:tcPr/>
          <w:p w:rsidR="00000000" w:rsidDel="00000000" w:rsidP="00000000" w:rsidRDefault="00000000" w:rsidRPr="00000000" w14:paraId="0000001C">
            <w:pPr>
              <w:spacing w:line="240" w:lineRule="auto"/>
              <w:rPr/>
            </w:pPr>
            <w:r w:rsidDel="00000000" w:rsidR="00000000" w:rsidRPr="00000000">
              <w:rPr>
                <w:rtl w:val="0"/>
              </w:rPr>
              <w:t xml:space="preserve">20% sobre el costo del servicio</w:t>
            </w:r>
          </w:p>
        </w:tc>
        <w:tc>
          <w:tcPr/>
          <w:p w:rsidR="00000000" w:rsidDel="00000000" w:rsidP="00000000" w:rsidRDefault="00000000" w:rsidRPr="00000000" w14:paraId="0000001D">
            <w:pPr>
              <w:spacing w:line="240" w:lineRule="auto"/>
              <w:rPr/>
            </w:pPr>
            <w:r w:rsidDel="00000000" w:rsidR="00000000" w:rsidRPr="00000000">
              <w:rPr>
                <w:rtl w:val="0"/>
              </w:rPr>
              <w:t xml:space="preserve">Comisión por servicios de contadores, abogados y economistas del marketplace interno.</w:t>
            </w:r>
          </w:p>
        </w:tc>
      </w:tr>
      <w:tr>
        <w:trPr>
          <w:cantSplit w:val="0"/>
          <w:tblHeader w:val="0"/>
        </w:trPr>
        <w:tc>
          <w:tcPr/>
          <w:p w:rsidR="00000000" w:rsidDel="00000000" w:rsidP="00000000" w:rsidRDefault="00000000" w:rsidRPr="00000000" w14:paraId="0000001E">
            <w:pPr>
              <w:spacing w:line="240" w:lineRule="auto"/>
              <w:rPr/>
            </w:pPr>
            <w:r w:rsidDel="00000000" w:rsidR="00000000" w:rsidRPr="00000000">
              <w:rPr>
                <w:b w:val="1"/>
                <w:bCs w:val="1"/>
                <w:rtl w:val="0"/>
              </w:rPr>
              <w:t xml:space="preserve">Membresía de Visibilidad</w:t>
            </w:r>
            <w:r w:rsidDel="00000000" w:rsidR="00000000" w:rsidRPr="00000000">
              <w:rPr>
                <w:rtl w:val="0"/>
              </w:rPr>
            </w:r>
          </w:p>
        </w:tc>
        <w:tc>
          <w:tcPr/>
          <w:p w:rsidR="00000000" w:rsidDel="00000000" w:rsidP="00000000" w:rsidRDefault="00000000" w:rsidRPr="00000000" w14:paraId="0000001F">
            <w:pPr>
              <w:spacing w:line="240" w:lineRule="auto"/>
              <w:rPr/>
            </w:pPr>
            <w:r w:rsidDel="00000000" w:rsidR="00000000" w:rsidRPr="00000000">
              <w:rPr>
                <w:rtl w:val="0"/>
              </w:rPr>
              <w:t xml:space="preserve">Monto fijo anual (Fase 2)</w:t>
            </w:r>
          </w:p>
        </w:tc>
        <w:tc>
          <w:tcPr/>
          <w:p w:rsidR="00000000" w:rsidDel="00000000" w:rsidP="00000000" w:rsidRDefault="00000000" w:rsidRPr="00000000" w14:paraId="00000020">
            <w:pPr>
              <w:spacing w:line="240" w:lineRule="auto"/>
              <w:rPr/>
            </w:pPr>
            <w:r w:rsidDel="00000000" w:rsidR="00000000" w:rsidRPr="00000000">
              <w:rPr>
                <w:rtl w:val="0"/>
              </w:rPr>
              <w:t xml:space="preserve">Cuota por mantenimiento de perfil y acceso a base de datos de inversionistas.</w:t>
            </w:r>
          </w:p>
        </w:tc>
      </w:tr>
    </w:tbl>
    <w:p w:rsidR="00000000" w:rsidDel="00000000" w:rsidP="00000000" w:rsidRDefault="00000000" w:rsidRPr="00000000" w14:paraId="00000021">
      <w:pPr>
        <w:rPr/>
      </w:pPr>
      <w:r w:rsidDel="00000000" w:rsidR="00000000" w:rsidRPr="00000000">
        <w:rPr>
          <w:rtl w:val="0"/>
        </w:rPr>
        <w:t xml:space="preserve">La viabilidad de este modelo depende de la capacidad de la plataforma para evitar las "ventas por fuera", lo cual se resuelve mediante un blindaje de seguridad y control jurídico sin precedentes.</w:t>
      </w:r>
    </w:p>
    <w:p w:rsidR="00000000" w:rsidDel="00000000" w:rsidP="00000000" w:rsidRDefault="00000000" w:rsidRPr="00000000" w14:paraId="00000022">
      <w:pPr>
        <w:pStyle w:val="Heading4"/>
        <w:rPr/>
      </w:pPr>
      <w:bookmarkStart w:colFirst="0" w:colLast="0" w:name="_nrym0jz7fyfv" w:id="5"/>
      <w:bookmarkEnd w:id="5"/>
      <w:r w:rsidDel="00000000" w:rsidR="00000000" w:rsidRPr="00000000">
        <w:rPr>
          <w:rtl w:val="0"/>
        </w:rPr>
        <w:t xml:space="preserve">4. Arquitectura de Seguridad y Control Jurídico</w:t>
      </w:r>
    </w:p>
    <w:p w:rsidR="00000000" w:rsidDel="00000000" w:rsidP="00000000" w:rsidRDefault="00000000" w:rsidRPr="00000000" w14:paraId="00000023">
      <w:pPr>
        <w:rPr/>
      </w:pPr>
      <w:r w:rsidDel="00000000" w:rsidR="00000000" w:rsidRPr="00000000">
        <w:rPr>
          <w:rtl w:val="0"/>
        </w:rPr>
        <w:t xml:space="preserve">La confianza digital en Frane se construye sobre la imposibilidad del repudio de los actos comerciales. La plataforma no es un espectador, es el garante de que cada acuerdo sea ejecutable judicialmente.</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Integración con Ciudadanía Digital (AGETIC):</w:t>
      </w:r>
      <w:r w:rsidDel="00000000" w:rsidR="00000000" w:rsidRPr="00000000">
        <w:rPr>
          <w:rtl w:val="0"/>
        </w:rPr>
        <w:t xml:space="preserve">  Este es el "Gatekeeper" del sistema. Ningún usuario puede visualizar detalles sensibles (ROI real, recetas, manuales operativos) sin antes validar su identidad y firmar digitalmente un  </w:t>
      </w:r>
      <w:r w:rsidDel="00000000" w:rsidR="00000000" w:rsidRPr="00000000">
        <w:rPr>
          <w:b w:val="1"/>
          <w:bCs w:val="1"/>
          <w:rtl w:val="0"/>
        </w:rPr>
        <w:t xml:space="preserve">Acuerdo de Confidencialidad (NDA)</w:t>
      </w:r>
      <w:r w:rsidDel="00000000" w:rsidR="00000000" w:rsidRPr="00000000">
        <w:rPr>
          <w:rtl w:val="0"/>
        </w:rPr>
        <w:t xml:space="preserve">  no repudiable. Esto permite que, ante cualquier intento de robo de propiedad intelectual o contacto directo extralegal, la plataforma pueda iniciar cobros judiciales inmediatos con plena validez legal.</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Sistema de Monitoreo Contable e "Internal Platform":</w:t>
      </w:r>
      <w:r w:rsidDel="00000000" w:rsidR="00000000" w:rsidRPr="00000000">
        <w:rPr>
          <w:rtl w:val="0"/>
        </w:rPr>
        <w:t xml:space="preserve">  Para resolver la opacidad financiera, se implementará una plataforma interna de reporte obligatorio. Los franquiciados y socios deben cargar su contabilidad en tiempo real, permitiendo que el franquiciante o inversionista controle sus regalías y utilidades de manera transparente, eliminando el riesgo de sub-reporte de ventas.</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Visualización Geográfica (Mapa de Bolivia):</w:t>
      </w:r>
      <w:r w:rsidDel="00000000" w:rsidR="00000000" w:rsidRPr="00000000">
        <w:rPr>
          <w:rtl w:val="0"/>
        </w:rPr>
        <w:t xml:space="preserve">  Como herramienta de arquitectura de producto, se integrará un mapa dinámico con "pins" que identifiquen casas matrices y sucursales. Esto permite a los inversionistas visualizar la densidad de mercado y la ubicación exacta de sus activos, facilitando la toma de decisiones basada en datos geográficos.</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Contratos de Exclusividad y Buena Fe:</w:t>
      </w:r>
      <w:r w:rsidDel="00000000" w:rsidR="00000000" w:rsidRPr="00000000">
        <w:rPr>
          <w:rtl w:val="0"/>
        </w:rPr>
        <w:t xml:space="preserve">  Basados en el principio de exclusividad mutua, si un negocio se concreta de manera externa tras el contacto inicial en la plataforma, la trazabilidad digital de la Ciudadanía Digital sirve como prueba pre-constituida para la ejecución de comisiones pendientes.</w:t>
      </w:r>
    </w:p>
    <w:p w:rsidR="00000000" w:rsidDel="00000000" w:rsidP="00000000" w:rsidRDefault="00000000" w:rsidRPr="00000000" w14:paraId="00000028">
      <w:pPr>
        <w:rPr/>
      </w:pPr>
      <w:r w:rsidDel="00000000" w:rsidR="00000000" w:rsidRPr="00000000">
        <w:rPr>
          <w:rtl w:val="0"/>
        </w:rPr>
        <w:t xml:space="preserve">Esta solidez operativa es el cimiento de la hoja de ruta hacia la expansión nacional e internacional.</w:t>
      </w:r>
    </w:p>
    <w:p w:rsidR="00000000" w:rsidDel="00000000" w:rsidP="00000000" w:rsidRDefault="00000000" w:rsidRPr="00000000" w14:paraId="00000029">
      <w:pPr>
        <w:pStyle w:val="Heading4"/>
        <w:rPr/>
      </w:pPr>
      <w:bookmarkStart w:colFirst="0" w:colLast="0" w:name="_f11cai72i5cd" w:id="6"/>
      <w:bookmarkEnd w:id="6"/>
      <w:r w:rsidDel="00000000" w:rsidR="00000000" w:rsidRPr="00000000">
        <w:rPr>
          <w:rtl w:val="0"/>
        </w:rPr>
        <w:t xml:space="preserve">5. Hoja de Ruta y Alianzas Estratégicas</w:t>
      </w:r>
    </w:p>
    <w:p w:rsidR="00000000" w:rsidDel="00000000" w:rsidP="00000000" w:rsidRDefault="00000000" w:rsidRPr="00000000" w14:paraId="0000002A">
      <w:pPr>
        <w:rPr/>
      </w:pPr>
      <w:r w:rsidDel="00000000" w:rsidR="00000000" w:rsidRPr="00000000">
        <w:rPr>
          <w:rtl w:val="0"/>
        </w:rPr>
        <w:t xml:space="preserve">El despliegue de Frane se divide en tres fases críticas, priorizando la consolidación legal antes de la masificación comercial.</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Fase 1: Registro y Blindaje Intelectual:</w:t>
      </w:r>
      <w:r w:rsidDel="00000000" w:rsidR="00000000" w:rsidRPr="00000000">
        <w:rPr>
          <w:rtl w:val="0"/>
        </w:rPr>
        <w:t xml:space="preserve">  Registro de marca ante el SENAPI y depósito de software. Se debe considerar el  </w:t>
      </w:r>
      <w:r w:rsidDel="00000000" w:rsidR="00000000" w:rsidRPr="00000000">
        <w:rPr>
          <w:b w:val="1"/>
          <w:bCs w:val="1"/>
          <w:rtl w:val="0"/>
        </w:rPr>
        <w:t xml:space="preserve">tiempo de espera de 6 meses</w:t>
      </w:r>
      <w:r w:rsidDel="00000000" w:rsidR="00000000" w:rsidRPr="00000000">
        <w:rPr>
          <w:rtl w:val="0"/>
        </w:rPr>
        <w:t xml:space="preserve">  que exige el procedimiento de SENAPI para la consolidación de la marca. Durante este periodo, se finalizará el MVP (Producto Mínimo Viable).</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Fase 2: Alianzas Clave y Adopción:</w:t>
      </w:r>
      <w:r w:rsidDel="00000000" w:rsidR="00000000" w:rsidRPr="00000000">
        <w:rPr>
          <w:rtl w:val="0"/>
        </w:rPr>
        <w:t xml:space="preserve">  Mapeo de actores estratégicos como Gobernaciones, Alcaldías y CAINCO. Se buscará integrar los Centros de Emprendimiento (CAPs) para que sus afiliados se registren en Frane, utilizando la plataforma como su herramienta oficial de gestión y formalización.</w:t>
      </w:r>
    </w:p>
    <w:p w:rsidR="00000000" w:rsidDel="00000000" w:rsidP="00000000" w:rsidRDefault="00000000" w:rsidRPr="00000000" w14:paraId="0000002D">
      <w:pPr>
        <w:numPr>
          <w:ilvl w:val="0"/>
          <w:numId w:val="5"/>
        </w:numPr>
        <w:ind w:left="720" w:hanging="360"/>
      </w:pPr>
      <w:r w:rsidDel="00000000" w:rsidR="00000000" w:rsidRPr="00000000">
        <w:rPr>
          <w:b w:val="1"/>
          <w:bCs w:val="1"/>
          <w:rtl w:val="0"/>
        </w:rPr>
        <w:t xml:space="preserve">Fase 3: Expansión e Intercambio Internacional:</w:t>
      </w:r>
      <w:r w:rsidDel="00000000" w:rsidR="00000000" w:rsidRPr="00000000">
        <w:rPr>
          <w:rtl w:val="0"/>
        </w:rPr>
        <w:t xml:space="preserve">  Proyección hacia mercados como Argentina o Estados Unidos. Se habilitarán pasarelas de pago internacionales (PayPal) y un sistema de  </w:t>
      </w:r>
      <w:r w:rsidDel="00000000" w:rsidR="00000000" w:rsidRPr="00000000">
        <w:rPr>
          <w:b w:val="1"/>
          <w:bCs w:val="1"/>
          <w:rtl w:val="0"/>
        </w:rPr>
        <w:t xml:space="preserve">fiscalización digital transfronteriza</w:t>
      </w:r>
      <w:r w:rsidDel="00000000" w:rsidR="00000000" w:rsidRPr="00000000">
        <w:rPr>
          <w:rtl w:val="0"/>
        </w:rPr>
        <w:t xml:space="preserve"> , permitiendo a empresarios bolivianos exportar sus franquicias y a inversionistas extranjeros inyectar capital en Bolivia con seguridad jurídica.</w:t>
      </w:r>
    </w:p>
    <w:p w:rsidR="00000000" w:rsidDel="00000000" w:rsidP="00000000" w:rsidRDefault="00000000" w:rsidRPr="00000000" w14:paraId="0000002E">
      <w:pPr>
        <w:rPr/>
      </w:pPr>
      <w:r w:rsidDel="00000000" w:rsidR="00000000" w:rsidRPr="00000000">
        <w:rPr>
          <w:rtl w:val="0"/>
        </w:rPr>
        <w:t xml:space="preserve">Para sostener este crecimiento, la gobernanza interna de los fundadores debe ser inquebrantable.</w:t>
      </w:r>
    </w:p>
    <w:p w:rsidR="00000000" w:rsidDel="00000000" w:rsidP="00000000" w:rsidRDefault="00000000" w:rsidRPr="00000000" w14:paraId="0000002F">
      <w:pPr>
        <w:pStyle w:val="Heading4"/>
        <w:rPr/>
      </w:pPr>
      <w:bookmarkStart w:colFirst="0" w:colLast="0" w:name="_pjzyf0m63flf" w:id="7"/>
      <w:bookmarkEnd w:id="7"/>
      <w:r w:rsidDel="00000000" w:rsidR="00000000" w:rsidRPr="00000000">
        <w:rPr>
          <w:rtl w:val="0"/>
        </w:rPr>
        <w:t xml:space="preserve">6. Estructura de la Sociedad y Gobernanza</w:t>
      </w:r>
    </w:p>
    <w:p w:rsidR="00000000" w:rsidDel="00000000" w:rsidP="00000000" w:rsidRDefault="00000000" w:rsidRPr="00000000" w14:paraId="00000030">
      <w:pPr>
        <w:rPr/>
      </w:pPr>
      <w:r w:rsidDel="00000000" w:rsidR="00000000" w:rsidRPr="00000000">
        <w:rPr>
          <w:rtl w:val="0"/>
        </w:rPr>
        <w:t xml:space="preserve">El compromiso del equipo fundador es la garantía de éxito ante futuros inversionistas de capital de riesgo. La sociedad se estructura bajo los siguientes términos:</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Distribución de Capital 50/50:</w:t>
      </w:r>
      <w:r w:rsidDel="00000000" w:rsidR="00000000" w:rsidRPr="00000000">
        <w:rPr>
          <w:rtl w:val="0"/>
        </w:rPr>
        <w:t xml:space="preserve">  Se establece un esquema de participación equitativa, pero con un compromiso de  </w:t>
      </w:r>
      <w:r w:rsidDel="00000000" w:rsidR="00000000" w:rsidRPr="00000000">
        <w:rPr>
          <w:b w:val="1"/>
          <w:bCs w:val="1"/>
          <w:rtl w:val="0"/>
        </w:rPr>
        <w:t xml:space="preserve">"Mentalidad de Mayoría de 3/4"</w:t>
      </w:r>
      <w:r w:rsidDel="00000000" w:rsidR="00000000" w:rsidRPr="00000000">
        <w:rPr>
          <w:rtl w:val="0"/>
        </w:rPr>
        <w:t xml:space="preserve"> . Esto significa que, al diluirse para atraer socios estratégicos (como cámaras de comercio o inversores ángeles), los fundadores originales acordarán actuar en bloque para mantener el control de las decisiones críticas.</w:t>
      </w:r>
    </w:p>
    <w:p w:rsidR="00000000" w:rsidDel="00000000" w:rsidP="00000000" w:rsidRDefault="00000000" w:rsidRPr="00000000" w14:paraId="00000032">
      <w:pPr>
        <w:numPr>
          <w:ilvl w:val="0"/>
          <w:numId w:val="4"/>
        </w:numPr>
        <w:ind w:left="720" w:hanging="360"/>
      </w:pPr>
      <w:r w:rsidDel="00000000" w:rsidR="00000000" w:rsidRPr="00000000">
        <w:rPr>
          <w:b w:val="1"/>
          <w:bCs w:val="1"/>
          <w:rtl w:val="0"/>
        </w:rPr>
        <w:t xml:space="preserve">Acuerdo de Compromiso y Exclusividad Mutua:</w:t>
      </w:r>
      <w:r w:rsidDel="00000000" w:rsidR="00000000" w:rsidRPr="00000000">
        <w:rPr>
          <w:rtl w:val="0"/>
        </w:rPr>
        <w:t xml:space="preserve">  Antes del registro oficial, los socios suscribirán un contrato privado de confidencialidad y exclusividad. Ningún socio podrá desarrollar proyectos paralelos que compitan con el ecosistema de Frane, blindando el capital intelectual del proyecto desde el día cero.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Próximos Pasos Inmediatos</w:t>
      </w:r>
      <w:r w:rsidDel="00000000" w:rsidR="00000000" w:rsidRPr="00000000">
        <w:rPr>
          <w:rtl w:val="0"/>
        </w:rPr>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Reunión Técnica (Fin de semana):</w:t>
      </w:r>
      <w:r w:rsidDel="00000000" w:rsidR="00000000" w:rsidRPr="00000000">
        <w:rPr>
          <w:rtl w:val="0"/>
        </w:rPr>
        <w:t xml:space="preserve">  Consolidación de la arquitectura de base de datos y revisión del código fuente del MVP.</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rtl w:val="0"/>
        </w:rPr>
        <w:t xml:space="preserve">Verificación de Nomenclatura:</w:t>
      </w:r>
      <w:r w:rsidDel="00000000" w:rsidR="00000000" w:rsidRPr="00000000">
        <w:rPr>
          <w:rtl w:val="0"/>
        </w:rPr>
        <w:t xml:space="preserve">  Consulta de disponibilidad de marca ante SENAPI para confirmar el uso de "Frane" o "Franep".</w:t>
      </w:r>
    </w:p>
    <w:p w:rsidR="00000000" w:rsidDel="00000000" w:rsidP="00000000" w:rsidRDefault="00000000" w:rsidRPr="00000000" w14:paraId="00000037">
      <w:pPr>
        <w:numPr>
          <w:ilvl w:val="0"/>
          <w:numId w:val="3"/>
        </w:numPr>
        <w:ind w:left="720" w:hanging="360"/>
        <w:rPr>
          <w:u w:val="none"/>
        </w:rPr>
      </w:pPr>
      <w:r w:rsidDel="00000000" w:rsidR="00000000" w:rsidRPr="00000000">
        <w:rPr>
          <w:b w:val="1"/>
          <w:bCs w:val="1"/>
          <w:rtl w:val="0"/>
        </w:rPr>
        <w:t xml:space="preserve">Gestión AGETIC:</w:t>
      </w:r>
      <w:r w:rsidDel="00000000" w:rsidR="00000000" w:rsidRPr="00000000">
        <w:rPr>
          <w:rtl w:val="0"/>
        </w:rPr>
        <w:t xml:space="preserve">  Inicio de trámites para la integración de la API de Ciudadanía Digital para las validaciones de identidad en la fase de registro.</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