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生成式人工智能辅助写作对学术规范影响研究</w:t>
      </w:r>
    </w:p>
    <w:p>
      <w:r>
        <w:t>摘要：随着大语言模型技术的快速发展，生成式人工智能已经被广泛用于学术写作辅助场景。本文尝试讨论其对论文写作规范、研究透明度和学术诚信的影响。</w:t>
      </w:r>
    </w:p>
    <w:p>
      <w:r>
        <w:t>一、研究背景</w:t>
      </w:r>
    </w:p>
    <w:p>
      <w:r>
        <w:t>首先，研究者能够借助这类工具提升资料整理和语言表达效率，但如果过度依赖自动生成文本，也可能带来表达同质化与原创性削弱的问题。研究表明，这类工具在提高初稿效率方面具有明显优势，但也会增加对固定句式和模板化连接词的依赖。</w:t>
      </w:r>
    </w:p>
    <w:p>
      <w:r>
        <w:t>二、风险分析</w:t>
      </w:r>
    </w:p>
    <w:p>
      <w:r>
        <w:t>其次，从论文检测的角度来看，重复率风险和AIGC风险并不完全相同。部分文本虽然并不直接复制已有来源，但仍然可能因为句式结构高度规律化而被识别为较高的AI生成风险。值得注意的是，如果文本反复使用“首先、其次、综上所述”等总结性表达，也会提高整体风险判断。</w:t>
      </w:r>
    </w:p>
    <w:p>
      <w:r>
        <w:t>三、改写建议</w:t>
      </w:r>
    </w:p>
    <w:p>
      <w:r>
        <w:t>为了避免这一问题，研究者有必要提升句式变化能力，减少模板化衔接词，保留真实引用、数字和核心术语。同时，改写过程应坚持人工复核，确保论证逻辑和事实表述不被破坏。</w:t>
      </w:r>
    </w:p>
    <w:p>
      <w:r>
        <w:t>参考文献</w:t>
      </w:r>
    </w:p>
    <w:p>
      <w:r>
        <w:t>[1] 张三. 生成式人工智能与学术写作规范[J]. 学术研究, 2024.</w:t>
      </w:r>
    </w:p>
    <w:p>
      <w:r>
        <w:t>[2] 李四. 人工智能辅助写作中的原创性风险[M]. 北京: 某出版社, 2023.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