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A5118">
      <w:pPr>
        <w:pStyle w:val="2"/>
        <w:rPr>
          <w:rFonts w:hint="eastAsia" w:ascii="Microsoft YaHei UI" w:hAnsi="Microsoft YaHei UI" w:eastAsia="Microsoft YaHei UI"/>
          <w:color w:val="1F2937"/>
          <w:sz w:val="52"/>
          <w:szCs w:val="52"/>
        </w:rPr>
      </w:pPr>
      <w:r>
        <w:rPr>
          <w:rFonts w:hint="eastAsia" w:ascii="Microsoft YaHei UI" w:hAnsi="Microsoft YaHei UI" w:eastAsia="Microsoft YaHei UI"/>
          <w:color w:val="1F2937"/>
          <w:sz w:val="52"/>
          <w:szCs w:val="52"/>
        </w:rPr>
        <w:t>PT.Calibration 软件概要设计说明</w:t>
      </w:r>
    </w:p>
    <w:p w14:paraId="214364E1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项目名称：PT.Calibration</w:t>
      </w:r>
    </w:p>
    <w:p w14:paraId="5B2F6007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版本：V1.0</w:t>
      </w:r>
    </w:p>
    <w:p w14:paraId="4383DA50">
      <w:pPr>
        <w:spacing w:line="480" w:lineRule="auto"/>
        <w:jc w:val="center"/>
        <w:rPr>
          <w:rFonts w:hint="eastAsia" w:ascii="Microsoft YaHei UI" w:hAnsi="Microsoft YaHei UI" w:eastAsia="Microsoft YaHei UI"/>
          <w:color w:val="1F2937"/>
        </w:rPr>
      </w:pPr>
      <w:r>
        <w:rPr>
          <w:rFonts w:hint="eastAsia" w:ascii="Microsoft YaHei UI" w:hAnsi="Microsoft YaHei UI" w:eastAsia="Microsoft YaHei UI"/>
          <w:color w:val="1F2937"/>
        </w:rPr>
        <w:t>日期：2026-03-29</w:t>
      </w:r>
    </w:p>
    <w:p w14:paraId="345B0CE0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目录</w:t>
      </w:r>
    </w:p>
    <w:p w14:paraId="2409B0BD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1 引言</w:t>
      </w:r>
    </w:p>
    <w:p w14:paraId="22CE0174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2 系统概述</w:t>
      </w:r>
    </w:p>
    <w:p w14:paraId="541A7ADC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3 总体架构设计</w:t>
      </w:r>
    </w:p>
    <w:p w14:paraId="16E81AD9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4 功能模块设计</w:t>
      </w:r>
    </w:p>
    <w:p w14:paraId="615AB0E6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5 数据与报表总体设计</w:t>
      </w:r>
    </w:p>
    <w:p w14:paraId="6F415EFD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6 部署与运行环境设计</w:t>
      </w:r>
    </w:p>
    <w:p w14:paraId="39E5FE48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7 安全、权限与审计设计</w:t>
      </w:r>
    </w:p>
    <w:p w14:paraId="4758D910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8 非功能设计</w:t>
      </w:r>
    </w:p>
    <w:p w14:paraId="368C0A89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9 风险与分阶段实施建议</w:t>
      </w:r>
    </w:p>
    <w:p w14:paraId="357D0DCD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 引言</w:t>
      </w:r>
    </w:p>
    <w:p w14:paraId="198737C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1.1 编写目的</w:t>
      </w:r>
    </w:p>
    <w:p w14:paraId="7372CF7C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本文档用于说明 </w:t>
      </w:r>
      <w:r>
        <w:rPr>
          <w:rStyle w:val="10"/>
          <w:color w:val="1F2937"/>
        </w:rPr>
        <w:t>PT.Calibration</w:t>
      </w: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 xml:space="preserve"> 软件的总体设计方案，统一产品边界、系统分层、主要功能模块、数据存储方式以及部署与安全策略，为后续详细设计、开发实施和评审验收提供基线。</w:t>
      </w:r>
    </w:p>
    <w:p w14:paraId="168EC93A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1.2 适用范围</w:t>
      </w:r>
    </w:p>
    <w:p w14:paraId="7ECA6F3D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本说明书适用于基于压力控制器、万用表、高低温试验箱、电气切换矩阵和 DUT 参数下发通道组成的自动化标定系统。首版定位为单机工位、一次服务 1 个 DUT 的量产工位型客户端。</w:t>
      </w:r>
    </w:p>
    <w:p w14:paraId="371A67B4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1.3 术语与缩略语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1"/>
        <w:gridCol w:w="7425"/>
      </w:tblGrid>
      <w:tr w14:paraId="7FD891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937A4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术语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83A7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说明</w:t>
            </w:r>
          </w:p>
        </w:tc>
      </w:tr>
      <w:tr w14:paraId="30DA2F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EF8F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DUT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2B15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待测压力开关 Device Under Test。</w:t>
            </w:r>
          </w:p>
        </w:tc>
      </w:tr>
      <w:tr w14:paraId="63B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1B88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03F1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按料号管理的测试配方，承载压力、采样、温度、容差和通道映射配置。</w:t>
            </w:r>
          </w:p>
        </w:tc>
      </w:tr>
      <w:tr w14:paraId="299F1C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186F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TestRun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488C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一次完整标定与验证任务，关联 SN、配方、结果和报表。</w:t>
            </w:r>
          </w:p>
        </w:tc>
      </w:tr>
      <w:tr w14:paraId="5BBBB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D990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FS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5A29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Full Scale，满量程。</w:t>
            </w:r>
          </w:p>
        </w:tc>
      </w:tr>
      <w:tr w14:paraId="50469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4800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R²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0AA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拟合优度，用于判定最小二乘拟合是否合格。</w:t>
            </w:r>
          </w:p>
        </w:tc>
      </w:tr>
    </w:tbl>
    <w:p w14:paraId="3F88DEB1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1.4 参考资料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3766"/>
        <w:gridCol w:w="4133"/>
      </w:tblGrid>
      <w:tr w14:paraId="44C1E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4035F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2098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资料名称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4A52F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用途</w:t>
            </w:r>
          </w:p>
        </w:tc>
      </w:tr>
      <w:tr w14:paraId="4C1683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E79A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R1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DB21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《压力开关产品自动化标定与测试方案》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50B1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业务流程、设备组成、参数与异常处理依据。</w:t>
            </w:r>
          </w:p>
        </w:tc>
      </w:tr>
      <w:tr w14:paraId="5AB97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5C73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R2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8FE4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《最小二乘法计算方案及系数说明》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0779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拟合算法、系数意义和 R² 判定依据。</w:t>
            </w:r>
          </w:p>
        </w:tc>
      </w:tr>
      <w:tr w14:paraId="342ACF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5F4E7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R3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124D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.NET 8 / WPF / SQLite 资料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DF84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技术路线依据。</w:t>
            </w:r>
          </w:p>
        </w:tc>
      </w:tr>
    </w:tbl>
    <w:p w14:paraId="695DB612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 系统概述</w:t>
      </w:r>
    </w:p>
    <w:p w14:paraId="4B1EB8FD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2.1 建设目标</w:t>
      </w:r>
    </w:p>
    <w:p w14:paraId="74ABA3B0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软件目标是替代人工完成压力设定、温箱控制、实时采样、数据处理、拟合、参数下发和二次验证，形成完整“标定-验证”闭环，并保留全过程可追溯记录。</w:t>
      </w:r>
    </w:p>
    <w:p w14:paraId="77B398B6">
      <w:pPr>
        <w:numPr>
          <w:ilvl w:val="0"/>
          <w:numId w:val="1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将压力控制、采集、拟合和参数下发统一纳入可配置流程。</w:t>
      </w:r>
    </w:p>
    <w:p w14:paraId="3FF66F09">
      <w:pPr>
        <w:numPr>
          <w:ilvl w:val="0"/>
          <w:numId w:val="1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按料号维护配方，降低不同产品切换的维护成本。</w:t>
      </w:r>
    </w:p>
    <w:p w14:paraId="6C0E7BEA">
      <w:pPr>
        <w:numPr>
          <w:ilvl w:val="0"/>
          <w:numId w:val="1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通过本地账号、角色和审计机制保障量产工位权限边界。</w:t>
      </w:r>
    </w:p>
    <w:p w14:paraId="02B4C370">
      <w:pPr>
        <w:numPr>
          <w:ilvl w:val="0"/>
          <w:numId w:val="1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首版即支持 Excel 测试记录和 Word 测试报告导出。</w:t>
      </w:r>
    </w:p>
    <w:p w14:paraId="6BBA43E0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2.2 产品定位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7315"/>
      </w:tblGrid>
      <w:tr w14:paraId="680D1A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ADE5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维度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F903B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定位</w:t>
            </w:r>
          </w:p>
        </w:tc>
      </w:tr>
      <w:tr w14:paraId="26634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3E10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部署形态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CF86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单机工位版，本地保存数据，后续预留联网扩展点。</w:t>
            </w:r>
          </w:p>
        </w:tc>
      </w:tr>
      <w:tr w14:paraId="717CFB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DA8B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运行对象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E92A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一次运行 1 个 DUT，围绕当前 SN 展开流程。</w:t>
            </w:r>
          </w:p>
        </w:tc>
      </w:tr>
      <w:tr w14:paraId="72A75E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9D18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界面形态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88C3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量产工位型，突出“选配方、录 SN、启动测试、看结果”。</w:t>
            </w:r>
          </w:p>
        </w:tc>
      </w:tr>
      <w:tr w14:paraId="5723A9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F737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数据策略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E2B6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本地库存储结构化数据，文件系统保存日志、模板和报表。</w:t>
            </w:r>
          </w:p>
        </w:tc>
      </w:tr>
      <w:tr w14:paraId="4806D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08A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联调策略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AC4A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首版内置模拟器，真实设备通过抽象适配层逐步接入。</w:t>
            </w:r>
          </w:p>
        </w:tc>
      </w:tr>
      <w:tr w14:paraId="462914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3F54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账号策略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4A5C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本地完整账号体系，至少包含 Operator、Engineer、Admin。</w:t>
            </w:r>
          </w:p>
        </w:tc>
      </w:tr>
    </w:tbl>
    <w:p w14:paraId="310F847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2.3 设计原则</w:t>
      </w:r>
    </w:p>
    <w:p w14:paraId="3B5A99F5">
      <w:pPr>
        <w:numPr>
          <w:ilvl w:val="0"/>
          <w:numId w:val="2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流程闭环：任何标定任务都必须完成首轮采集、拟合、参数下发和二轮验证。</w:t>
      </w:r>
    </w:p>
    <w:p w14:paraId="1DD13116">
      <w:pPr>
        <w:numPr>
          <w:ilvl w:val="0"/>
          <w:numId w:val="2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可配置：等待时间、采样频率、温度点、压力步长、容差均来自配方。</w:t>
      </w:r>
    </w:p>
    <w:p w14:paraId="7D54CDBD">
      <w:pPr>
        <w:numPr>
          <w:ilvl w:val="0"/>
          <w:numId w:val="2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可替换：真实驱动、模拟器、报表模板、拟合策略通过接口隔离。</w:t>
      </w:r>
    </w:p>
    <w:p w14:paraId="3965C711">
      <w:pPr>
        <w:numPr>
          <w:ilvl w:val="0"/>
          <w:numId w:val="2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可追溯：原始采样、处理结果、拟合结果、异常事件和导出报表形成完整追踪链。</w:t>
      </w:r>
    </w:p>
    <w:p w14:paraId="1092B750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 总体架构设计</w:t>
      </w:r>
    </w:p>
    <w:p w14:paraId="678F2D4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3.1 软件分层架构</w:t>
      </w:r>
    </w:p>
    <w:p w14:paraId="7AC83BD4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系统按“表现层、应用层、领域层、基础设施层”进行分层。WPF 负责界面与交互；应用层负责流程编排；领域层负责核心实体、状态和规则；基础设施层负责数据库、报表、日志和设备适配。</w:t>
      </w:r>
    </w:p>
    <w:p w14:paraId="6EAC21B5">
      <w:pPr>
        <w:spacing w:before="240"/>
        <w:ind w:right="1021"/>
        <w:jc w:val="both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5444490" cy="38404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449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19F5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3-1 软件分层架构图</w:t>
      </w:r>
    </w:p>
    <w:p w14:paraId="056EB9ED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3.2 分层职责说明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4500"/>
        <w:gridCol w:w="3037"/>
      </w:tblGrid>
      <w:tr w14:paraId="6BC5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7E7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层次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4162B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职责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32F2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不负责内容</w:t>
            </w:r>
          </w:p>
        </w:tc>
      </w:tr>
      <w:tr w14:paraId="6274CD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7428E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表现层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1E3E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页面呈现、导航、输入校验、命令绑定、实时展示。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A0374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不直接访问数据库、不直接拼接设备协议。</w:t>
            </w:r>
          </w:p>
        </w:tc>
      </w:tr>
      <w:tr w14:paraId="5927AF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AB74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应用层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25313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编排测试流程、协调设备与算法、执行业务权限。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F28A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不实现硬件驱动细节。</w:t>
            </w:r>
          </w:p>
        </w:tc>
      </w:tr>
      <w:tr w14:paraId="230495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1FB3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领域层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ED00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定义实体、状态机、接口契约、业务规则、异常。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0A4F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不依赖 UI 框架和数据库实现。</w:t>
            </w:r>
          </w:p>
        </w:tc>
      </w:tr>
      <w:tr w14:paraId="60ABF4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71C5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基础设施层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62E4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落实 SQLite、日志、报表导出、设备驱动、密码哈希、模拟器。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A7EB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不决定业务判定规则和页面布局。</w:t>
            </w:r>
          </w:p>
        </w:tc>
      </w:tr>
    </w:tbl>
    <w:p w14:paraId="3FE09FD0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3.3 模块关系</w:t>
      </w:r>
    </w:p>
    <w:p w14:paraId="275FB55F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工位主界面是操作入口，测试流程由流程引擎驱动。配方服务、设备配置、数据处理、报表中心、权限审计和历史查询通过统一服务接口协同。</w:t>
      </w:r>
    </w:p>
    <w:p w14:paraId="1DBDC9F1">
      <w:pPr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4876165" cy="2986405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E085">
      <w:pPr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3-2 模块关系图</w:t>
      </w:r>
    </w:p>
    <w:p w14:paraId="2ACA0A1C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3.4 关键技术选型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2864"/>
        <w:gridCol w:w="4715"/>
      </w:tblGrid>
      <w:tr w14:paraId="5C95D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2AC1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技术项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BFBE2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选型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DA312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理由</w:t>
            </w:r>
          </w:p>
        </w:tc>
      </w:tr>
      <w:tr w14:paraId="0D73D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1B48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桌面框架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8763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WPF + MVVM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BF28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适合设备工位场景，数据绑定成熟，界面状态表达清晰。</w:t>
            </w:r>
          </w:p>
        </w:tc>
      </w:tr>
      <w:tr w14:paraId="4B2D40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8659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运行平台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FD4FC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.NET 8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A78E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长期支持版本，Windows Desktop Runtime 完整。</w:t>
            </w:r>
          </w:p>
        </w:tc>
      </w:tr>
      <w:tr w14:paraId="0C518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1A31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存储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B2CC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+ EF Core 8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0E22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单机部署轻量，迁移成本低，适合本地工位长期运行。</w:t>
            </w:r>
          </w:p>
        </w:tc>
      </w:tr>
      <w:tr w14:paraId="3D7B1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FD67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日志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25C8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Serilog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5939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便于分流应用、设备、告警和审计日志。</w:t>
            </w:r>
          </w:p>
        </w:tc>
      </w:tr>
      <w:tr w14:paraId="6F5434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DDB5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报表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5413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ClosedXML + Open XML SDK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4EC2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可脱离 Office 生成 Excel 和 Word。</w:t>
            </w:r>
          </w:p>
        </w:tc>
      </w:tr>
    </w:tbl>
    <w:p w14:paraId="0C733777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 功能模块设计</w:t>
      </w:r>
    </w:p>
    <w:p w14:paraId="3B238E3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4.1 业务闭环流程</w:t>
      </w:r>
    </w:p>
    <w:p w14:paraId="5E12F652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业务主流程严格遵循“配方选择 → 设备自检 → 首轮采集 → 数据处理与拟合 → 参数下发 → 二轮验证 → 判定归档”的闭环路径。参数下发后的第二轮验证不可省略。</w:t>
      </w:r>
    </w:p>
    <w:p w14:paraId="18807FAF">
      <w:pPr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5653405" cy="3430905"/>
            <wp:effectExtent l="0" t="0" r="4445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1287">
      <w:pPr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4-1 业务闭环流程图</w:t>
      </w:r>
    </w:p>
    <w:p w14:paraId="1B667021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4.2 功能模块说明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3428"/>
        <w:gridCol w:w="3860"/>
      </w:tblGrid>
      <w:tr w14:paraId="1E3BFC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8667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B00A8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主要职责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1677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关键输出</w:t>
            </w:r>
          </w:p>
        </w:tc>
      </w:tr>
      <w:tr w14:paraId="77C81E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3EE9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工位执行模块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5CBE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承接操作员启动动作，显示测试进度、实时数据和最终判定。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D740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当前任务状态、实时采样画面、Pass/Fail。</w:t>
            </w:r>
          </w:p>
        </w:tc>
      </w:tr>
      <w:tr w14:paraId="6EF21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A1A4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配方管理模块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E57F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维护料号与测试配方，配置压力、温度、采样、容差和通道映射。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1F14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Recipe 主数据及版本记录。</w:t>
            </w:r>
          </w:p>
        </w:tc>
      </w:tr>
      <w:tr w14:paraId="5B66D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A5F5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设备配置模块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595D1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维护设备型号、连接方式、协议类型和工位通道映射。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5CB5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设备连接档案、驱动参数。</w:t>
            </w:r>
          </w:p>
        </w:tc>
      </w:tr>
      <w:tr w14:paraId="39C2A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DA75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流程与算法模块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9528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执行状态机、采样、处理、拟合与 NG 判定。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EE48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ProcessResult、FitResult、CalibrationParameter。</w:t>
            </w:r>
          </w:p>
        </w:tc>
      </w:tr>
      <w:tr w14:paraId="596C6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171A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历史查询与报表模块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3507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按 SN、料号、日期、结果查询历史任务并导出报表。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1E14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测试履历、报表文件索引。</w:t>
            </w:r>
          </w:p>
        </w:tc>
      </w:tr>
      <w:tr w14:paraId="06E71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27FC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用户权限与审计模块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D6E8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管理本地账号、角色、密码策略和审计日志。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529F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用户档案、权限矩阵、AuditLog。</w:t>
            </w:r>
          </w:p>
        </w:tc>
      </w:tr>
    </w:tbl>
    <w:p w14:paraId="6A44368C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 数据与报表总体设计</w:t>
      </w:r>
    </w:p>
    <w:p w14:paraId="55ED814F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5.1 数据分类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0"/>
        <w:gridCol w:w="3875"/>
        <w:gridCol w:w="3661"/>
      </w:tblGrid>
      <w:tr w14:paraId="54B904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6957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数据类别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216B19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示例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668A2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存储方式</w:t>
            </w:r>
          </w:p>
        </w:tc>
      </w:tr>
      <w:tr w14:paraId="73BD9A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98FA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主数据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7C99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料号、配方、设备配置、角色权限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D5EE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结构化表</w:t>
            </w:r>
          </w:p>
        </w:tc>
      </w:tr>
      <w:tr w14:paraId="5C0843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BED6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过程数据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EFB2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原始采样点、阶段状态、异常事件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6019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结构化表，必要时附带 CSV 缓存</w:t>
            </w:r>
          </w:p>
        </w:tc>
      </w:tr>
      <w:tr w14:paraId="0E06B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49FF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结果数据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958B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处理结果、拟合结果、标定参数、最终结论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D2EBC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结构化表</w:t>
            </w:r>
          </w:p>
        </w:tc>
      </w:tr>
      <w:tr w14:paraId="33E4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5077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文档数据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C253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Excel、Word、模板文件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D7A2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本地文件系统 + 数据库索引</w:t>
            </w:r>
          </w:p>
        </w:tc>
      </w:tr>
    </w:tbl>
    <w:p w14:paraId="5DDF5595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5.2 报表策略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129"/>
        <w:gridCol w:w="3019"/>
      </w:tblGrid>
      <w:tr w14:paraId="7CF6B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314D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报表类型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247AE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内容重点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4A91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生成时机</w:t>
            </w:r>
          </w:p>
        </w:tc>
      </w:tr>
      <w:tr w14:paraId="763C09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AEDF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Excel 测试记录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7536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原始采样、处理结果、拟合结果、异常明细、标定前后对比。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66A6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任务完成后自动生成，可手工复打。</w:t>
            </w:r>
          </w:p>
        </w:tc>
      </w:tr>
      <w:tr w14:paraId="4C0F9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4AC2D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Word 测试报告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1085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产品信息、关键指标、结论、追溯信息和签核区域。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AF7C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任务判定完成后自动生成，可按模板升级。</w:t>
            </w:r>
          </w:p>
        </w:tc>
      </w:tr>
    </w:tbl>
    <w:p w14:paraId="0E704D50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 部署与运行环境设计</w:t>
      </w:r>
    </w:p>
    <w:p w14:paraId="0552B142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6.1 单机工位部署</w:t>
      </w:r>
    </w:p>
    <w:p w14:paraId="5066F77C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首版软件部署在单台 Windows 工位 PC 上，通过串口、TCP 或 Modbus 等协议与现场设备通信。本机同时承担界面展示、流程执行、数据库存储和报表导出职责。</w:t>
      </w:r>
    </w:p>
    <w:p w14:paraId="193126F7">
      <w:pPr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6112510" cy="35147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A02F">
      <w:pPr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6-1 单机工位部署图</w:t>
      </w:r>
    </w:p>
    <w:p w14:paraId="4BFDE55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6.2 运行环境要求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7441"/>
      </w:tblGrid>
      <w:tr w14:paraId="5E583E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52D20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106A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要求</w:t>
            </w:r>
          </w:p>
        </w:tc>
      </w:tr>
      <w:tr w14:paraId="06580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E497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531E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Windows 10/11 64 位。</w:t>
            </w:r>
          </w:p>
        </w:tc>
      </w:tr>
      <w:tr w14:paraId="606DB4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579FE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运行时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5EDB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.NET 8 Windows Desktop Runtime。</w:t>
            </w:r>
          </w:p>
        </w:tc>
      </w:tr>
      <w:tr w14:paraId="28D0C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48C1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数据库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E2A7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SQLite 文件，支持本地备份与恢复。</w:t>
            </w:r>
          </w:p>
        </w:tc>
      </w:tr>
      <w:tr w14:paraId="149BF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4543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目录结构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FAFE7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建议包含 Config、Data、Logs、Reports、Templates、Archive 等目录。</w:t>
            </w:r>
          </w:p>
        </w:tc>
      </w:tr>
      <w:tr w14:paraId="1A71CA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7A95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外设接口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7B6E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支持串口、以太网、USB 转串口等工业连接形态。</w:t>
            </w:r>
          </w:p>
        </w:tc>
      </w:tr>
    </w:tbl>
    <w:p w14:paraId="1A6850B7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 安全、权限与审计设计</w:t>
      </w:r>
    </w:p>
    <w:p w14:paraId="2EED4C0E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7.1 角色与权限边界</w:t>
      </w:r>
    </w:p>
    <w:p w14:paraId="608B8B2D">
      <w:pPr>
        <w:pStyle w:val="7"/>
        <w:ind w:left="102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系统采用本地完整账号体系，权限不依赖操作系统账户。角色矩阵用于控制测试执行、配方维护、设备配置、审计查看和系统设置等功能入口。</w:t>
      </w:r>
    </w:p>
    <w:p w14:paraId="6467323C">
      <w:pPr>
        <w:spacing w:before="240"/>
        <w:ind w:left="1021" w:right="1021"/>
        <w:jc w:val="center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drawing>
          <wp:inline distT="0" distB="0" distL="0" distR="0">
            <wp:extent cx="4454525" cy="244983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0F6C">
      <w:pPr>
        <w:spacing w:before="120" w:after="400"/>
        <w:ind w:left="1021" w:right="1021"/>
        <w:jc w:val="center"/>
        <w:rPr>
          <w:rFonts w:hint="eastAsia" w:ascii="Microsoft YaHei UI" w:hAnsi="Microsoft YaHei UI" w:eastAsia="Microsoft YaHei UI"/>
          <w:color w:val="475569"/>
          <w:sz w:val="20"/>
          <w:szCs w:val="20"/>
        </w:rPr>
      </w:pPr>
      <w:r>
        <w:rPr>
          <w:rFonts w:hint="eastAsia" w:ascii="Microsoft YaHei UI" w:hAnsi="Microsoft YaHei UI" w:eastAsia="Microsoft YaHei UI"/>
          <w:color w:val="475569"/>
          <w:sz w:val="20"/>
          <w:szCs w:val="20"/>
        </w:rPr>
        <w:t>图 7-1 角色与权限关系图</w:t>
      </w:r>
    </w:p>
    <w:p w14:paraId="04FF8418">
      <w:pPr>
        <w:pStyle w:val="4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7.2 安全设计要点</w:t>
      </w:r>
    </w:p>
    <w:p w14:paraId="597B48BC">
      <w:pPr>
        <w:numPr>
          <w:ilvl w:val="0"/>
          <w:numId w:val="3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密码以哈希形式存储，不保存明文。</w:t>
      </w:r>
    </w:p>
    <w:p w14:paraId="69A24117">
      <w:pPr>
        <w:numPr>
          <w:ilvl w:val="0"/>
          <w:numId w:val="3"/>
        </w:numPr>
        <w:spacing w:before="40" w:after="40"/>
        <w:ind w:left="2141" w:right="1021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关键动作必须写审计：登录、配方变更、设备配置修改、测试启动/中止、参数下发、报表导出。</w:t>
      </w:r>
    </w:p>
    <w:p w14:paraId="10A805AC">
      <w:pPr>
        <w:numPr>
          <w:ilvl w:val="0"/>
          <w:numId w:val="3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权限检查在 UI 层和应用层双重执行。</w:t>
      </w:r>
    </w:p>
    <w:p w14:paraId="18EE43B2">
      <w:pPr>
        <w:numPr>
          <w:ilvl w:val="0"/>
          <w:numId w:val="3"/>
        </w:numPr>
        <w:spacing w:before="40" w:after="40"/>
        <w:ind w:left="1120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异常、失败和人工终止均保留时间戳和操作人。</w:t>
      </w:r>
    </w:p>
    <w:p w14:paraId="07A7BD96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8 非功能设计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300"/>
      </w:tblGrid>
      <w:tr w14:paraId="41D6E0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0E6A1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指标类别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C7EBD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设计要求</w:t>
            </w:r>
          </w:p>
        </w:tc>
      </w:tr>
      <w:tr w14:paraId="5EADB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78A8D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易用性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16B4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主界面在单屏完成主要操作，状态、告警、进度和结果清晰可见。</w:t>
            </w:r>
          </w:p>
        </w:tc>
      </w:tr>
      <w:tr w14:paraId="4922D2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A66B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可靠性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484A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通信失败、采样异常、拟合失败具备重试和可追溯日志。</w:t>
            </w:r>
          </w:p>
        </w:tc>
      </w:tr>
      <w:tr w14:paraId="0D127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47B2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性能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488D6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500ms 默认采样频率下，界面更新和数据落库不阻塞流程执行。</w:t>
            </w:r>
          </w:p>
        </w:tc>
      </w:tr>
      <w:tr w14:paraId="2FFB9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2DAF5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可维护性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6B788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分层明确，设备驱动与业务流程解耦，便于分模块并行开发。</w:t>
            </w:r>
          </w:p>
        </w:tc>
      </w:tr>
      <w:tr w14:paraId="5C9F4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DC8AF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可扩展性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C7B34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保留多工位、中心数据库、企业认证和非线性算法扩展点。</w:t>
            </w:r>
          </w:p>
        </w:tc>
      </w:tr>
    </w:tbl>
    <w:p w14:paraId="64738019">
      <w:pPr>
        <w:pStyle w:val="3"/>
        <w:rPr>
          <w:rFonts w:hint="eastAsia"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9 风险与分阶段实施建议</w:t>
      </w:r>
    </w:p>
    <w:p w14:paraId="3E063804">
      <w:pPr>
        <w:shd w:val="clear" w:color="auto" w:fill="FFF7ED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项目的主要风险集中在设备协议接入、现场异常建模、数据留痕完整性和工位操作稳定性。先把模拟器和流程骨架跑通，可以明显降低真实设备联调阶段的返工成本。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4293"/>
        <w:gridCol w:w="3502"/>
      </w:tblGrid>
      <w:tr w14:paraId="2992BD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FD1BD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阶段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E02CD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重点工作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shd w:val="clear" w:color="auto" w:fill="E2E8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E1C5C">
            <w:pPr>
              <w:spacing w:before="200" w:after="320"/>
              <w:jc w:val="center"/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b/>
                <w:bCs/>
                <w:color w:val="1F2937"/>
                <w:sz w:val="21"/>
                <w:szCs w:val="21"/>
              </w:rPr>
              <w:t>交付物</w:t>
            </w:r>
          </w:p>
        </w:tc>
      </w:tr>
      <w:tr w14:paraId="4A2AE5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CD91F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阶段 1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2839B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搭建解决方案、分层骨架、账号权限、SQLite 与日志。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FA933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可启动的 WPF 壳、基础数据层和权限骨架。</w:t>
            </w:r>
          </w:p>
        </w:tc>
      </w:tr>
      <w:tr w14:paraId="344E83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03A8D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阶段 2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31E11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完成配方管理、测试状态机、模拟器与主界面。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F57322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模拟闭环可跑通的工位版本。</w:t>
            </w:r>
          </w:p>
        </w:tc>
      </w:tr>
      <w:tr w14:paraId="5B238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1EFAD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阶段 3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8CB6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接入数据处理、拟合、报表、历史查询、异常追溯。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070C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可评审的业务完整版本。</w:t>
            </w:r>
          </w:p>
        </w:tc>
      </w:tr>
      <w:tr w14:paraId="1DC18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4C82A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阶段 4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FFFC0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逐类接入真实设备驱动并完善联调。</w:t>
            </w:r>
          </w:p>
        </w:tc>
        <w:tc>
          <w:tcPr>
            <w:tcW w:w="0" w:type="auto"/>
            <w:tcBorders>
              <w:top w:val="single" w:color="94A3B8" w:sz="6" w:space="0"/>
              <w:left w:val="single" w:color="94A3B8" w:sz="6" w:space="0"/>
              <w:bottom w:val="single" w:color="94A3B8" w:sz="6" w:space="0"/>
              <w:right w:val="single" w:color="94A3B8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33269">
            <w:pPr>
              <w:spacing w:before="200" w:after="320"/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</w:pPr>
            <w:r>
              <w:rPr>
                <w:rFonts w:hint="eastAsia" w:ascii="Microsoft YaHei UI" w:hAnsi="Microsoft YaHei UI" w:eastAsia="Microsoft YaHei UI"/>
                <w:color w:val="1F2937"/>
                <w:sz w:val="21"/>
                <w:szCs w:val="21"/>
              </w:rPr>
              <w:t>面向现场试运行的实机版。</w:t>
            </w:r>
          </w:p>
        </w:tc>
      </w:tr>
    </w:tbl>
    <w:p w14:paraId="249CF80D">
      <w:pPr>
        <w:pStyle w:val="7"/>
        <w:rPr>
          <w:rFonts w:hint="eastAsia" w:ascii="Microsoft YaHei UI" w:hAnsi="Microsoft YaHei UI" w:eastAsia="Microsoft YaHei UI"/>
          <w:color w:val="1F2937"/>
          <w:sz w:val="22"/>
          <w:szCs w:val="22"/>
        </w:rPr>
      </w:pPr>
      <w:r>
        <w:rPr>
          <w:rFonts w:hint="eastAsia" w:ascii="Microsoft YaHei UI" w:hAnsi="Microsoft YaHei UI" w:eastAsia="Microsoft YaHei UI"/>
          <w:color w:val="1F2937"/>
          <w:sz w:val="22"/>
          <w:szCs w:val="22"/>
        </w:rPr>
        <w:t>本概要设计侧重说明“软件整体怎么设计、由哪些部分组成”。类级实现细节、数据库字段和接口方法在《软件详细设计说明》中进一步展开。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4D6E32"/>
    <w:multiLevelType w:val="multilevel"/>
    <w:tmpl w:val="454D6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EC7780"/>
    <w:multiLevelType w:val="multilevel"/>
    <w:tmpl w:val="47EC77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5A0A9E"/>
    <w:multiLevelType w:val="multilevel"/>
    <w:tmpl w:val="5D5A0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88B"/>
    <w:rsid w:val="0008388B"/>
    <w:rsid w:val="004201C2"/>
    <w:rsid w:val="00573DDB"/>
    <w:rsid w:val="00C24A32"/>
    <w:rsid w:val="00DD4843"/>
    <w:rsid w:val="073D360C"/>
    <w:rsid w:val="0B756CA4"/>
    <w:rsid w:val="1BD57A78"/>
    <w:rsid w:val="23CA2971"/>
    <w:rsid w:val="270D69D9"/>
    <w:rsid w:val="288602EB"/>
    <w:rsid w:val="2CBA4A07"/>
    <w:rsid w:val="331F3816"/>
    <w:rsid w:val="3FA61DD6"/>
    <w:rsid w:val="429F6421"/>
    <w:rsid w:val="49C1748C"/>
    <w:rsid w:val="4D97427D"/>
    <w:rsid w:val="5DF748C4"/>
    <w:rsid w:val="63D81F7C"/>
    <w:rsid w:val="6765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jc w:val="center"/>
      <w:outlineLvl w:val="0"/>
    </w:pPr>
    <w:rPr>
      <w:b/>
      <w:bCs/>
      <w:kern w:val="36"/>
      <w:sz w:val="56"/>
      <w:szCs w:val="56"/>
    </w:rPr>
  </w:style>
  <w:style w:type="paragraph" w:styleId="3">
    <w:name w:val="heading 2"/>
    <w:basedOn w:val="1"/>
    <w:link w:val="12"/>
    <w:qFormat/>
    <w:uiPriority w:val="9"/>
    <w:pPr>
      <w:pBdr>
        <w:bottom w:val="single" w:color="CBD5E1" w:sz="12" w:space="5"/>
      </w:pBdr>
      <w:spacing w:before="440" w:after="100" w:afterAutospacing="1"/>
      <w:outlineLvl w:val="1"/>
    </w:pPr>
    <w:rPr>
      <w:b/>
      <w:bCs/>
      <w:color w:val="0F172A"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320" w:after="100" w:afterAutospacing="1"/>
      <w:outlineLvl w:val="2"/>
    </w:pPr>
    <w:rPr>
      <w:b/>
      <w:bCs/>
      <w:color w:val="0F172A"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120" w:after="120"/>
    </w:pPr>
  </w:style>
  <w:style w:type="character" w:styleId="10">
    <w:name w:val="HTML Code"/>
    <w:basedOn w:val="9"/>
    <w:semiHidden/>
    <w:unhideWhenUsed/>
    <w:qFormat/>
    <w:uiPriority w:val="99"/>
    <w:rPr>
      <w:rFonts w:hint="default" w:ascii="Consolas" w:hAnsi="Consolas" w:eastAsia="宋体" w:cs="宋体"/>
      <w:sz w:val="20"/>
      <w:szCs w:val="20"/>
      <w:shd w:val="clear" w:color="auto" w:fill="F1F5F9"/>
    </w:rPr>
  </w:style>
  <w:style w:type="character" w:customStyle="1" w:styleId="11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2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3">
    <w:name w:val="标题 3 字符"/>
    <w:basedOn w:val="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customStyle="1" w:styleId="14">
    <w:name w:val="msonormal"/>
    <w:basedOn w:val="1"/>
    <w:qFormat/>
    <w:uiPriority w:val="0"/>
    <w:pPr>
      <w:spacing w:before="120" w:after="120"/>
    </w:pPr>
  </w:style>
  <w:style w:type="paragraph" w:customStyle="1" w:styleId="15">
    <w:name w:val="cover"/>
    <w:basedOn w:val="1"/>
    <w:qFormat/>
    <w:uiPriority w:val="0"/>
    <w:pPr>
      <w:spacing w:before="3600" w:after="40"/>
      <w:jc w:val="center"/>
    </w:pPr>
  </w:style>
  <w:style w:type="paragraph" w:customStyle="1" w:styleId="16">
    <w:name w:val="cover-subtitle"/>
    <w:basedOn w:val="1"/>
    <w:qFormat/>
    <w:uiPriority w:val="0"/>
    <w:pPr>
      <w:spacing w:before="320" w:after="40"/>
    </w:pPr>
    <w:rPr>
      <w:color w:val="475569"/>
      <w:sz w:val="28"/>
      <w:szCs w:val="28"/>
    </w:rPr>
  </w:style>
  <w:style w:type="paragraph" w:customStyle="1" w:styleId="17">
    <w:name w:val="cover-meta"/>
    <w:basedOn w:val="1"/>
    <w:qFormat/>
    <w:uiPriority w:val="0"/>
    <w:pPr>
      <w:spacing w:before="1400" w:after="40" w:line="480" w:lineRule="auto"/>
    </w:pPr>
  </w:style>
  <w:style w:type="paragraph" w:customStyle="1" w:styleId="18">
    <w:name w:val="toc"/>
    <w:basedOn w:val="1"/>
    <w:qFormat/>
    <w:uiPriority w:val="0"/>
    <w:pPr>
      <w:spacing w:before="800" w:after="40"/>
    </w:pPr>
  </w:style>
  <w:style w:type="paragraph" w:customStyle="1" w:styleId="19">
    <w:name w:val="figure"/>
    <w:basedOn w:val="1"/>
    <w:qFormat/>
    <w:uiPriority w:val="0"/>
    <w:pPr>
      <w:spacing w:before="240" w:after="400"/>
      <w:jc w:val="center"/>
    </w:pPr>
  </w:style>
  <w:style w:type="paragraph" w:customStyle="1" w:styleId="20">
    <w:name w:val="题注1"/>
    <w:basedOn w:val="1"/>
    <w:qFormat/>
    <w:uiPriority w:val="0"/>
    <w:pPr>
      <w:spacing w:before="120" w:after="40"/>
    </w:pPr>
    <w:rPr>
      <w:color w:val="475569"/>
      <w:sz w:val="20"/>
      <w:szCs w:val="20"/>
    </w:rPr>
  </w:style>
  <w:style w:type="paragraph" w:customStyle="1" w:styleId="21">
    <w:name w:val="note"/>
    <w:basedOn w:val="1"/>
    <w:qFormat/>
    <w:uiPriority w:val="0"/>
    <w:pPr>
      <w:pBdr>
        <w:left w:val="single" w:color="3B82F6" w:sz="24" w:space="10"/>
      </w:pBdr>
      <w:shd w:val="clear" w:color="auto" w:fill="F8FAFC"/>
      <w:spacing w:before="200" w:after="200"/>
    </w:pPr>
  </w:style>
  <w:style w:type="paragraph" w:customStyle="1" w:styleId="22">
    <w:name w:val="risk"/>
    <w:basedOn w:val="1"/>
    <w:qFormat/>
    <w:uiPriority w:val="0"/>
    <w:pPr>
      <w:pBdr>
        <w:left w:val="single" w:color="F59E0B" w:sz="24" w:space="10"/>
      </w:pBdr>
      <w:shd w:val="clear" w:color="auto" w:fill="FFF7ED"/>
      <w:spacing w:before="200" w:after="200"/>
    </w:pPr>
  </w:style>
  <w:style w:type="paragraph" w:customStyle="1" w:styleId="23">
    <w:name w:val="break"/>
    <w:basedOn w:val="1"/>
    <w:qFormat/>
    <w:uiPriority w:val="0"/>
    <w:pPr>
      <w:spacing w:before="40" w:after="40"/>
    </w:pPr>
  </w:style>
  <w:style w:type="character" w:customStyle="1" w:styleId="24">
    <w:name w:val="页眉 字符"/>
    <w:basedOn w:val="9"/>
    <w:link w:val="6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25">
    <w:name w:val="页脚 字符"/>
    <w:basedOn w:val="9"/>
    <w:link w:val="5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2760</Words>
  <Characters>3232</Characters>
  <Lines>27</Lines>
  <Paragraphs>7</Paragraphs>
  <TotalTime>0</TotalTime>
  <ScaleCrop>false</ScaleCrop>
  <LinksUpToDate>false</LinksUpToDate>
  <CharactersWithSpaces>3392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2026-03-29T14:13:00Z</dcterms:created>
  <dc:creator>Wang</dc:creator>
  <cp:lastModifiedBy>麓麓</cp:lastModifiedBy>
  <dcterms:modified xsi:type="dcterms:W3CDTF">2026-03-29T14:30:26Z</dcterms:modified>
  <dc:title>PT.Calibration 软件概要设计说明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eyJoZGlkIjoiMmY3NjhlZmJiOWUxOWQ1NjBhNDNmZTQxOGY0NzM5Y2UiLCJ1c2VySWQiOiIxNzIwMTY1NDczIn0=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8847EBF5DC124C2495044FF66FA22724_12</vt:lpwstr>
  </property>
</Properties>
</file>