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"/>
        <w:jc w:val="center"/>
      </w:pPr>
      <w:r>
        <w:rPr>
          <w:rFonts w:ascii="Times New Roman" w:hAnsi="Times New Roman" w:eastAsia="黑体"/>
          <w:b/>
          <w:color w:val="0B3D66"/>
          <w:sz w:val="44"/>
        </w:rPr>
        <w:t>风光储最优化调度（GreenOpt）</w:t>
      </w:r>
    </w:p>
    <w:p>
      <w:pPr>
        <w:spacing w:after="320"/>
        <w:jc w:val="center"/>
      </w:pPr>
      <w:r>
        <w:rPr>
          <w:rFonts w:ascii="Times New Roman" w:hAnsi="Times New Roman" w:eastAsia="黑体"/>
          <w:b/>
          <w:color w:val="0072B2"/>
          <w:sz w:val="32"/>
        </w:rPr>
        <w:t>课程大作业改造方案与技术路线</w:t>
      </w:r>
    </w:p>
    <w:p>
      <w:pPr>
        <w:spacing w:after="480"/>
        <w:jc w:val="center"/>
      </w:pPr>
      <w:r>
        <w:rPr>
          <w:rFonts w:ascii="Times New Roman" w:hAnsi="Times New Roman" w:eastAsia="宋体"/>
          <w:color w:val="666666"/>
          <w:sz w:val="22"/>
        </w:rPr>
        <w:t>—— 对标中期答辩标准 ——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814"/>
        <w:gridCol w:w="7030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文档对象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GreenOpt 风光储容量配置与调度双层优化程序</w:t>
              <w:br/>
              <w:t>（NewEnergyOptimizationStrategy-main）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目标定位</w:t>
            </w:r>
          </w:p>
        </w:tc>
        <w:tc>
          <w:tcPr>
            <w:tcW w:type="dxa" w:w="703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优化类课程的最终大作业，质量对标中期答辩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文档性质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改造思路、技术路线与答辩准备，不含代码实现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依据材料</w:t>
            </w:r>
          </w:p>
        </w:tc>
        <w:tc>
          <w:tcPr>
            <w:tcW w:type="dxa" w:w="703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源码通读、自检运行、8760 h 实测数据诊断、边际价值分析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生成日期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2026 年 10 月 22 日</w:t>
            </w:r>
          </w:p>
        </w:tc>
      </w:tr>
    </w:tbl>
    <w:p>
      <w:pPr>
        <w:spacing w:before="0" w:after="0" w:line="100" w:lineRule="exact"/>
      </w:pPr>
    </w:p>
    <w:p>
      <w:pPr>
        <w:spacing w:after="0"/>
      </w:pPr>
    </w:p>
    <w:p>
      <w:pPr>
        <w:pStyle w:val="Heading1"/>
      </w:pPr>
      <w:r>
        <w:t>一、结论概要</w:t>
      </w:r>
    </w:p>
    <w:p>
      <w:pPr>
        <w:ind w:firstLine="420"/>
      </w:pPr>
      <w:r>
        <w:rPr>
          <w:rFonts w:ascii="Times New Roman" w:hAnsi="Times New Roman" w:eastAsia="宋体"/>
        </w:rPr>
        <w:t>本方案回答一个问题：如何把现有这套工程代码，改造为一份能撑住中期答辩的课程大作业。核心判断是：该项目作为课程大作业已明显超出基准线，缺的不是功能，而是论证与呈现。</w:t>
      </w:r>
    </w:p>
    <w:p>
      <w:pPr>
        <w:pStyle w:val="Heading2"/>
      </w:pPr>
      <w:r>
        <w:t>1.1 现状盘点</w:t>
      </w:r>
    </w:p>
    <w:p>
      <w:pPr>
        <w:ind w:firstLine="420"/>
      </w:pPr>
      <w:r>
        <w:rPr>
          <w:rFonts w:ascii="Times New Roman" w:hAnsi="Times New Roman" w:eastAsia="宋体"/>
        </w:rPr>
        <w:t>代码侧已经具备的能力如下，这些属于现成资产，不需要重做：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01"/>
        <w:gridCol w:w="4195"/>
        <w:gridCol w:w="294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4195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294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对答辩的价值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双层优化建模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外层 PSO 搜容量，内层 HiGHS MILP 做逐时调度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符合优化课的核心考点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工程细节</w:t>
            </w:r>
          </w:p>
        </w:tc>
        <w:tc>
          <w:tcPr>
            <w:tcW w:type="dxa" w:w="419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分档造价、储能循环寿命反噬、厂内自发电</w:t>
            </w:r>
          </w:p>
        </w:tc>
        <w:tc>
          <w:tcPr>
            <w:tcW w:type="dxa" w:w="294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体现建模深度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模型自检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7 项断言全部通过，功率平衡残差 7.11e-15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可当场演示正确性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全年核准</w:t>
            </w:r>
          </w:p>
        </w:tc>
        <w:tc>
          <w:tcPr>
            <w:tcW w:type="dxa" w:w="419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典型日结果回代 8760 h 复核</w:t>
            </w:r>
          </w:p>
        </w:tc>
        <w:tc>
          <w:tcPr>
            <w:tcW w:type="dxa" w:w="294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体现严谨性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敏感性分析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五个维度一维扫描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支撑讨论与展望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出版级图表</w:t>
            </w:r>
          </w:p>
        </w:tc>
        <w:tc>
          <w:tcPr>
            <w:tcW w:type="dxa" w:w="419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600 dpi、厘米定尺寸、中英双语、色盲友好</w:t>
            </w:r>
          </w:p>
        </w:tc>
        <w:tc>
          <w:tcPr>
            <w:tcW w:type="dxa" w:w="2948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PPT 直接可用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缺失的是三样东西：形式化的数学模型表述、算法合理性的论证、以及可对照的实验证据。这三样恰好是答辩现场被追问最集中的地方。</w:t>
      </w:r>
    </w:p>
    <w:p>
      <w:pPr>
        <w:pStyle w:val="Heading2"/>
      </w:pPr>
      <w:r>
        <w:t>1.2 总体结论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方案要点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① 不追求方法创新，追求</w:t>
            </w:r>
            <w:r>
              <w:rPr>
                <w:rFonts w:ascii="Times New Roman" w:hAnsi="Times New Roman" w:eastAsia="宋体"/>
                <w:b/>
                <w:sz w:val="19"/>
              </w:rPr>
              <w:t>讲清为什么</w:t>
            </w:r>
            <w:r>
              <w:rPr>
                <w:rFonts w:ascii="Times New Roman" w:hAnsi="Times New Roman" w:eastAsia="宋体"/>
                <w:b w:val="0"/>
                <w:sz w:val="19"/>
              </w:rPr>
              <w:t>——这是课程大作业与论文的分水岭。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② 工作重心从“补功能”转向“补论证”：形式化模型 + 基线对照 + 最优性检验 + 模型局限讨论。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③ 现有代码中的若干实测发现可直接作为答辩素材，无需额外开发即可使用。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④ 总工期约 5 周，分四个阶段推进；时间不足时按第八章顺序裁剪。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二、评分逻辑：从“论文”到“答辩”的变化</w:t>
      </w:r>
    </w:p>
    <w:p>
      <w:pPr>
        <w:ind w:firstLine="420"/>
      </w:pPr>
      <w:r>
        <w:rPr>
          <w:rFonts w:ascii="Times New Roman" w:hAnsi="Times New Roman" w:eastAsia="宋体"/>
        </w:rPr>
        <w:t>同一个项目，投期刊和做大作业的评审逻辑完全不同。先认清这一点，才能避免把力气花在错误的方向上。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1  三种目标的评审逻辑对比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361"/>
        <w:gridCol w:w="2438"/>
        <w:gridCol w:w="2268"/>
        <w:gridCol w:w="2778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43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期刊论文</w:t>
            </w:r>
          </w:p>
        </w:tc>
        <w:tc>
          <w:tcPr>
            <w:tcW w:type="dxa" w:w="226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课程大作业</w:t>
            </w:r>
          </w:p>
        </w:tc>
        <w:tc>
          <w:tcPr>
            <w:tcW w:type="dxa" w:w="277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中期答辩（本方案目标）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核心考点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方法创新性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模型正确、算法实现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讲清“为什么”，经得起追问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必须包含</w:t>
            </w:r>
          </w:p>
        </w:tc>
        <w:tc>
          <w:tcPr>
            <w:tcW w:type="dxa" w:w="243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新颖性、不确定性、统计检验</w:t>
            </w:r>
          </w:p>
        </w:tc>
        <w:tc>
          <w:tcPr>
            <w:tcW w:type="dxa" w:w="226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模型、代码、结果</w:t>
            </w:r>
          </w:p>
        </w:tc>
        <w:tc>
          <w:tcPr>
            <w:tcW w:type="dxa" w:w="277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形式化模型、技术路线、初步结果、进度计划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可以缺失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创新性、多场景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创新性、不确定性、多地区对比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致命问题</w:t>
            </w:r>
          </w:p>
        </w:tc>
        <w:tc>
          <w:tcPr>
            <w:tcW w:type="dxa" w:w="243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增量工作、文献覆盖不足</w:t>
            </w:r>
          </w:p>
        </w:tc>
        <w:tc>
          <w:tcPr>
            <w:tcW w:type="dxa" w:w="226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代码跑不起来</w:t>
            </w:r>
          </w:p>
        </w:tc>
        <w:tc>
          <w:tcPr>
            <w:tcW w:type="dxa" w:w="277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答不出“为什么这么做”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评审形式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同行匿名评审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批改给分</w:t>
            </w:r>
          </w:p>
        </w:tc>
        <w:tc>
          <w:tcPr>
            <w:tcW w:type="dxa" w:w="2778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现场汇报 + 提问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由此导出本方案的基本策略：不做不确定性建模、不做多地区、不做精确全局最优算法，把全部力气集中在三件事上——形式化建模、算法论证、结果解释。</w:t>
      </w:r>
    </w:p>
    <w:p>
      <w:pPr>
        <w:pStyle w:val="Heading1"/>
      </w:pPr>
      <w:r>
        <w:t>三、五条实测发现：可直接使用的答辩素材</w:t>
      </w:r>
    </w:p>
    <w:p>
      <w:pPr>
        <w:ind w:firstLine="420"/>
      </w:pPr>
      <w:r>
        <w:rPr>
          <w:rFonts w:ascii="Times New Roman" w:hAnsi="Times New Roman" w:eastAsia="宋体"/>
        </w:rPr>
        <w:t>以下五条均来自对现有程序的实测诊断，数据可复现。它们的共同价值是：证明你不仅会跑模型，还知道模型哪里不完美，并且量化了它。这正是答辩现场最能拉开差距的内容。</w:t>
      </w:r>
    </w:p>
    <w:p>
      <w:pPr>
        <w:pStyle w:val="Heading2"/>
      </w:pPr>
      <w:r>
        <w:t>3.1 最优解被搜索上界钉死</w:t>
      </w:r>
    </w:p>
    <w:p>
      <w:pPr>
        <w:ind w:firstLine="420"/>
      </w:pPr>
      <w:r>
        <w:rPr>
          <w:rFonts w:ascii="Times New Roman" w:hAnsi="Times New Roman" w:eastAsia="宋体"/>
        </w:rPr>
        <w:t>在 144 h 典型日场景上运行 PSO（12 粒子 × 15 代 + 局部精修）得到的解如下：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2  PSO 解与搜索边界的关系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474"/>
        <w:gridCol w:w="1531"/>
        <w:gridCol w:w="1644"/>
        <w:gridCol w:w="2835"/>
        <w:gridCol w:w="1361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53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PSO 解</w:t>
            </w:r>
          </w:p>
        </w:tc>
        <w:tc>
          <w:tcPr>
            <w:tcW w:type="dxa" w:w="164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搜索上界</w:t>
            </w:r>
          </w:p>
        </w:tc>
        <w:tc>
          <w:tcPr>
            <w:tcW w:type="dxa" w:w="2835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边际梯度 dT/dcap（元/年·单位）</w:t>
            </w:r>
          </w:p>
        </w:tc>
        <w:tc>
          <w:tcPr>
            <w:tcW w:type="dxa" w:w="136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判定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光伏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40.0 MW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40（顶死）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−79,996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上界约束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风电</w:t>
            </w:r>
          </w:p>
        </w:tc>
        <w:tc>
          <w:tcPr>
            <w:tcW w:type="dxa" w:w="153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40.0 MW</w:t>
            </w:r>
          </w:p>
        </w:tc>
        <w:tc>
          <w:tcPr>
            <w:tcW w:type="dxa" w:w="164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40（顶死）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−45,393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上界约束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厂内自发电</w:t>
            </w:r>
          </w:p>
        </w:tc>
        <w:tc>
          <w:tcPr>
            <w:tcW w:type="dxa" w:w="153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10.0 MW</w:t>
            </w:r>
          </w:p>
        </w:tc>
        <w:tc>
          <w:tcPr>
            <w:tcW w:type="dxa" w:w="164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10（顶死）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−1,176,864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上界约束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储能功率</w:t>
            </w:r>
          </w:p>
        </w:tc>
        <w:tc>
          <w:tcPr>
            <w:tcW w:type="dxa" w:w="153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15.9 MW</w:t>
            </w:r>
          </w:p>
        </w:tc>
        <w:tc>
          <w:tcPr>
            <w:tcW w:type="dxa" w:w="164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40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+12,135</w:t>
            </w:r>
          </w:p>
        </w:tc>
        <w:tc>
          <w:tcPr>
            <w:tcW w:type="dxa" w:w="13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偏大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储能容量</w:t>
            </w:r>
          </w:p>
        </w:tc>
        <w:tc>
          <w:tcPr>
            <w:tcW w:type="dxa" w:w="1531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50.0 MWh</w:t>
            </w:r>
          </w:p>
        </w:tc>
        <w:tc>
          <w:tcPr>
            <w:tcW w:type="dxa" w:w="1644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−5,592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略偏小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对应成本：年化投资 3,677 万元 + 运行成本 2,633 万元 = 6,310 万元/年；风光自用率 91.96%，弃电率 0.00%，绿电负荷占比 50.86%，年购电量 60.5 GWh。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结论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所谓“最优配置”实际上是</w:t>
            </w:r>
            <w:r>
              <w:rPr>
                <w:rFonts w:ascii="Times New Roman" w:hAnsi="Times New Roman" w:eastAsia="宋体"/>
                <w:b/>
                <w:sz w:val="19"/>
              </w:rPr>
              <w:t>在人为设定的盒约束边界上的最优点</w:t>
            </w:r>
            <w:r>
              <w:rPr>
                <w:rFonts w:ascii="Times New Roman" w:hAnsi="Times New Roman" w:eastAsia="宋体"/>
                <w:b w:val="0"/>
                <w:sz w:val="19"/>
              </w:rPr>
              <w:t>，5 维里有 3 维顶死。梯度仍显著为负，说明真实最优解在搜索盒之外。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这不是程序错误，而是</w:t>
            </w:r>
            <w:r>
              <w:rPr>
                <w:rFonts w:ascii="Times New Roman" w:hAnsi="Times New Roman" w:eastAsia="宋体"/>
                <w:b/>
                <w:sz w:val="19"/>
              </w:rPr>
              <w:t>必须主动讨论的模型事实</w:t>
            </w:r>
            <w:r>
              <w:rPr>
                <w:rFonts w:ascii="Times New Roman" w:hAnsi="Times New Roman" w:eastAsia="宋体"/>
                <w:b w:val="0"/>
                <w:sz w:val="19"/>
              </w:rPr>
              <w:t>。它天然导出下一步工作：放宽搜索域、修正造价参数。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3.2 厂内自发电造价偏低约一个数量级</w:t>
      </w:r>
    </w:p>
    <w:p>
      <w:pPr>
        <w:ind w:firstLine="420"/>
      </w:pPr>
      <w:r>
        <w:rPr>
          <w:rFonts w:ascii="Times New Roman" w:hAnsi="Times New Roman" w:eastAsia="宋体"/>
        </w:rPr>
        <w:t>配置文件中厂内自发电的单位投资为 400 元/kW，可变成本 0.10 元/kWh。而实际燃气或柴油发电机组的单位投资约为 3000–6000 元/kW，购电均价约 0.60 元/kWh。这组参数使自发电成为“无脑最优”的选择，因此它必然顶到上界。</w:t>
      </w:r>
    </w:p>
    <w:p>
      <w:pPr>
        <w:ind w:firstLine="420"/>
      </w:pPr>
      <w:r>
        <w:rPr>
          <w:rFonts w:ascii="Times New Roman" w:hAnsi="Times New Roman" w:eastAsia="宋体"/>
        </w:rPr>
        <w:t>答辩时这一条几乎必被问到。应对方式是主动承认并给出敏感性对比：把造价乘以 3 倍、5 倍后重新求解，观察自发电容量如何下降，即可证明结论对参数不敏感（或敏感），这是加分而非减分。</w:t>
      </w:r>
    </w:p>
    <w:p>
      <w:pPr>
        <w:pStyle w:val="Heading2"/>
      </w:pPr>
      <w:r>
        <w:t>3.3 弃电率恒为零，allow_curtail 是惰性开关</w:t>
      </w:r>
    </w:p>
    <w:p>
      <w:pPr>
        <w:ind w:firstLine="420"/>
      </w:pPr>
      <w:r>
        <w:rPr>
          <w:rFonts w:ascii="Times New Roman" w:hAnsi="Times New Roman" w:eastAsia="宋体"/>
        </w:rPr>
        <w:t>两个算例的弃电率均为 0.00%。原因是售电价恒为正（0.10–0.20 元/kWh）且出口容量设为 1e4 MW （实际不构成约束），因此弃电永远劣于上网。结论是：在当前参数下 allow_curtail 这个开关不起作用。</w:t>
      </w:r>
    </w:p>
    <w:p>
      <w:pPr>
        <w:ind w:firstLine="420"/>
      </w:pPr>
      <w:r>
        <w:rPr>
          <w:rFonts w:ascii="Times New Roman" w:hAnsi="Times New Roman" w:eastAsia="宋体"/>
        </w:rPr>
        <w:t>若要让它起作用，必须限制并网点出口容量，或令售电价为 0。这可以作为一个补充实验：把进出口限值从 1e4 MW 改为真实并网容量（约 30 MW），观察弃电率是否变为正数。</w:t>
      </w:r>
    </w:p>
    <w:p>
      <w:pPr>
        <w:pStyle w:val="Heading2"/>
      </w:pPr>
      <w:r>
        <w:t>3.4 购售互斥二进制只在 89 小时必要</w:t>
      </w:r>
    </w:p>
    <w:p>
      <w:pPr>
        <w:ind w:firstLine="420"/>
      </w:pPr>
      <w:r>
        <w:rPr>
          <w:rFonts w:ascii="Times New Roman" w:hAnsi="Times New Roman" w:eastAsia="宋体"/>
        </w:rPr>
        <w:t>可行性引理：若某小时售电价不高于购电价，则同时购售永远不是严格最优。理由是：把购、售电量同时减少 δ，功率平衡不变，目标函数变化量为 δ×(售电价−购电价) ≤ 0。</w:t>
      </w:r>
    </w:p>
    <w:p>
      <w:pPr>
        <w:ind w:firstLine="420"/>
      </w:pPr>
      <w:r>
        <w:rPr>
          <w:rFonts w:ascii="Times New Roman" w:hAnsi="Times New Roman" w:eastAsia="宋体"/>
        </w:rPr>
        <w:t>实测数据支撑：原始 8760 h 中仅有 89 h（1.0%，分布于 85 个自然日）满足售电价高于购电价，最大价差 0.0298 元/kWh。若去掉互斥二进制改用 LP 松弛，模型在这类小时会刷出 139,724 MWh 的虚假套利，使 10 天场景成本从 132.2 万元暴跌至 17.5 万元——LP 松弛比 MILP 低 86.8%。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双重价值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理论上</w:t>
            </w:r>
            <w:r>
              <w:rPr>
                <w:rFonts w:ascii="Times New Roman" w:hAnsi="Times New Roman" w:eastAsia="宋体"/>
                <w:b w:val="0"/>
                <w:sz w:val="19"/>
              </w:rPr>
              <w:t>：证明了购售互斥二进制只需作用于套利小时，可把 8760 个二进制变量压缩到 89 个。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/>
                <w:sz w:val="19"/>
              </w:rPr>
              <w:t>方法论上</w:t>
            </w:r>
            <w:r>
              <w:rPr>
                <w:rFonts w:ascii="Times New Roman" w:hAnsi="Times New Roman" w:eastAsia="宋体"/>
                <w:b w:val="0"/>
                <w:sz w:val="19"/>
              </w:rPr>
              <w:t>：说明 LP 松弛下界在本问题中完全不可用，任何基于松弛的最优性论证都必须先处理这一点。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3.5 典型日数量 k 影响 1.56%</w:t>
      </w:r>
    </w:p>
    <w:p>
      <w:pPr>
        <w:ind w:firstLine="420"/>
      </w:pPr>
      <w:r>
        <w:rPr>
          <w:rFonts w:ascii="Times New Roman" w:hAnsi="Times New Roman" w:eastAsia="宋体"/>
        </w:rPr>
        <w:t>同一组容量下，k=3 的年化总成本为 46,902,500 元，k=6 为 47,633,153 元，相差 730,653 元（1.56%）。这说明典型日数量是一个必须交代的建模选择，不能随意取值。</w:t>
      </w:r>
    </w:p>
    <w:p>
      <w:pPr>
        <w:ind w:firstLine="420"/>
      </w:pPr>
      <w:r>
        <w:rPr>
          <w:rFonts w:ascii="Times New Roman" w:hAnsi="Times New Roman" w:eastAsia="宋体"/>
        </w:rPr>
        <w:t>另一个值得注意的现象：k=3、6、12 的典型日场景中，“售电价高于购电价”的小时数全部为 0，最大价差变为负值（−0.069 至 −0.095）。也就是说，典型日平均在结构上抹掉了价差套利机会，而两阶段 PSO 的粗搜阶段正是用典型日进行的——粗搜实际在优化一个结构不同的代理问题。这个观察本身就可以做成报告中的一段讨论。</w:t>
      </w:r>
    </w:p>
    <w:p>
      <w:pPr>
        <w:pStyle w:val="Heading1"/>
      </w:pPr>
      <w:r>
        <w:t>四、技术路线</w:t>
      </w:r>
    </w:p>
    <w:p>
      <w:pPr>
        <w:pStyle w:val="Heading2"/>
      </w:pPr>
      <w:r>
        <w:t>4.1 总体流程</w:t>
      </w:r>
    </w:p>
    <w:p>
      <w:pPr>
        <w:ind w:firstLine="420"/>
      </w:pPr>
      <w:r>
        <w:rPr>
          <w:rFonts w:ascii="Times New Roman" w:hAnsi="Times New Roman" w:eastAsia="宋体"/>
        </w:rPr>
        <w:t>整体思路是“先立骨架，再做实验，最后成文”。四个阶段之间存在依赖关系：形式化模型是后续一切的基础，对照实验依赖统一评价接口，验证与解释依赖稳定的结果，报告与 PPT 只是对前三阶段的呈现。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3  四阶段总体安排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020"/>
        <w:gridCol w:w="3061"/>
        <w:gridCol w:w="1020"/>
        <w:gridCol w:w="3742"/>
      </w:tblGrid>
      <w:tr>
        <w:trPr>
          <w:tblHeader w:val="true"/>
        </w:trPr>
        <w:tc>
          <w:tcPr>
            <w:tcW w:type="dxa" w:w="1020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06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1020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工期</w:t>
            </w:r>
          </w:p>
        </w:tc>
        <w:tc>
          <w:tcPr>
            <w:tcW w:type="dxa" w:w="3742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关键产出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 0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形式化建模 + 参数体检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 天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数学公式文档；参数合理性核对表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 1</w:t>
            </w:r>
          </w:p>
        </w:tc>
        <w:tc>
          <w:tcPr>
            <w:tcW w:type="dxa" w:w="30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算法论证 + 对照实验</w:t>
            </w:r>
          </w:p>
        </w:tc>
        <w:tc>
          <w:tcPr>
            <w:tcW w:type="dxa" w:w="102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1.5 周</w:t>
            </w:r>
          </w:p>
        </w:tc>
        <w:tc>
          <w:tcPr>
            <w:tcW w:type="dxa" w:w="3742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PSO / 随机搜索 / 网格搜索 / 贪心对比表与图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 2</w:t>
            </w:r>
          </w:p>
        </w:tc>
        <w:tc>
          <w:tcPr>
            <w:tcW w:type="dxa" w:w="306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最优性检验 + 模型验证</w:t>
            </w:r>
          </w:p>
        </w:tc>
        <w:tc>
          <w:tcPr>
            <w:tcW w:type="dxa" w:w="102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周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边际价值分析表、三项一致性校验、一键验证模式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 3</w:t>
            </w:r>
          </w:p>
        </w:tc>
        <w:tc>
          <w:tcPr>
            <w:tcW w:type="dxa" w:w="306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结果解释 + 敏感性深化</w:t>
            </w:r>
          </w:p>
        </w:tc>
        <w:tc>
          <w:tcPr>
            <w:tcW w:type="dxa" w:w="102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周</w:t>
            </w:r>
          </w:p>
        </w:tc>
        <w:tc>
          <w:tcPr>
            <w:tcW w:type="dxa" w:w="3742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k 扫描、搜索域扫描、造价敏感性、负荷增长情景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阶段 4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 + PPT + 试讲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周</w:t>
            </w:r>
          </w:p>
        </w:tc>
        <w:tc>
          <w:tcPr>
            <w:tcW w:type="dxa" w:w="374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报告约 25 页、PPT 16 页、答辩问答卡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4.2 各阶段验收标准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794"/>
        <w:gridCol w:w="4876"/>
        <w:gridCol w:w="3175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876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关键任务</w:t>
            </w:r>
          </w:p>
        </w:tc>
        <w:tc>
          <w:tcPr>
            <w:tcW w:type="dxa" w:w="3175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0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把调度模块的变量、约束、目标逐条写成公式；核对每个造价参数的出处与量级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公式能逐行对应到源代码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实现三个基线算法；统一评价接口；固定 20 次随机种子</w:t>
            </w:r>
          </w:p>
        </w:tc>
        <w:tc>
          <w:tcPr>
            <w:tcW w:type="dxa" w:w="317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产出均值、标准差、最优值统计表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有限差分计算总值函数梯度；成本分项求和校验；能量守恒校验</w:t>
            </w:r>
          </w:p>
        </w:tc>
        <w:tc>
          <w:tcPr>
            <w:tcW w:type="dxa" w:w="317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梯度表能解释每个容量的取值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k 从 2 扫到 12；上界从 40 扫到 80；自发电造价乘 1/3/5</w:t>
            </w:r>
          </w:p>
        </w:tc>
        <w:tc>
          <w:tcPr>
            <w:tcW w:type="dxa" w:w="317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每张图都能给出一句明确结论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撰写报告与 PPT；按预设问题清单试讲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12 个预设问题全部能脱稿回答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五、代码改动清单</w:t>
      </w:r>
    </w:p>
    <w:p>
      <w:pPr>
        <w:ind w:firstLine="420"/>
      </w:pPr>
      <w:r>
        <w:rPr>
          <w:rFonts w:ascii="Times New Roman" w:hAnsi="Times New Roman" w:eastAsia="宋体"/>
        </w:rPr>
        <w:t>按“答辩性价比”排序。P0 是必须完成的骨架，P1 是明显加分的增强，P2 视时间决定是否投入。</w:t>
      </w:r>
    </w:p>
    <w:p>
      <w:pPr>
        <w:pStyle w:val="Heading2"/>
      </w:pPr>
      <w:r>
        <w:t>5.1 P0：必做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4  P0 级改动（约 6.5 天）</w:t>
      </w:r>
    </w:p>
    <w:tbl>
      <w:tblPr>
        <w:tblStyle w:val="TableGrid"/>
        <w:tblW w:type="dxa" w:w="8618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041"/>
        <w:gridCol w:w="794"/>
        <w:gridCol w:w="4876"/>
        <w:gridCol w:w="907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79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876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907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工作量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docs/model.md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完整数学模型：变量表、约束逐条、目标函数、分段造价说明，可直接转 LaTeX 贴入报告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 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greenopt/analysis.py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边际价值分析（有限差分梯度）；能量守恒校验；成本分项闭合校验；约束可行性残差</w:t>
            </w:r>
          </w:p>
        </w:tc>
        <w:tc>
          <w:tcPr>
            <w:tcW w:type="dxa" w:w="90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 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experiments/compare.py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基线对照：随机搜索、网格搜索（二维子空间）、贪心坐标下降，统一评价接口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 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experiments/seeds.py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20 次种子运行，汇总为 CSV、统计表与箱线图</w:t>
            </w:r>
          </w:p>
        </w:tc>
        <w:tc>
          <w:tcPr>
            <w:tcW w:type="dxa" w:w="90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 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run_greenopt.py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改造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新增 --verify 一键验证报告、--compare 对比模式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0.5 天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5.2 P1：强烈建议</w:t>
      </w:r>
    </w:p>
    <w:tbl>
      <w:tblPr>
        <w:tblStyle w:val="TableGrid"/>
        <w:tblW w:type="dxa" w:w="8618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154"/>
        <w:gridCol w:w="1814"/>
        <w:gridCol w:w="4649"/>
      </w:tblGrid>
      <w:tr>
        <w:trPr>
          <w:tblHeader w:val="true"/>
        </w:trPr>
        <w:tc>
          <w:tcPr>
            <w:tcW w:type="dxa" w:w="215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181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649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greenopt/plots.py</w:t>
            </w:r>
          </w:p>
        </w:tc>
        <w:tc>
          <w:tcPr>
            <w:tcW w:type="dxa" w:w="1814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 3 张图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边际价值柱状图（本项目差异化亮点）、多种子箱线图、搜索域敏感性曲线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config.py</w:t>
            </w:r>
          </w:p>
        </w:tc>
        <w:tc>
          <w:tcPr>
            <w:tcW w:type="dxa" w:w="181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 analysis 配置段</w:t>
            </w:r>
          </w:p>
        </w:tc>
        <w:tc>
          <w:tcPr>
            <w:tcW w:type="dxa" w:w="4649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marginal_delta、n_seeds、ub_scan 等参数</w:t>
            </w:r>
          </w:p>
        </w:tc>
      </w:tr>
      <w:tr>
        <w:trPr>
          <w:cantSplit w:val="true"/>
        </w:trP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greenopt/sensitivity.py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扩展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增加“搜索上界扫描”与“负荷缩放”两个维度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5.3 P2：可选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</w:rPr>
        <w:t>把进出口限值从 1e4 MW 改为真实并网容量（约 30 MW），观察弃电率是否变为正——可救活 allow_curtail 功能，是一个漂亮的补充实验。</w:t>
      </w:r>
    </w:p>
    <w:p>
      <w:pPr>
        <w:pStyle w:val="ListBullet"/>
        <w:spacing w:after="40" w:line="324" w:lineRule="auto"/>
      </w:pPr>
      <w:r>
        <w:rPr>
          <w:rFonts w:ascii="Times New Roman" w:hAnsi="Times New Roman" w:eastAsia="宋体"/>
        </w:rPr>
        <w:t>配置文件中的 multi_run 目前是未被读取的空参数，正好在 experiments/seeds.py 中落地实现。</w:t>
      </w:r>
    </w:p>
    <w:p>
      <w:pPr>
        <w:pStyle w:val="Heading2"/>
      </w:pPr>
      <w:r>
        <w:t>5.4 不建议做</w:t>
      </w:r>
    </w:p>
    <w:p>
      <w:pPr>
        <w:ind w:firstLine="420"/>
      </w:pPr>
      <w:r>
        <w:rPr>
          <w:rFonts w:ascii="Times New Roman" w:hAnsi="Times New Roman" w:eastAsia="宋体"/>
        </w:rPr>
        <w:t>以下方向在期刊论文中是必需项，但在课程大作业阶段性价比极低，会挤占完成核心论证的时间：</w:t>
      </w:r>
    </w:p>
    <w:p>
      <w:pPr>
        <w:ind w:firstLine="420"/>
      </w:pPr>
      <w:r>
        <w:rPr>
          <w:rFonts w:ascii="Times New Roman" w:hAnsi="Times New Roman" w:eastAsia="宋体"/>
        </w:rPr>
        <w:t>不确定性建模与 CVaR、多地区算例、精确全局最优算法、碳价机制、机组启停与最小出力约束。</w:t>
      </w:r>
    </w:p>
    <w:p>
      <w:pPr>
        <w:pStyle w:val="Heading1"/>
      </w:pPr>
      <w:r>
        <w:t>六、报告与答辩材料结构</w:t>
      </w:r>
    </w:p>
    <w:p>
      <w:pPr>
        <w:pStyle w:val="Heading2"/>
      </w:pPr>
      <w:r>
        <w:t>6.1 报告结构（约 25 页，七章）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5  报告章节安排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680"/>
        <w:gridCol w:w="2381"/>
        <w:gridCol w:w="907"/>
        <w:gridCol w:w="4876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章</w:t>
            </w:r>
          </w:p>
        </w:tc>
        <w:tc>
          <w:tcPr>
            <w:tcW w:type="dxa" w:w="238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907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篇幅</w:t>
            </w:r>
          </w:p>
        </w:tc>
        <w:tc>
          <w:tcPr>
            <w:tcW w:type="dxa" w:w="4876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研究背景与意义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页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双碳目标、新能源消纳、储能配置的经济性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问题描述与数学模型</w:t>
            </w:r>
          </w:p>
        </w:tc>
        <w:tc>
          <w:tcPr>
            <w:tcW w:type="dxa" w:w="90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 页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双层结构图、变量表、约束逐条、目标函数、非凸性说明（核心）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求解算法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 页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内层 MILP、外层 PSO 公式、两阶段策略、局部精修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算例与结果</w:t>
            </w:r>
          </w:p>
        </w:tc>
        <w:tc>
          <w:tcPr>
            <w:tcW w:type="dxa" w:w="90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 页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数据说明、最优配置、调度结果图、成本构成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模型验证与讨论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 页</w:t>
            </w:r>
          </w:p>
        </w:tc>
        <w:tc>
          <w:tcPr>
            <w:tcW w:type="dxa" w:w="4876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自检、边际价值分析、成本闭合、三条模型局限（加分）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敏感性分析</w:t>
            </w:r>
          </w:p>
        </w:tc>
        <w:tc>
          <w:tcPr>
            <w:tcW w:type="dxa" w:w="90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页</w:t>
            </w:r>
          </w:p>
        </w:tc>
        <w:tc>
          <w:tcPr>
            <w:tcW w:type="dxa" w:w="4876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五维扫描、k 扫描、搜索域扫描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结论与展望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 页</w:t>
            </w:r>
          </w:p>
        </w:tc>
        <w:tc>
          <w:tcPr>
            <w:tcW w:type="dxa" w:w="4876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主要结论、局限、下一步工作</w:t>
            </w:r>
          </w:p>
        </w:tc>
      </w:tr>
    </w:tbl>
    <w:p>
      <w:pPr>
        <w:spacing w:before="0" w:after="0" w:line="100" w:lineRule="exact"/>
      </w:pPr>
    </w:p>
    <w:p>
      <w:pPr>
        <w:ind w:firstLine="420"/>
      </w:pPr>
      <w:r>
        <w:rPr>
          <w:rFonts w:ascii="Times New Roman" w:hAnsi="Times New Roman" w:eastAsia="宋体"/>
        </w:rPr>
        <w:t>参考文献 8–12 篇即可：1 篇综述、2–3 篇典型日方法、2–3 篇容量配置、1 篇 PSO 原始文献、1 篇求解器文献。</w:t>
      </w:r>
    </w:p>
    <w:p>
      <w:pPr>
        <w:pStyle w:val="Heading2"/>
      </w:pPr>
      <w:r>
        <w:t>6.2 PPT 结构（16 页）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794"/>
        <w:gridCol w:w="3628"/>
        <w:gridCol w:w="794"/>
        <w:gridCol w:w="3628"/>
      </w:tblGrid>
      <w:tr>
        <w:trPr>
          <w:tblHeader w:val="true"/>
        </w:trPr>
        <w:tc>
          <w:tcPr>
            <w:tcW w:type="dxa" w:w="79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62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79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页码</w:t>
            </w:r>
          </w:p>
        </w:tc>
        <w:tc>
          <w:tcPr>
            <w:tcW w:type="dxa" w:w="362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封面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内层 MILP：调度变量示意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研究背景与核心问题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外层 PSO：流程图与参数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文献现状与不足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算例设置与数据说明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研究内容与目标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结果：最优配置与成本构成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技术路线图（一张图讲全流程）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结果：典型日调度堆叠图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问题描述：双层耦合结构图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验证：边际价值分析（亮点）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数学模型：变量与约束</w:t>
            </w:r>
          </w:p>
        </w:tc>
        <w:tc>
          <w:tcPr>
            <w:tcW w:type="dxa" w:w="794"/>
            <w:vAlign w:val="center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敏感性分析</w:t>
            </w:r>
          </w:p>
        </w:tc>
      </w:tr>
      <w:tr>
        <w:trPr>
          <w:cantSplit w:val="true"/>
        </w:trPr>
        <w:tc>
          <w:tcPr>
            <w:tcW w:type="dxa" w:w="794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数学模型：目标函数与非凸性</w:t>
            </w:r>
          </w:p>
        </w:tc>
        <w:tc>
          <w:tcPr>
            <w:tcW w:type="dxa" w:w="794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3628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结论、局限与下一步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6.3 技术路线图要素</w:t>
      </w:r>
    </w:p>
    <w:p>
      <w:pPr>
        <w:ind w:firstLine="420"/>
      </w:pPr>
      <w:r>
        <w:rPr>
          <w:rFonts w:ascii="Times New Roman" w:hAnsi="Times New Roman" w:eastAsia="宋体"/>
        </w:rPr>
        <w:t>第 5 页那张图是全场的锚点，答辩时应反复指向它。建议画成一条闭合回路：</w:t>
      </w:r>
    </w:p>
    <w:p>
      <w:pPr>
        <w:jc w:val="center"/>
      </w:pPr>
      <w:r>
        <w:rPr>
          <w:rFonts w:ascii="Times New Roman" w:hAnsi="Times New Roman" w:eastAsia="宋体"/>
          <w:b/>
          <w:sz w:val="20"/>
        </w:rPr>
        <w:t>数据输入 → 典型日聚类 → 外层 PSO（决策容量） ⇄ 内层 MILP（求解调度） → 年化总成本 → 收敛判断 →（是）输出结果 → 模型验证与敏感性分析 → 结论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自检标准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如果这张技术路线图</w:t>
            </w:r>
            <w:r>
              <w:rPr>
                <w:rFonts w:ascii="Times New Roman" w:hAnsi="Times New Roman" w:eastAsia="宋体"/>
                <w:b/>
                <w:sz w:val="19"/>
              </w:rPr>
              <w:t>画不出来</w:t>
            </w:r>
            <w:r>
              <w:rPr>
                <w:rFonts w:ascii="Times New Roman" w:hAnsi="Times New Roman" w:eastAsia="宋体"/>
                <w:b w:val="0"/>
                <w:sz w:val="19"/>
              </w:rPr>
              <w:t>，说明自己的逻辑链还没有打通，此时不应动笔写报告。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七、答辩预设问题与答案要点</w:t>
      </w:r>
    </w:p>
    <w:p>
      <w:pPr>
        <w:ind w:firstLine="420"/>
      </w:pPr>
      <w:r>
        <w:rPr>
          <w:rFonts w:ascii="Times New Roman" w:hAnsi="Times New Roman" w:eastAsia="宋体"/>
        </w:rPr>
        <w:t>这是整个准备工作中回报最高的部分。建议打印成卡片，每一题练到能脱稿 30 秒讲完。</w:t>
      </w:r>
    </w:p>
    <w:p>
      <w:pPr>
        <w:keepNext/>
        <w:spacing w:before="120" w:after="60"/>
        <w:jc w:val="center"/>
      </w:pPr>
      <w:r>
        <w:rPr>
          <w:rFonts w:ascii="Times New Roman" w:hAnsi="Times New Roman" w:eastAsia="黑体"/>
          <w:b/>
          <w:color w:val="444444"/>
          <w:sz w:val="18"/>
        </w:rPr>
        <w:t>表 6  十二个预设问题</w:t>
      </w:r>
    </w:p>
    <w:tbl>
      <w:tblPr>
        <w:tblStyle w:val="TableGrid"/>
        <w:tblW w:type="dxa" w:w="8618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510"/>
        <w:gridCol w:w="2835"/>
        <w:gridCol w:w="5272"/>
      </w:tblGrid>
      <w:tr>
        <w:trPr>
          <w:tblHeader w:val="true"/>
        </w:trPr>
        <w:tc>
          <w:tcPr>
            <w:tcW w:type="dxa" w:w="510"/>
            <w:vAlign w:val="center"/>
            <w:shd w:val="clear" w:color="auto" w:fill="0072B2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0072B2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272"/>
            <w:vAlign w:val="center"/>
            <w:shd w:val="clear" w:color="auto" w:fill="0072B2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答案要点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为什么外层 PSO、内层 MILP，不用一个模型解完？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容量在内层是约束右端参数。若升为变量，容量×标幺出力成为双线性项；分档造价使投资关于容量分段二次。要么 McCormick 松弛（有间隙且规模爆炸），要么离散化（五维网格）。故采用“低维非凸外层 + 精确内层”的分解结构。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内层为什么必须是 MILP 而不是 LP？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购售互斥与充放互斥。加分回答：已证明只有售电价高于购电价的 89 小时需要购售二进制，其余小时 LP 最优解自动满足互斥。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PSO 怎么保证找到的是最优解？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不保证。所以做了四件事：有限差分梯度检验、20 次种子统计、随机/网格/贪心对照、局部模式搜索精修。并如实报告解落在搜索上界这一事实。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储能为什么是 15.9 MW / 50 MWh？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用边际价值解释：功率维梯度 +12,135（偏大），容量维 −5,592（略偏小），说明功率略超、容量略欠，时长约 3.1 小时。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弃电率为什么是 0？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售电价恒为正且出口不限，弃电永远劣于上网。所以 allow_curtail 在当前参数下是惰性开关——这是发现的模型局限之一。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典型日数量 k 怎么确定？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做了 k 从 2 到 12 的扫描，k=3 与 k=6 相差 1.56%；取成本误差小于 1% 的最小 k。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自发电 400 元/kW 合理吗？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不合理，偏低约一个数量级。这正是它顶到上界的原因；已做造价乘 3、乘 5 的敏感性，容量显著下降。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为什么不用 Gurobi 或 CPLEX？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开源可复现；HiGHS 是当前性能最强的开源 MILP 求解器；本题规模不需要商业求解器。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这个模型是凸优化问题吗？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不是。年化投资因分档降价呈分段凹，内层含二进制约非凸，因此是全局优化问题——这正是需要元启发式方法的原因。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10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你的工作创新点在哪里？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不要夸大方法创新。诚实回答：把分档造价、循环寿命反噬、厂内自发电三类工程细节同时纳入双层框架，并给出可复现实现与完整验证。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结果有什么工程含义？</w:t>
            </w:r>
          </w:p>
        </w:tc>
        <w:tc>
          <w:tcPr>
            <w:tcW w:type="dxa" w:w="5272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一句话概括：在当前造价下，绿电负荷占比 50.86%，度电成本 X 元/kWh，相比全网购电节省 Y%。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EEF5FA"/>
          </w:tcPr>
          <w:p>
            <w:pPr>
              <w:spacing w:after="0" w:before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12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如果负荷增长 20% 会怎样？</w:t>
            </w:r>
          </w:p>
        </w:tc>
        <w:tc>
          <w:tcPr>
            <w:tcW w:type="dxa" w:w="5272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已补充负荷缩放情景：各维容量单调上升，其中储能增幅最大。</w:t>
            </w:r>
          </w:p>
        </w:tc>
      </w:tr>
    </w:tbl>
    <w:p>
      <w:pPr>
        <w:spacing w:before="0" w:after="0" w:line="100" w:lineRule="exact"/>
      </w:pPr>
    </w:p>
    <w:p>
      <w:pPr>
        <w:pStyle w:val="Heading1"/>
      </w:pPr>
      <w:r>
        <w:t>八、时间不足时的取舍顺序</w:t>
      </w:r>
    </w:p>
    <w:p>
      <w:pPr>
        <w:ind w:firstLine="420"/>
      </w:pPr>
      <w:r>
        <w:rPr>
          <w:rFonts w:ascii="Times New Roman" w:hAnsi="Times New Roman" w:eastAsia="宋体"/>
        </w:rPr>
        <w:t>按下列顺序从后往前裁剪，即使只剩四项核心内容，也足以支撑一场体面的答辩。</w:t>
      </w:r>
    </w:p>
    <w:tbl>
      <w:tblPr>
        <w:tblStyle w:val="TableGrid"/>
        <w:tblW w:type="dxa" w:w="8618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247"/>
        <w:gridCol w:w="4535"/>
        <w:gridCol w:w="2835"/>
      </w:tblGrid>
      <w:tr>
        <w:trPr>
          <w:tblHeader w:val="true"/>
        </w:trPr>
        <w:tc>
          <w:tcPr>
            <w:tcW w:type="dxa" w:w="1247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4535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裁剪对象</w:t>
            </w:r>
          </w:p>
        </w:tc>
        <w:tc>
          <w:tcPr>
            <w:tcW w:type="dxa" w:w="2835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先砍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P2 全部（并网限值调整、multi_run 落地）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锦上添花，不影响主线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再砍</w:t>
            </w:r>
          </w:p>
        </w:tc>
        <w:tc>
          <w:tcPr>
            <w:tcW w:type="dxa" w:w="453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搜索域敏感性、负荷增长情景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讨论部分可用定性描述替代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可降级</w:t>
            </w:r>
          </w:p>
        </w:tc>
        <w:tc>
          <w:tcPr>
            <w:tcW w:type="dxa" w:w="453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多种子统计（20 次退化为 5 次）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仍保留统计口径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必须保留</w:t>
            </w:r>
          </w:p>
        </w:tc>
        <w:tc>
          <w:tcPr>
            <w:tcW w:type="dxa" w:w="45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形式化模型 + 基线对照 + 边际价值分析 + 模型局限</w:t>
            </w:r>
          </w:p>
        </w:tc>
        <w:tc>
          <w:tcPr>
            <w:tcW w:type="dxa" w:w="2835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决定答辩成败的四项</w:t>
            </w:r>
          </w:p>
        </w:tc>
      </w:tr>
    </w:tbl>
    <w:p>
      <w:pPr>
        <w:spacing w:before="0" w:after="0" w:line="100" w:lineRule="exact"/>
      </w:pP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8844"/>
      </w:tblGrid>
      <w:tr>
        <w:tc>
          <w:tcPr>
            <w:tcW w:type="dxa" w:w="8844"/>
            <w:shd w:val="clear" w:color="auto" w:fill="FFF6E5"/>
          </w:tcPr>
          <w:p>
            <w:pPr>
              <w:spacing w:after="40"/>
            </w:pPr>
            <w:r>
              <w:rPr>
                <w:rFonts w:ascii="Times New Roman" w:hAnsi="Times New Roman" w:eastAsia="黑体"/>
                <w:b/>
                <w:color w:val="A85400"/>
                <w:sz w:val="19"/>
              </w:rPr>
              <w:t>判断依据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“形式化模型”和“基线对照”决定你</w:t>
            </w:r>
            <w:r>
              <w:rPr>
                <w:rFonts w:ascii="Times New Roman" w:hAnsi="Times New Roman" w:eastAsia="宋体"/>
                <w:b/>
                <w:sz w:val="19"/>
              </w:rPr>
              <w:t>不被问倒</w:t>
            </w:r>
            <w:r>
              <w:rPr>
                <w:rFonts w:ascii="Times New Roman" w:hAnsi="Times New Roman" w:eastAsia="宋体"/>
                <w:b w:val="0"/>
                <w:sz w:val="19"/>
              </w:rPr>
              <w:t>；</w:t>
            </w:r>
          </w:p>
          <w:p>
            <w:pPr>
              <w:spacing w:after="20" w:line="312" w:lineRule="auto"/>
            </w:pPr>
            <w:r>
              <w:rPr>
                <w:rFonts w:ascii="Times New Roman" w:hAnsi="Times New Roman" w:eastAsia="宋体"/>
                <w:b w:val="0"/>
                <w:sz w:val="19"/>
              </w:rPr>
              <w:t>“边际价值分析”和“模型局限讨论”决定你</w:t>
            </w:r>
            <w:r>
              <w:rPr>
                <w:rFonts w:ascii="Times New Roman" w:hAnsi="Times New Roman" w:eastAsia="宋体"/>
                <w:b/>
                <w:sz w:val="19"/>
              </w:rPr>
              <w:t>拿高分</w:t>
            </w:r>
            <w:r>
              <w:rPr>
                <w:rFonts w:ascii="Times New Roman" w:hAnsi="Times New Roman" w:eastAsia="宋体"/>
                <w:b w:val="0"/>
                <w:sz w:val="19"/>
              </w:rPr>
              <w:t>。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九、立即可执行的三项任务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先跑通一次完整流程：</w:t>
      </w:r>
      <w:r>
        <w:rPr>
          <w:rFonts w:ascii="Times New Roman" w:hAnsi="Times New Roman" w:eastAsia="宋体"/>
        </w:rPr>
        <w:t>把 results/ 目录完整跑出来，确保手上有真实的图表与数字，报告里所有配图都有出处。</w:t>
      </w:r>
    </w:p>
    <w:p>
      <w:pPr>
        <w:spacing w:after="100"/>
        <w:ind w:firstLine="420"/>
      </w:pPr>
      <w:r>
        <w:rPr>
          <w:rFonts w:ascii="Times New Roman" w:hAnsi="Times New Roman" w:eastAsia="宋体"/>
          <w:sz w:val="19"/>
        </w:rPr>
        <w:t>此刻项目从未完整运行过（无 .env、无 results/ 目录）。建议先执行 python run_greenopt.py --quick 确认环境与输出链路通畅，再跑正式算例。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固化亮点：</w:t>
      </w:r>
      <w:r>
        <w:rPr>
          <w:rFonts w:ascii="Times New Roman" w:hAnsi="Times New Roman" w:eastAsia="宋体"/>
        </w:rPr>
        <w:t>把边际价值分析的逻辑正式搬进 greenopt/analysis.py，并接入 --verify 模式。这是本项目的差异化亮点，也是答辩现场最能证明“你懂优化理论”的一页。</w:t>
      </w:r>
    </w:p>
    <w:p>
      <w:pPr>
        <w:spacing w:after="100"/>
        <w:ind w:firstLine="420"/>
      </w:pPr>
      <w:r>
        <w:rPr>
          <w:rFonts w:ascii="Times New Roman" w:hAnsi="Times New Roman" w:eastAsia="宋体"/>
          <w:sz w:val="19"/>
        </w:rPr>
        <w:t>参考脚本 _diag_marginal.py：对五个容量维度做中心差分，把总成本梯度拆成投资项与运行项，内点最优处应趋于零。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</w:rPr>
        <w:t>画技术路线图：</w:t>
      </w:r>
      <w:r>
        <w:rPr>
          <w:rFonts w:ascii="Times New Roman" w:hAnsi="Times New Roman" w:eastAsia="宋体"/>
        </w:rPr>
        <w:t>如果这张图画不出来，说明自己的逻辑链还没有打通，应先理顺逻辑再动笔写报告。</w:t>
      </w:r>
    </w:p>
    <w:p>
      <w:pPr>
        <w:pStyle w:val="Heading1"/>
      </w:pPr>
      <w:r>
        <w:t>附录  诊断依据与复现说明</w:t>
      </w:r>
    </w:p>
    <w:p>
      <w:pPr>
        <w:pStyle w:val="Heading2"/>
      </w:pPr>
      <w:r>
        <w:t>A.1 数据与运行环境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701"/>
        <w:gridCol w:w="7143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输入数据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Dataset.xlsx 的 BasicData 工作表，8760 行（365 天 × 24 h），6 列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数据特征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负荷均值 21.0 MW（0–34.3）；光伏标幺最大 0.833；风电标幺最大 0.675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电价区间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购电 0.1688–1.4629 元/kWh；售电 0.1000–0.2000 元/kWh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运行环境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 3.11.9；numpy 2.4.6；pandas 3.0.6；scipy 1.17.1；matplotlib 3.11.2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求解器</w:t>
            </w:r>
          </w:p>
        </w:tc>
        <w:tc>
          <w:tcPr>
            <w:tcW w:type="dxa" w:w="7143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scipy.optimize.milp（内部 HiGHS），无需商业求解器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自检结果</w:t>
            </w:r>
          </w:p>
        </w:tc>
        <w:tc>
          <w:tcPr>
            <w:tcW w:type="dxa" w:w="7143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7 项断言全部通过；功率平衡残差 7.11e-15；PV 37.5 MW 插值单价 3041.6667 元/kW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A.2 诊断脚本</w:t>
      </w:r>
    </w:p>
    <w:p>
      <w:pPr>
        <w:ind w:firstLine="420"/>
      </w:pPr>
      <w:r>
        <w:rPr>
          <w:rFonts w:ascii="Times New Roman" w:hAnsi="Times New Roman" w:eastAsia="宋体"/>
        </w:rPr>
        <w:t>本文档中所有实测数字由以下脚本产生，均位于工作目录根目录，可直接重跑核验：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2494"/>
        <w:gridCol w:w="6350"/>
      </w:tblGrid>
      <w:tr>
        <w:trPr>
          <w:tblHeader w:val="true"/>
        </w:trPr>
        <w:tc>
          <w:tcPr>
            <w:tcW w:type="dxa" w:w="2494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脚本</w:t>
            </w:r>
          </w:p>
        </w:tc>
        <w:tc>
          <w:tcPr>
            <w:tcW w:type="dxa" w:w="6350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产出内容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_diag_arbitrage.py</w:t>
            </w:r>
          </w:p>
        </w:tc>
        <w:tc>
          <w:tcPr>
            <w:tcW w:type="dxa" w:w="6350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购售价差套利窗口统计；典型日上 LP 松弛与 MILP 的对比；分档造价函数形状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_diag_arbitrage2.py</w:t>
            </w:r>
          </w:p>
        </w:tc>
        <w:tc>
          <w:tcPr>
            <w:tcW w:type="dxa" w:w="6350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原始小时上的套利日识别；LP 松弛虚假套利量化；典型日平均对价差的影响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_diag_marginal.py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边际价值分析（有限差分梯度）；任意容量与 PSO 近似最优解的梯度对照</w:t>
            </w:r>
          </w:p>
        </w:tc>
      </w:tr>
    </w:tbl>
    <w:p>
      <w:pPr>
        <w:spacing w:before="0" w:after="0" w:line="100" w:lineRule="exact"/>
      </w:pPr>
    </w:p>
    <w:p>
      <w:pPr>
        <w:pStyle w:val="Heading2"/>
      </w:pPr>
      <w:r>
        <w:t>A.3 术语对照</w:t>
      </w:r>
    </w:p>
    <w:tbl>
      <w:tblPr>
        <w:tblStyle w:val="TableGrid"/>
        <w:tblW w:type="dxa" w:w="8845"/>
        <w:jc w:val="center"/>
        <w:tblLook w:firstColumn="1" w:firstRow="1" w:lastColumn="0" w:lastRow="0" w:noHBand="0" w:noVBand="1" w:val="04A0"/>
        <w:tblCellMar>
          <w:top w:w="40" w:type="dxa"/>
          <w:left w:w="90" w:type="dxa"/>
          <w:bottom w:w="40" w:type="dxa"/>
          <w:right w:w="90" w:type="dxa"/>
        </w:tblCellMar>
        <w:tblLayout w:type="fixed"/>
      </w:tblPr>
      <w:tblGrid>
        <w:gridCol w:w="1928"/>
        <w:gridCol w:w="6917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917"/>
            <w:vAlign w:val="center"/>
            <w:shd w:val="clear" w:color="auto" w:fill="0072B2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PSO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粒子群优化，本项目的容量搜索算法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MILP</w:t>
            </w:r>
          </w:p>
        </w:tc>
        <w:tc>
          <w:tcPr>
            <w:tcW w:type="dxa" w:w="691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混合整数线性规划，本项目的逐时调度求解模型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LP 松弛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去掉整数约束后的线性松弛，常被用作最优性下界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边际价值</w:t>
            </w:r>
          </w:p>
        </w:tc>
        <w:tc>
          <w:tcPr>
            <w:tcW w:type="dxa" w:w="6917"/>
            <w:vAlign w:val="center"/>
            <w:shd w:val="clear" w:color="auto" w:fill="EEF5FA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总成本对某维容量的偏导，内点最优处应趋于零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典型日</w:t>
            </w:r>
          </w:p>
        </w:tc>
        <w:tc>
          <w:tcPr>
            <w:tcW w:type="dxa" w:w="6917"/>
            <w:vAlign w:val="center"/>
          </w:tcPr>
          <w:p>
            <w:pPr>
              <w:keepNext/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用聚类方法从全年数据中提炼的代表性日，按代表天数加权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/>
                <w:sz w:val="18"/>
              </w:rPr>
              <w:t>套利小时</w:t>
            </w:r>
          </w:p>
        </w:tc>
        <w:tc>
          <w:tcPr>
            <w:tcW w:type="dxa" w:w="6917"/>
            <w:vAlign w:val="center"/>
            <w:shd w:val="clear" w:color="auto" w:fill="EEF5FA"/>
          </w:tcPr>
          <w:p>
            <w:pPr>
              <w:spacing w:after="0" w:before="0" w:line="276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售电价高于购电价、允许同时购售即可获利的小时</w:t>
            </w:r>
          </w:p>
        </w:tc>
      </w:tr>
    </w:tbl>
    <w:p>
      <w:pPr>
        <w:spacing w:before="0" w:after="0" w:line="100" w:lineRule="exact"/>
      </w:pPr>
    </w:p>
    <w:p>
      <w:pPr>
        <w:spacing w:before="40" w:after="40"/>
        <w:pBdr>
          <w:bottom w:val="single" w:sz="6" w:space="1" w:color="C9DDF0"/>
        </w:pBdr>
      </w:pPr>
    </w:p>
    <w:p>
      <w:pPr>
        <w:jc w:val="center"/>
      </w:pPr>
      <w:r>
        <w:rPr>
          <w:rFonts w:ascii="Times New Roman" w:hAnsi="Times New Roman" w:eastAsia="宋体"/>
          <w:color w:val="999999"/>
          <w:sz w:val="18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17" w:bottom="1247" w:left="1417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color w:val="888888"/>
        <w:sz w:val="17"/>
      </w:rPr>
      <w:t>风光储最优化调度 · 课程大作业改造方案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B3D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7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72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