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  <w:jc w:val="center"/>
      </w:pPr>
      <w:r>
        <w:rPr>
          <w:rFonts w:ascii="Times New Roman" w:hAnsi="Times New Roman" w:eastAsia="黑体"/>
          <w:b/>
          <w:color w:val="0B3D66"/>
          <w:sz w:val="48"/>
        </w:rPr>
        <w:t>GreenOpt 项目</w:t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color w:val="0072B2"/>
          <w:sz w:val="36"/>
        </w:rPr>
        <w:t>变更说明与技术决策记录</w:t>
      </w:r>
    </w:p>
    <w:p>
      <w:pPr>
        <w:spacing w:after="520"/>
        <w:jc w:val="center"/>
      </w:pPr>
      <w:r>
        <w:rPr>
          <w:rFonts w:ascii="Times New Roman" w:hAnsi="Times New Roman" w:eastAsia="宋体"/>
          <w:color w:val="666666"/>
          <w:sz w:val="22"/>
        </w:rPr>
        <w:t>—— 改了什么 · 为什么改 · 如何验证 ——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01"/>
        <w:gridCol w:w="7143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文档对象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NewEnergyOptimizationStrategy-main / GreenOpt 风光储容量配置与调度模型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变更基线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原始工程代码（修复前的首次提交前状态）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当前状态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仓库 gonh70216230/greenopt，4 次提交，24 个跟踪文件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变更范围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 处阻断级缺陷修复、2 项求解性能优化、1 次内层结构重构、</w:t>
              <w:br/>
              <w:t>可观测性与报表可追溯性改进、6 项工程化配置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记录方式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每项变更均给出「问题—动机—改法—实测」，实测数据可复现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生成日期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 年 10 月 23 日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一、文档目的与阅读方式</w:t>
      </w:r>
    </w:p>
    <w:p>
      <w:pPr>
        <w:ind w:firstLine="420"/>
      </w:pPr>
      <w:r>
        <w:rPr>
          <w:rFonts w:ascii="Times New Roman" w:hAnsi="Times New Roman" w:eastAsia="宋体"/>
        </w:rPr>
        <w:t>本文档完整记录本轮对 GreenOpt 项目所做的全部代码与工程变更。目的有三个：一是让评审与接手者快速理解每处改动的动机；二是为答辩提供可引用的技术决策依据；三是保证任何人都能按文档复现验证。</w:t>
      </w:r>
    </w:p>
    <w:p>
      <w:pPr>
        <w:ind w:firstLine="420"/>
      </w:pPr>
      <w:r>
        <w:rPr>
          <w:rFonts w:ascii="Times New Roman" w:hAnsi="Times New Roman" w:eastAsia="宋体"/>
        </w:rPr>
        <w:t>每项变更统一按四段式叙述：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问题：</w:t>
      </w:r>
      <w:r>
        <w:rPr>
          <w:rFonts w:ascii="Times New Roman" w:hAnsi="Times New Roman" w:eastAsia="宋体"/>
        </w:rPr>
        <w:t>改了什么、改在哪一行。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动机：</w:t>
      </w:r>
      <w:r>
        <w:rPr>
          <w:rFonts w:ascii="Times New Roman" w:hAnsi="Times New Roman" w:eastAsia="宋体"/>
        </w:rPr>
        <w:t>不这么改会有什么后果（性能、正确性或可维护性）。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改法：</w:t>
      </w:r>
      <w:r>
        <w:rPr>
          <w:rFonts w:ascii="Times New Roman" w:hAnsi="Times New Roman" w:eastAsia="宋体"/>
        </w:rPr>
        <w:t>具体实现与关键代码。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实测：</w:t>
      </w:r>
      <w:r>
        <w:rPr>
          <w:rFonts w:ascii="Times New Roman" w:hAnsi="Times New Roman" w:eastAsia="宋体"/>
        </w:rPr>
        <w:t>量化指标，全部来自可重跑的基准脚本。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一句话总结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本轮没有改动模型的经济口径与约束语义，</w:t>
            </w:r>
            <w:r>
              <w:rPr>
                <w:rFonts w:ascii="Times New Roman" w:hAnsi="Times New Roman" w:eastAsia="宋体"/>
                <w:b/>
                <w:sz w:val="19"/>
              </w:rPr>
              <w:t>输出结果逐位不变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改动集中在三类：</w:t>
            </w:r>
            <w:r>
              <w:rPr>
                <w:rFonts w:ascii="Times New Roman" w:hAnsi="Times New Roman" w:eastAsia="宋体"/>
                <w:b/>
                <w:sz w:val="19"/>
              </w:rPr>
              <w:t>修掉一个会让正式算例必崩的缺陷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/>
                <w:b/>
                <w:sz w:val="19"/>
              </w:rPr>
              <w:t>把 MILP 的整数变量从 17520 降到 89（12.8 倍加速）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/>
                <w:b/>
                <w:sz w:val="19"/>
              </w:rPr>
              <w:t>让长跑过程可见、结果可追溯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二、变更总览</w:t>
      </w:r>
    </w:p>
    <w:p>
      <w:pPr>
        <w:ind w:firstLine="420"/>
      </w:pPr>
      <w:r>
        <w:rPr>
          <w:rFonts w:ascii="Times New Roman" w:hAnsi="Times New Roman" w:eastAsia="宋体"/>
        </w:rPr>
        <w:t>共 17 项，按性质分为四类。下表为索引，详细说明见后续各章。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  变更总览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680"/>
        <w:gridCol w:w="2608"/>
        <w:gridCol w:w="1134"/>
        <w:gridCol w:w="442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0072B2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608"/>
            <w:vAlign w:val="center"/>
            <w:shd w:val="clear" w:color="auto" w:fill="0072B2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34"/>
            <w:vAlign w:val="center"/>
            <w:shd w:val="clear" w:color="auto" w:fill="0072B2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性质</w:t>
            </w:r>
          </w:p>
        </w:tc>
        <w:tc>
          <w:tcPr>
            <w:tcW w:type="dxa" w:w="4422"/>
            <w:vAlign w:val="center"/>
            <w:shd w:val="clear" w:color="auto" w:fill="0072B2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变更摘要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greenopt/optimizer.py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缺陷修复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修复 n_reset 与空 fixed 掩码导致的索引越界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C2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greenopt/dispatch.py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性能优化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购售互斥二进制只在套利小时建模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C3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greenopt/dispatch.py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性能优化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充放互斥改为「先解 LP、按需补二进制」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C4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greenopt/dispatch.py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结构重构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拆分为 _solve_once + solve_dispatch 策略分派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C5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greenopt/progress.py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新增模块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零依赖进度条，自适应终端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C6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run_greenopt.py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可观测性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8 阶段流水线 + --no-progress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C7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greenopt/sensitivity.py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可观测性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五维扫描进度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C8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greenopt/plots.py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重构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出图改为任务清单 + 逐张进度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C9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greenopt/reporting.py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可追溯性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搜索设置表记录 binary_mode / cd_mode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C10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config.py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 milp.binary_mode 与 milp.cd_mode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C11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greenopt/optimizer.py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可观测性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PSO 与局部精修接入进度条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C12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.gitignore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扩充忽略规则（备份、缓存、日志）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C13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.gitattributes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 LF 换行、标记二进制文件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C14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.github/workflows/ci.yml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CI：双版本自检 + 端到端冒烟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C15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CONTRIBUTING.md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协作约定与提交前检查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C16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README.md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4422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重写：模型、性能、已知局限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C17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.env.example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补回运行设置模板（原缺失）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三、阻断级缺陷修复（C1）</w:t>
      </w:r>
    </w:p>
    <w:p>
      <w:pPr>
        <w:pStyle w:val="Heading2"/>
      </w:pPr>
      <w:r>
        <w:t>3.1 现象</w:t>
      </w:r>
    </w:p>
    <w:p>
      <w:pPr>
        <w:ind w:firstLine="420"/>
      </w:pPr>
      <w:r>
        <w:rPr>
          <w:rFonts w:ascii="Times New Roman" w:hAnsi="Times New Roman" w:eastAsia="宋体"/>
        </w:rPr>
        <w:t>按默认配置运行正式算例 python run_greenopt.py，在进入外层搜索的第一步即崩溃：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4F4F4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File "greenopt/optimizer.py", line 92, in _pso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 xml:space="preserve">    x[worst] = rng.uniform(lb, ub, (n_reset, d)); x[worst, fixed] = lb[fixed]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IndexError: shape mismatch: indexing arrays could not be broadcast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together with shapes (6,) (0,)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值得强调的是：这个问题在快速模式 --quick 与早期手工测试中都不出现，只在默认正式配置下必然触发——属于典型的「交付前跑一次正式算例才会暴露」的缺陷。</w:t>
      </w:r>
    </w:p>
    <w:p>
      <w:pPr>
        <w:pStyle w:val="Heading2"/>
      </w:pPr>
      <w:r>
        <w:t>3.2 根因</w:t>
      </w:r>
    </w:p>
    <w:p>
      <w:pPr>
        <w:ind w:firstLine="420"/>
      </w:pPr>
      <w:r>
        <w:rPr>
          <w:rFonts w:ascii="Times New Roman" w:hAnsi="Times New Roman" w:eastAsia="宋体"/>
        </w:rPr>
        <w:t>这段代码在「重撒最差粒子」时，试图把被固定的维度回写到下界。它用两个数组同时索引二维数组：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4F4F4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x[worst, fixed] = lb[fixed]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 worst : 形状 (n_reset,)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 fixed : 布尔掩码；当所有维度都不固定时，选中 0 列 → 形状 (0,)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NumPy 的双数组索引要求两个索引数组能广播。n_reset = 6 与 0 既不相等、也没有一个是 1，因此直接抛 IndexError。</w:t>
      </w:r>
    </w:p>
    <w:p>
      <w:pPr>
        <w:pStyle w:val="Heading2"/>
      </w:pPr>
      <w:r>
        <w:t>3.3 为什么之前没被发现</w:t>
      </w:r>
    </w:p>
    <w:p>
      <w:pPr>
        <w:ind w:firstLine="420"/>
      </w:pPr>
      <w:r>
        <w:rPr>
          <w:rFonts w:ascii="Times New Roman" w:hAnsi="Times New Roman" w:eastAsia="宋体"/>
        </w:rPr>
        <w:t>触发条件是「n_reset &gt; 1 且没有被固定的维度」。项目默认配置恰好满足，而其他入口都不满足：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2  n_reset 与崩溃的对应关系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494"/>
        <w:gridCol w:w="1361"/>
        <w:gridCol w:w="3175"/>
        <w:gridCol w:w="1814"/>
      </w:tblGrid>
      <w:tr>
        <w:trPr>
          <w:tblHeader w:val="true"/>
        </w:trPr>
        <w:tc>
          <w:tcPr>
            <w:tcW w:type="dxa" w:w="249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136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n_pop</w:t>
            </w:r>
          </w:p>
        </w:tc>
        <w:tc>
          <w:tcPr>
            <w:tcW w:type="dxa" w:w="3175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n_reset = int(n_pop × 0.10)</w:t>
            </w:r>
          </w:p>
        </w:tc>
        <w:tc>
          <w:tcPr>
            <w:tcW w:type="dxa" w:w="181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是否崩溃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--quick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否（分支不执行）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早期手工测试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317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否（(1,) 可与 (0,) 广播）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默认正式配置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60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是（必然触发）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这是一个「两个巧合叠加」的漏网缺陷：快速模式绕开了分支，测试规模碰巧能广播。</w:t>
      </w:r>
    </w:p>
    <w:p>
      <w:pPr>
        <w:pStyle w:val="Heading2"/>
      </w:pPr>
      <w:r>
        <w:t>3.4 改法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4F4F4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x[worst] = rng.uniform(lb, ub, (n_reset, d))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仅当存在被固定的维度时才回写。flatnonzero 把布尔掩码转成整数列号，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尺寸匹配问题从根上消除；fixed.any() 守卫保证无固定维度时整段跳过。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if fixed.any():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 xml:space="preserve">    x[worst[:, None], np.flatnonzero(fixed)] = lb[fixed]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同时把同文件另一处 x[:, fixed] = lb[fixed] 也加了同样的守卫，保持风格一致。</w:t>
      </w:r>
    </w:p>
    <w:p>
      <w:pPr>
        <w:pStyle w:val="Heading2"/>
      </w:pPr>
      <w:r>
        <w:t>3.5 验证</w:t>
      </w:r>
    </w:p>
    <w:p>
      <w:pPr>
        <w:ind w:firstLine="420"/>
      </w:pPr>
      <w:r>
        <w:rPr>
          <w:rFonts w:ascii="Times New Roman" w:hAnsi="Times New Roman" w:eastAsia="宋体"/>
        </w:rPr>
        <w:t>新增回归脚本 _regress_pso.py，直接以默认规模 n_pop=60（n_reset=6）复现原崩溃路径：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3  回归测试结果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3175"/>
        <w:gridCol w:w="1247"/>
        <w:gridCol w:w="1134"/>
        <w:gridCol w:w="3288"/>
      </w:tblGrid>
      <w:tr>
        <w:trPr>
          <w:tblHeader w:val="true"/>
        </w:trPr>
        <w:tc>
          <w:tcPr>
            <w:tcW w:type="dxa" w:w="3175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1247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固定维数</w:t>
            </w:r>
          </w:p>
        </w:tc>
        <w:tc>
          <w:tcPr>
            <w:tcW w:type="dxa" w:w="113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88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 无固定维度（原崩溃场景）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178 次评价正常完成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 固定 PV=20、时长=2</w:t>
            </w:r>
          </w:p>
        </w:tc>
        <w:tc>
          <w:tcPr>
            <w:tcW w:type="dxa" w:w="1247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PASS</w:t>
            </w:r>
          </w:p>
        </w:tc>
        <w:tc>
          <w:tcPr>
            <w:tcW w:type="dxa" w:w="328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固定维漂移 0.00e+00，回写正确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四、求解性能优化（C2 / C3 / C4）</w:t>
      </w:r>
    </w:p>
    <w:p>
      <w:pPr>
        <w:pStyle w:val="Heading2"/>
      </w:pPr>
      <w:r>
        <w:t>4.1 问题定位</w:t>
      </w:r>
    </w:p>
    <w:p>
      <w:pPr>
        <w:ind w:firstLine="420"/>
      </w:pPr>
      <w:r>
        <w:rPr>
          <w:rFonts w:ascii="Times New Roman" w:hAnsi="Times New Roman" w:eastAsia="宋体"/>
        </w:rPr>
        <w:t>内层是标准 MILP：scipy.optimize.milp → HiGHS，LP 松弛用对偶修正单纯形，MILP 走 presolve + 分支割平面。**这一层没有算法短板**——它和 Gurobi/CPLEX 属于同一类方法，差别只在工程成熟度。真正的开销来自**二进制变量的数量**。</w:t>
      </w:r>
    </w:p>
    <w:p>
      <w:pPr>
        <w:ind w:firstLine="420"/>
      </w:pPr>
      <w:r>
        <w:rPr>
          <w:rFonts w:ascii="Times New Roman" w:hAnsi="Times New Roman" w:eastAsia="宋体"/>
        </w:rPr>
        <w:t>原实现有两组互斥二进制，各 n 个（n 为小时数）：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 xml:space="preserve">① </w:t>
      </w:r>
      <w:r>
        <w:rPr>
          <w:rFonts w:ascii="Times New Roman" w:hAnsi="Times New Roman" w:eastAsia="宋体"/>
        </w:rPr>
        <w:t>购售电互斥（buy / sell 不能同时为正），默认开启；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 xml:space="preserve">② </w:t>
      </w:r>
      <w:r>
        <w:rPr>
          <w:rFonts w:ascii="Times New Roman" w:hAnsi="Times New Roman" w:eastAsia="宋体"/>
        </w:rPr>
        <w:t>充放电互斥（charge / discharge 不能同时为正），strict 模式下强制开启。</w:t>
      </w:r>
    </w:p>
    <w:p>
      <w:pPr>
        <w:ind w:firstLine="420"/>
      </w:pPr>
      <w:r>
        <w:rPr>
          <w:rFonts w:ascii="Times New Roman" w:hAnsi="Times New Roman" w:eastAsia="宋体"/>
        </w:rPr>
        <w:t>全年 8760 h 时，两者合计 17520 个整数变量，这是求解慢的直接原因。</w:t>
      </w:r>
    </w:p>
    <w:p>
      <w:pPr>
        <w:pStyle w:val="Heading2"/>
      </w:pPr>
      <w:r>
        <w:t>4.2 购售互斥剪枝（C2）</w:t>
      </w:r>
    </w:p>
    <w:p>
      <w:pPr>
        <w:ind w:firstLine="420"/>
      </w:pPr>
      <w:r>
        <w:rPr>
          <w:rFonts w:ascii="Times New Roman" w:hAnsi="Times New Roman" w:eastAsia="宋体"/>
          <w:b/>
        </w:rPr>
        <w:t>引理。</w:t>
      </w:r>
      <w:r>
        <w:rPr>
          <w:rFonts w:ascii="Times New Roman" w:hAnsi="Times New Roman" w:eastAsia="宋体"/>
        </w:rPr>
        <w:t>若某小时售电价不高于购电价，则同时购售永远不是严格最优。把购、售电量同时减少 δ，功率平衡不变，目标函数变化量为 δ·(售电价 − 购电价) ≤ 0。因此这些小时的互斥二进制恒可省去。</w:t>
      </w:r>
    </w:p>
    <w:p>
      <w:pPr>
        <w:ind w:firstLine="420"/>
      </w:pPr>
      <w:r>
        <w:rPr>
          <w:rFonts w:ascii="Times New Roman" w:hAnsi="Times New Roman" w:eastAsia="宋体"/>
        </w:rPr>
        <w:t>该引理在两行内可证，且在数据上可直接检验：原始 8760 h 中只有 89 小时（1.0%）满足售电价高于购电价，其余 8671 小时的二进制全是冗余。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4F4F4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# config.py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"milp": {..., "binary_mode": "all"}   # 改为 "arbitrage" 启用剪枝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4.3 充放互斥策略（C3）</w:t>
      </w:r>
    </w:p>
    <w:p>
      <w:pPr>
        <w:ind w:firstLine="420"/>
      </w:pPr>
      <w:r>
        <w:rPr>
          <w:rFonts w:ascii="Times New Roman" w:hAnsi="Times New Roman" w:eastAsia="宋体"/>
        </w:rPr>
        <w:t>原 strict 模式为了保证「最终结果不出现同时充放电」，无条件为 8760 小时全部建二进制。但实测表明：由于充放电没有目标系数、且电价非负，同时充放在最优解中根本不会出现——它只会白白损失能量从而抬高成本。也就是说这 8760 个整数变量几乎全部是无效开销。</w:t>
      </w:r>
    </w:p>
    <w:p>
      <w:pPr>
        <w:ind w:firstLine="420"/>
      </w:pPr>
      <w:r>
        <w:rPr>
          <w:rFonts w:ascii="Times New Roman" w:hAnsi="Times New Roman" w:eastAsia="宋体"/>
        </w:rPr>
        <w:t>改为三档策略，默认 auto：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4  cd_mode 的三种取值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87"/>
        <w:gridCol w:w="5102"/>
        <w:gridCol w:w="2154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5102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15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auto（默认）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先按 LP 求解 → 检测同时充放 → 只对违约小时补二进制重解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常规使用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all</w:t>
            </w:r>
          </w:p>
        </w:tc>
        <w:tc>
          <w:tcPr>
            <w:tcW w:type="dxa" w:w="5102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每小时都建二进制（原 strict 行为）</w:t>
            </w:r>
          </w:p>
        </w:tc>
        <w:tc>
          <w:tcPr>
            <w:tcW w:type="dxa" w:w="215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对照实验、极端数据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none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完全不建也不检查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只要成本不要可读调度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关键设计：strict=True 现在映射到 auto 而不是 all——它仍然保证「最终结果没有同时充放电」，只是不再用 8760 个二进制去换这个保证。返回值新增 cd_retry_hours 字段，记录实际补了多少小时（本次全为 0，即一次都没触发补丁）。</w:t>
      </w:r>
    </w:p>
    <w:p>
      <w:pPr>
        <w:pStyle w:val="Heading2"/>
      </w:pPr>
      <w:r>
        <w:t>4.4 结构重构（C4）</w:t>
      </w:r>
    </w:p>
    <w:p>
      <w:pPr>
        <w:ind w:firstLine="420"/>
      </w:pPr>
      <w:r>
        <w:rPr>
          <w:rFonts w:ascii="Times New Roman" w:hAnsi="Times New Roman" w:eastAsia="宋体"/>
        </w:rPr>
        <w:t>为支持按需建二进制，把原单体函数 solve_dispatch 拆成三层：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5  dispatch.py 重构后的职责划分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608"/>
        <w:gridCol w:w="623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6236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_grid_binary_hours()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决定哪些小时需要购售互斥二进制（承接 4.2 的引理）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_cd_mode()</w:t>
            </w:r>
          </w:p>
        </w:tc>
        <w:tc>
          <w:tcPr>
            <w:tcW w:type="dxa" w:w="6236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决定充放互斥策略，并兼容旧配置的 cd_binary 语义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_solve_once()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按给定的两个小时集合构造并求解一次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solve_dispatch()</w:t>
            </w:r>
          </w:p>
        </w:tc>
        <w:tc>
          <w:tcPr>
            <w:tcW w:type="dxa" w:w="6236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策略分派：all / none / auto；auto 时做检测与补解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二进制变量也改为按「实际需要的小时下标」压缩存放，不再固定占用 n 个槽位。</w:t>
      </w:r>
    </w:p>
    <w:p>
      <w:pPr>
        <w:pStyle w:val="Heading2"/>
      </w:pPr>
      <w:r>
        <w:t>4.5 实测：两项必须同时开启</w:t>
      </w:r>
    </w:p>
    <w:p>
      <w:pPr>
        <w:ind w:firstLine="420"/>
      </w:pPr>
      <w:r>
        <w:rPr>
          <w:rFonts w:ascii="Times New Roman" w:hAnsi="Times New Roman" w:eastAsia="宋体"/>
        </w:rPr>
        <w:t>全年 8760 h，固定容量 PV 30 / WT 20 / ESS 10 MW·20 MWh / Gen 10 MW，strict=True：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6  二进制建模方式对求解的影响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3175"/>
        <w:gridCol w:w="1361"/>
        <w:gridCol w:w="1474"/>
        <w:gridCol w:w="1361"/>
        <w:gridCol w:w="1474"/>
      </w:tblGrid>
      <w:tr>
        <w:trPr>
          <w:tblHeader w:val="true"/>
        </w:trPr>
        <w:tc>
          <w:tcPr>
            <w:tcW w:type="dxa" w:w="3175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36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整数变量</w:t>
            </w:r>
          </w:p>
        </w:tc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求解耗时</w:t>
            </w:r>
          </w:p>
        </w:tc>
        <w:tc>
          <w:tcPr>
            <w:tcW w:type="dxa" w:w="136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相对加速</w:t>
            </w:r>
          </w:p>
        </w:tc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成本相对差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 all + all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17520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16.3 s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1.0×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仅剪购售 arbitrage + all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8849</w:t>
            </w:r>
          </w:p>
        </w:tc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18.1 s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0.9×</w:t>
            </w:r>
          </w:p>
        </w:tc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1.6e-08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仅改充放 all + auto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8760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10.2 s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1.6×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8.7e-07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两者同时 arbitrage + auto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89</w:t>
            </w:r>
          </w:p>
        </w:tc>
        <w:tc>
          <w:tcPr>
            <w:tcW w:type="dxa" w:w="147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1.27 s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12.8×</w:t>
            </w:r>
          </w:p>
        </w:tc>
        <w:tc>
          <w:tcPr>
            <w:tcW w:type="dxa" w:w="147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8.7e-07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这一组数据里有一个反直觉但非常重要的结果：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单用第一项反而更慢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只启用购售剪枝时，剩余 8849 个二进制（89 购售 + 8760 充放）构成的分支树比原来的 17520 个</w:t>
            </w:r>
            <w:r>
              <w:rPr>
                <w:rFonts w:ascii="Times New Roman" w:hAnsi="Times New Roman" w:eastAsia="宋体"/>
                <w:b/>
                <w:sz w:val="19"/>
              </w:rPr>
              <w:t>更难搜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，耗时从 16.3 s 上升到 18.1 s。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结论：两项优化必须组合使用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，单独任何一项收益有限甚至为负。这也说明凭直觉做性能优化不可靠，必须实测。</w:t>
            </w:r>
          </w:p>
        </w:tc>
      </w:tr>
    </w:tbl>
    <w:p>
      <w:pPr>
        <w:spacing w:before="0" w:after="0" w:line="120" w:lineRule="exact"/>
      </w:pPr>
    </w:p>
    <w:p>
      <w:pPr>
        <w:ind w:firstLine="420"/>
      </w:pPr>
      <w:r>
        <w:rPr>
          <w:rFonts w:ascii="Times New Roman" w:hAnsi="Times New Roman" w:eastAsia="宋体"/>
        </w:rPr>
        <w:t>成本差异 8.7e-07 完全落在求解器相对间隙 rel_gap = 1e-6 之内，可视为同一最优解。</w:t>
      </w:r>
    </w:p>
    <w:p>
      <w:pPr>
        <w:pStyle w:val="Heading2"/>
      </w:pPr>
      <w:r>
        <w:t>4.6 副产品：LP 松弛不能作下界</w:t>
      </w:r>
    </w:p>
    <w:p>
      <w:pPr>
        <w:ind w:firstLine="420"/>
      </w:pPr>
      <w:r>
        <w:rPr>
          <w:rFonts w:ascii="Times New Roman" w:hAnsi="Times New Roman" w:eastAsia="宋体"/>
        </w:rPr>
        <w:t>在验证过程中还得到一个对模型可靠性很重要的结论。数据中有 89 个小时售电价高于购电价，纯 LP 会在这些小时同时买入卖出套利，使全年总成本从 4789 万元降到 3872 万元——低估 19.15%。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7  纯 LP 与正确 MILP 的对比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814"/>
        <w:gridCol w:w="1247"/>
        <w:gridCol w:w="2381"/>
        <w:gridCol w:w="1474"/>
        <w:gridCol w:w="1928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建模</w:t>
            </w:r>
          </w:p>
        </w:tc>
        <w:tc>
          <w:tcPr>
            <w:tcW w:type="dxa" w:w="1247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整数变量</w:t>
            </w:r>
          </w:p>
        </w:tc>
        <w:tc>
          <w:tcPr>
            <w:tcW w:type="dxa" w:w="238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成本（元/年）</w:t>
            </w:r>
          </w:p>
        </w:tc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同时购售小时</w:t>
            </w:r>
          </w:p>
        </w:tc>
        <w:tc>
          <w:tcPr>
            <w:tcW w:type="dxa" w:w="1928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正确 MILP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89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47,892,752.78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纯 LP 松弛</w:t>
            </w:r>
          </w:p>
        </w:tc>
        <w:tc>
          <w:tcPr>
            <w:tcW w:type="dxa" w:w="1247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81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38,722,836.78</w:t>
            </w:r>
          </w:p>
        </w:tc>
        <w:tc>
          <w:tcPr>
            <w:tcW w:type="dxa" w:w="1474"/>
            <w:vAlign w:val="center"/>
            <w:shd w:val="clear" w:color="auto" w:fill="EEF5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89</w:t>
            </w:r>
          </w:p>
        </w:tc>
        <w:tc>
          <w:tcPr>
            <w:tcW w:type="dxa" w:w="192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低估 19.15%，不可作下界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因此任何「用松弛值估计最优性间隙」的论证，都必须先处理这 89 个小时，否则结论是错的。</w:t>
      </w:r>
    </w:p>
    <w:p>
      <w:pPr>
        <w:pStyle w:val="Heading1"/>
      </w:pPr>
      <w:r>
        <w:t>五、可观测性改进（C5 – C8、C11）</w:t>
      </w:r>
    </w:p>
    <w:p>
      <w:pPr>
        <w:pStyle w:val="Heading2"/>
      </w:pPr>
      <w:r>
        <w:t>5.1 动机</w:t>
      </w:r>
    </w:p>
    <w:p>
      <w:pPr>
        <w:ind w:firstLine="420"/>
      </w:pPr>
      <w:r>
        <w:rPr>
          <w:rFonts w:ascii="Times New Roman" w:hAnsi="Times New Roman" w:eastAsia="宋体"/>
        </w:rPr>
        <w:t>默认配置的阶段 A 要跑约 6000 次 MILP，全量运行可达 20 分钟。原程序在这期间**没有任何输出**，使用者无法判断是正常计算还是已经卡死，也无法预估剩余时间。</w:t>
      </w:r>
    </w:p>
    <w:p>
      <w:pPr>
        <w:pStyle w:val="Heading2"/>
      </w:pPr>
      <w:r>
        <w:t>5.2 设计取舍：不引入 tqdm</w:t>
      </w:r>
    </w:p>
    <w:p>
      <w:pPr>
        <w:ind w:firstLine="420"/>
      </w:pPr>
      <w:r>
        <w:rPr>
          <w:rFonts w:ascii="Times New Roman" w:hAnsi="Times New Roman" w:eastAsia="宋体"/>
        </w:rPr>
        <w:t>项目整体取向是「只依赖 numpy / pandas / scipy / matplotlib / openpyxl」，连 .env 解析都是手写的。为一个进度条新增第三方依赖与这一取向冲突，因此用标准库自实现 greenopt/progress.py（约 240 行）。</w:t>
      </w:r>
    </w:p>
    <w:p>
      <w:pPr>
        <w:pStyle w:val="Heading2"/>
      </w:pPr>
      <w:r>
        <w:t>5.3 三层自适应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8  进度显示的自适应策略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74"/>
        <w:gridCol w:w="4762"/>
        <w:gridCol w:w="2608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62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608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输出目标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终端用 \r 原地刷新；重定向到文件时改为按 10% 打点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避免把日志刷成上万行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终端宽度</w:t>
            </w:r>
          </w:p>
        </w:tc>
        <w:tc>
          <w:tcPr>
            <w:tcW w:type="dxa" w:w="4762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超宽时依次：丢附加字段 → 缩短进度条 → 丢 ETA → 截断描述 → 按显示宽度硬截断</w:t>
            </w:r>
          </w:p>
        </w:tc>
        <w:tc>
          <w:tcPr>
            <w:tcW w:type="dxa" w:w="2608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折行会让 \r 刷新失效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终端编码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捕获 UnicodeEncodeError 并降级为 ASCII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避免半路崩溃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宽度计算特别处理了中文占两列的问题——早期版本按 len() 截断，中文进度条实测仍会超宽，改为按 east_asian_width 计算显示宽度后，从 40 列到 140 列均验证不折行。</w:t>
      </w:r>
    </w:p>
    <w:p>
      <w:pPr>
        <w:pStyle w:val="Heading2"/>
      </w:pPr>
      <w:r>
        <w:t>5.4 接入位置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9  进度条覆盖的环节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494"/>
        <w:gridCol w:w="6350"/>
      </w:tblGrid>
      <w:tr>
        <w:trPr>
          <w:tblHeader w:val="true"/>
        </w:trPr>
        <w:tc>
          <w:tcPr>
            <w:tcW w:type="dxa" w:w="249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6350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显示内容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外层 PSO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代数、当前最优目标值、ETA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局部精修</w:t>
            </w:r>
          </w:p>
        </w:tc>
        <w:tc>
          <w:tcPr>
            <w:tcW w:type="dxa" w:w="6350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已评价次数、当前步长、最优值（不确定总数模式）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敏感性分析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当前维度、扫描点、成本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出图</w:t>
            </w:r>
          </w:p>
        </w:tc>
        <w:tc>
          <w:tcPr>
            <w:tcW w:type="dxa" w:w="6350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语言、图名、共 14 张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run_greenopt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8 个阶段标题与各阶段耗时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运行入口改造为 8 阶段流水线：读取数据 → 构建场景 → 搜索容量 → 严格重解 → 计算指标 → 全年核准 → 典型周与敏感性 → 导出结果与图表。</w:t>
      </w:r>
    </w:p>
    <w:p>
      <w:pPr>
        <w:pStyle w:val="Heading1"/>
      </w:pPr>
      <w:r>
        <w:t>六、报表可追溯性（C9 / C10）</w:t>
      </w:r>
    </w:p>
    <w:p>
      <w:pPr>
        <w:ind w:firstLine="420"/>
      </w:pPr>
      <w:r>
        <w:rPr>
          <w:rFonts w:ascii="Times New Roman" w:hAnsi="Times New Roman" w:eastAsia="宋体"/>
        </w:rPr>
        <w:t>求解结果的说服力取决于「别人能不能复现」。原来 Excel 的「搜索设置」表只记录了旧的 cd_binary 布尔值，而该字段在新的策略下已不代表实际行为，会误导读者。</w:t>
      </w:r>
    </w:p>
    <w:p>
      <w:pPr>
        <w:ind w:firstLine="420"/>
      </w:pPr>
      <w:r>
        <w:rPr>
          <w:rFonts w:ascii="Times New Roman" w:hAnsi="Times New Roman" w:eastAsia="宋体"/>
        </w:rPr>
        <w:t>改为记录两个真实生效的模式，并附一句口径说明：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10  搜索设置表新增的两行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68"/>
        <w:gridCol w:w="657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76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购售互斥二进制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binary_mode = 'all' / 'arbitrage'，并注明 arbitrage 的可证依据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储能充放互斥</w:t>
            </w:r>
          </w:p>
        </w:tc>
        <w:tc>
          <w:tcPr>
            <w:tcW w:type="dxa" w:w="6576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cd_mode = 'auto' / 'all' / 'none'，并注明 auto 的补丁机制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配置项本身也加了注释，说明取值含义与默认值的取舍。</w:t>
      </w:r>
    </w:p>
    <w:p>
      <w:pPr>
        <w:pStyle w:val="Heading1"/>
      </w:pPr>
      <w:r>
        <w:t>七、工程化与协作配置（C12 – C17）</w:t>
      </w:r>
    </w:p>
    <w:p>
      <w:pPr>
        <w:ind w:firstLine="420"/>
      </w:pPr>
      <w:r>
        <w:rPr>
          <w:rFonts w:ascii="Times New Roman" w:hAnsi="Times New Roman" w:eastAsia="宋体"/>
        </w:rPr>
        <w:t>这部分不改模型，但决定项目能否被他人接手。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11  工程化变更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041"/>
        <w:gridCol w:w="1134"/>
        <w:gridCol w:w="5669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3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5669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为什么需要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C12 .gitignore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扩充规则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原规则漏掉 *.bak、日志、测试缓存；补充 .env.* + !.env.example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C13 .gitattributes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 LF 换行，避免 Windows/Linux 协作时整文件被标记为修改；标记 xlsx/docx 为二进制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C14 ci.yml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 3.11/3.12 双版本跑 7 项自检，另加一次 --quick 端到端冒烟（含出图）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C15 CONTRIBUTING.md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66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写清分支约定、提交前必跑的两条命令、不应提交的文件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C16 README.md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重写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补充模型结构、求解器性能、建模假设与已知局限（详见第八章）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C17 .env.example</w:t>
            </w:r>
          </w:p>
        </w:tc>
        <w:tc>
          <w:tcPr>
            <w:tcW w:type="dxa" w:w="1134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补回</w:t>
            </w:r>
          </w:p>
        </w:tc>
        <w:tc>
          <w:tcPr>
            <w:tcW w:type="dxa" w:w="5669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README 的快速开始依赖该模板，原仓库遗漏未入库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README 重写后共 14 章、208 行，其中两节是新增的：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「求解器与性能」：</w:t>
      </w:r>
      <w:r>
        <w:rPr>
          <w:rFonts w:ascii="Times New Roman" w:hAnsi="Times New Roman" w:eastAsia="宋体"/>
        </w:rPr>
        <w:t>把 4.2–4.6 的剪枝依据与实测数据写进开源文档。</w:t>
      </w:r>
    </w:p>
    <w:p>
      <w:pPr>
        <w:pStyle w:val="ListBullet"/>
        <w:spacing w:after="40" w:line="317" w:lineRule="auto"/>
      </w:pPr>
      <w:r>
        <w:rPr>
          <w:rFonts w:ascii="Times New Roman" w:hAnsi="Times New Roman" w:eastAsia="宋体"/>
          <w:b/>
        </w:rPr>
        <w:t>「建模假设与已知局限」：</w:t>
      </w:r>
      <w:r>
        <w:rPr>
          <w:rFonts w:ascii="Times New Roman" w:hAnsi="Times New Roman" w:eastAsia="宋体"/>
        </w:rPr>
        <w:t>如实列出五条边界条件（见第九章），而不是隐藏。</w:t>
      </w:r>
    </w:p>
    <w:p>
      <w:pPr>
        <w:pStyle w:val="Heading1"/>
      </w:pPr>
      <w:r>
        <w:t>八、验证与回归</w:t>
      </w:r>
    </w:p>
    <w:p>
      <w:pPr>
        <w:ind w:firstLine="420"/>
      </w:pPr>
      <w:r>
        <w:rPr>
          <w:rFonts w:ascii="Times New Roman" w:hAnsi="Times New Roman" w:eastAsia="宋体"/>
        </w:rPr>
        <w:t>所有改动都经过四层验证，任何一层失败都不会提交。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12  验证矩阵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87"/>
        <w:gridCol w:w="4535"/>
        <w:gridCol w:w="2721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手段</w:t>
            </w:r>
          </w:p>
        </w:tc>
        <w:tc>
          <w:tcPr>
            <w:tcW w:type="dxa" w:w="272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语法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py_compile 编译全部改动文件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模型正确性</w:t>
            </w:r>
          </w:p>
        </w:tc>
        <w:tc>
          <w:tcPr>
            <w:tcW w:type="dxa" w:w="453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 run_greenopt.py --self-test（7 项断言）</w:t>
            </w:r>
          </w:p>
        </w:tc>
        <w:tc>
          <w:tcPr>
            <w:tcW w:type="dxa" w:w="272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 PASS，功率平衡残差 7.11e-15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回归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_regress_pso.py（默认规模复现原崩溃路径）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两用例 PASS，固定维漂移 0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端到端一致性</w:t>
            </w:r>
          </w:p>
        </w:tc>
        <w:tc>
          <w:tcPr>
            <w:tcW w:type="dxa" w:w="453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--quick 全流程，对比改动前后成本</w:t>
            </w:r>
          </w:p>
        </w:tc>
        <w:tc>
          <w:tcPr>
            <w:tcW w:type="dxa" w:w="272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68,624,841.55 元/年，</w:t>
            </w:r>
            <w:r>
              <w:rPr>
                <w:rFonts w:ascii="Times New Roman" w:hAnsi="Times New Roman" w:eastAsia="宋体"/>
                <w:b/>
                <w:sz w:val="18"/>
              </w:rPr>
              <w:t>逐位一致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平台一致性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Linux CI（3.11/3.12）+ 本地 Windows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CI 通过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关键判据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重构内层求解器风险最高，因此采用的判据是</w:t>
            </w:r>
            <w:r>
              <w:rPr>
                <w:rFonts w:ascii="Times New Roman" w:hAnsi="Times New Roman" w:eastAsia="宋体"/>
                <w:b/>
                <w:sz w:val="19"/>
              </w:rPr>
              <w:t>成本逐位一致</w:t>
            </w:r>
            <w:r>
              <w:rPr>
                <w:rFonts w:ascii="Times New Roman" w:hAnsi="Times New Roman" w:eastAsia="宋体"/>
                <w:b w:val="0"/>
                <w:sz w:val="19"/>
              </w:rPr>
              <w:t>（68,624,841.55），而不仅仅是「差不多」。</w:t>
            </w:r>
          </w:p>
          <w:p>
            <w:pPr>
              <w:spacing w:after="20" w:line="307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性能优化的判据则是</w:t>
            </w:r>
            <w:r>
              <w:rPr>
                <w:rFonts w:ascii="Times New Roman" w:hAnsi="Times New Roman" w:eastAsia="宋体"/>
                <w:b/>
                <w:sz w:val="19"/>
              </w:rPr>
              <w:t>成本差落在求解器容差内（≤1e-6）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——因为改的是建模方式，允许求解路径不同。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九、识别但未改动的问题</w:t>
      </w:r>
    </w:p>
    <w:p>
      <w:pPr>
        <w:ind w:firstLine="420"/>
      </w:pPr>
      <w:r>
        <w:rPr>
          <w:rFonts w:ascii="Times New Roman" w:hAnsi="Times New Roman" w:eastAsia="宋体"/>
        </w:rPr>
        <w:t>诊断过程中还发现五处问题。它们**不属于代码缺陷**，而是建模参数或数据层面的设定，改动会改变算例含义，因此本轮只记录、不修改，并已写入 README 的「已知局限」。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13  已识别但保留的问题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381"/>
        <w:gridCol w:w="3061"/>
        <w:gridCol w:w="3402"/>
      </w:tblGrid>
      <w:tr>
        <w:trPr>
          <w:tblHeader w:val="true"/>
        </w:trPr>
        <w:tc>
          <w:tcPr>
            <w:tcW w:type="dxa" w:w="238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61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402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为何不改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并网进出口 1e4 MW 等效不限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弃电率恒为 0.00%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属于场景设定；改小即可研究弃电，但不能替使用者决定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自发电造价 400 元/kW 偏低</w:t>
            </w:r>
          </w:p>
        </w:tc>
        <w:tc>
          <w:tcPr>
            <w:tcW w:type="dxa" w:w="306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该维度必然顶到搜索上界</w:t>
            </w:r>
          </w:p>
        </w:tc>
        <w:tc>
          <w:tcPr>
            <w:tcW w:type="dxa" w:w="3402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是经济参数而非代码错误；已在文档中提示乘 3–5 倍复核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搜索上界绑定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PSO 解 5 维中 3 维顶死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属使用者决策；README 已说明真实最优可能在盒外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典型日平均抹平价差</w:t>
            </w:r>
          </w:p>
        </w:tc>
        <w:tc>
          <w:tcPr>
            <w:tcW w:type="dxa" w:w="3061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k=3/6/12 场景套利小时均为 0</w:t>
            </w:r>
          </w:p>
        </w:tc>
        <w:tc>
          <w:tcPr>
            <w:tcW w:type="dxa" w:w="3402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这是方法本身的特性，已在 README 与报告素材中讨论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储能退化只按循环折算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life_mode = cycle_min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需要 DoD/温度退化数据，超出本轮范围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十、提交记录与复现方式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14  仓库提交历史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74"/>
        <w:gridCol w:w="7370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7370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a520eac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初始化 GreenOpt 风光储最优配置与调度模型（22 文件）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fe22e86</w:t>
            </w:r>
          </w:p>
        </w:tc>
        <w:tc>
          <w:tcPr>
            <w:tcW w:type="dxa" w:w="7370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chore: 补回 .env.example 运行设置模板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9276aa0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docs: 重写 README，补充求解器性能与已知局限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f5e9295</w:t>
            </w:r>
          </w:p>
        </w:tc>
        <w:tc>
          <w:tcPr>
            <w:tcW w:type="dxa" w:w="7370"/>
            <w:vAlign w:val="center"/>
            <w:shd w:val="clear" w:color="auto" w:fill="EEF5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docs: 加入课程大作业改造方案与技术路线（Word）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复现全部验证只需四条命令：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4F4F4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python run_greenopt.py --self-test    # 7 项一致性断言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python run_greenopt.py --quick        # 端到端冒烟，约 10 秒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python _regress_pso.py                # 缺陷回归测试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sz w:val="17"/>
              </w:rPr>
              <w:t>python _diag_cd2.py                   # 12.8 倍加速的基准复现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附录 A  诊断脚本清单</w:t>
      </w:r>
    </w:p>
    <w:p>
      <w:pPr>
        <w:ind w:firstLine="420"/>
      </w:pPr>
      <w:r>
        <w:rPr>
          <w:rFonts w:ascii="Times New Roman" w:hAnsi="Times New Roman" w:eastAsia="宋体"/>
        </w:rPr>
        <w:t>以下脚本位于工作区根目录，不属于项目仓库，用于产生本文档中的实测数据。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835"/>
        <w:gridCol w:w="6009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6009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_diag_arbitrage.py</w:t>
            </w:r>
          </w:p>
        </w:tc>
        <w:tc>
          <w:tcPr>
            <w:tcW w:type="dxa" w:w="600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购售价差套利窗口统计；典型日上 LP 与 MILP 对比；分档造价曲线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_diag_arbitrage2.py</w:t>
            </w:r>
          </w:p>
        </w:tc>
        <w:tc>
          <w:tcPr>
            <w:tcW w:type="dxa" w:w="600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原始小时上的套利日识别；LP 虚假套利量化；典型日平均的影响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_diag_marginal.py</w:t>
            </w:r>
          </w:p>
        </w:tc>
        <w:tc>
          <w:tcPr>
            <w:tcW w:type="dxa" w:w="600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边际价值分析（有限差分梯度），用于检验解是否接近最优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_diag_solver.py</w:t>
            </w:r>
          </w:p>
        </w:tc>
        <w:tc>
          <w:tcPr>
            <w:tcW w:type="dxa" w:w="600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四种二进制建模方式的求解时间与成本对比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_diag_cd.py</w:t>
            </w:r>
          </w:p>
        </w:tc>
        <w:tc>
          <w:tcPr>
            <w:tcW w:type="dxa" w:w="600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五种 cd_mode × strict 组合的对比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_diag_cd2.py</w:t>
            </w:r>
          </w:p>
        </w:tc>
        <w:tc>
          <w:tcPr>
            <w:tcW w:type="dxa" w:w="600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两项优化叠加效果基准（表 6 数据来源）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_regress_pso.py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n_reset 索引缺陷的回归测试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附录 B  关键数据来源</w:t>
      </w:r>
    </w:p>
    <w:p>
      <w:pPr>
        <w:ind w:firstLine="420"/>
      </w:pPr>
      <w:r>
        <w:rPr>
          <w:rFonts w:ascii="Times New Roman" w:hAnsi="Times New Roman" w:eastAsia="宋体"/>
        </w:rPr>
        <w:t>本文档所有数字均来自实际运行，未做估算：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3969"/>
        <w:gridCol w:w="4876"/>
      </w:tblGrid>
      <w:tr>
        <w:trPr>
          <w:tblHeader w:val="true"/>
        </w:trPr>
        <w:tc>
          <w:tcPr>
            <w:tcW w:type="dxa" w:w="3969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876"/>
            <w:vAlign w:val="center"/>
            <w:shd w:val="clear" w:color="auto" w:fill="0072B2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17520 → 89 个整数变量、16.3 s → 1.27 s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_diag_cd2.py，全年 8760 h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LP 低估 19.15%、89 个套利小时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_diag_solver.py 与 _diag_arbitrage2.py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自检 7 项、残差 7.11e-15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 run_greenopt.py --self-test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 68,624,841.55 逐位一致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改动前后各跑一次 --quick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典型日 288 h 下 2.1 倍加速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_diag_cd.py</w:t>
            </w:r>
          </w:p>
        </w:tc>
      </w:tr>
    </w:tbl>
    <w:p>
      <w:pPr>
        <w:spacing w:before="0" w:after="0" w:line="100" w:lineRule="exact"/>
      </w:pPr>
    </w:p>
    <w:p>
      <w:pPr>
        <w:spacing w:before="240"/>
        <w:jc w:val="center"/>
      </w:pPr>
      <w:r>
        <w:rPr>
          <w:rFonts w:ascii="Times New Roman" w:hAnsi="Times New Roman" w:eastAsia="宋体"/>
          <w:color w:val="999999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304" w:left="141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888888"/>
        <w:sz w:val="17"/>
      </w:rPr>
      <w:t>GreenOpt · 变更说明与技术决策记录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B3D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7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72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