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레이더-초기장과-시간별-강수-예측"/>
    <w:p>
      <w:pPr>
        <w:pStyle w:val="Heading1"/>
      </w:pPr>
      <w:r>
        <w:t xml:space="preserve">레이더 초기장과 시간별 강수 예측</w:t>
      </w:r>
    </w:p>
    <w:p>
      <w:pPr>
        <w:pStyle w:val="FirstParagraph"/>
      </w:pPr>
      <w:r>
        <w:rPr>
          <w:b/>
          <w:bCs/>
        </w:rPr>
        <w:t xml:space="preserve">보고서 부록 · 근거 기준일 2026-10-30</w:t>
      </w:r>
    </w:p>
    <w:p>
      <w:pPr>
        <w:pStyle w:val="BodyText"/>
      </w:pPr>
      <w:r>
        <w:t xml:space="preserve">2026-08-16 12 UTC에 초기화한 단일 사례의 재예보에서 레이더 기반 초기장과 1시간 누적강수량의 관계를 살펴본다. 네 실험은 18 UTC까지 완료되었다. 기준일은 보고서 작성에 사용한 근거의 시점이며, 이 보고서를 위해 새 예보를 실행하지 않았다.</w:t>
      </w:r>
    </w:p>
    <w:bookmarkStart w:id="12" w:name="레이더에서-예측-강수까지"/>
    <w:p>
      <w:pPr>
        <w:pStyle w:val="Heading2"/>
      </w:pPr>
      <w:r>
        <w:t xml:space="preserve">1. 레이더에서 예측 강수까지</w:t>
      </w:r>
    </w:p>
    <w:p>
      <w:pPr>
        <w:pStyle w:val="FirstParagraph"/>
      </w:pPr>
      <w:r>
        <w:t xml:space="preserve">레이더 반사도 D(dBZ)는 로그 척도다. 이를 선형 반사도 인자</w:t>
      </w:r>
      <w:r>
        <w:t xml:space="preserve"> </w:t>
      </w:r>
      <w:r>
        <w:rPr>
          <w:rStyle w:val="VerbatimChar"/>
        </w:rPr>
        <w:t xml:space="preserve">Z = 10^(D/10)</w:t>
      </w:r>
      <w:r>
        <w:t xml:space="preserve">으로 바꾼다. 유효한 지상 위 레이더 셀에서 수송·publish·배경장 병합 전의 순간 작업 진단으로 총 강수성 수상체 농도 C와 건조공기 질량당 혼합비 q를 아래와 같이 계산한다.</w:t>
      </w:r>
    </w:p>
    <w:p>
      <w:pPr>
        <w:pStyle w:val="BodyText"/>
      </w:pPr>
      <w:r>
        <w:rPr>
          <w:rStyle w:val="VerbatimChar"/>
        </w:rPr>
        <w:t xml:space="preserve">C = min[0.02, 10⁻⁴ (Z/1000)^0.55]</w:t>
      </w:r>
      <w:r>
        <w:t xml:space="preserve">,</w:t>
      </w:r>
      <w:r>
        <w:t xml:space="preserve"> </w:t>
      </w:r>
      <w:r>
        <w:rPr>
          <w:rStyle w:val="VerbatimChar"/>
        </w:rPr>
        <w:t xml:space="preserve">q = C / ρd = qr + qs + qg</w:t>
      </w:r>
    </w:p>
    <w:p>
      <w:pPr>
        <w:pStyle w:val="BodyText"/>
      </w:pPr>
      <w:r>
        <w:t xml:space="preserve">여기서 Z의 단위는 mm⁶ m⁻³, C와 건조공기 밀도 ρd의 단위는 kg m⁻³, 비·눈·싸락눈 혼합비 qr·qs·qg의 단위는 kg kg⁻¹이다. 이 관계는 현재 설정의 경험적 진단식이다. 레이더가 지상 강수량을 직접 측정하거나 수상체의 유일한 분포를 결정한다는 뜻은 아니다. 지수와 상한 때문에 반사도에 대한 수상체 반응도 비선형이다.</w:t>
      </w:r>
    </w:p>
    <w:p>
      <w:pPr>
        <w:pStyle w:val="CaptionedFigure"/>
      </w:pPr>
      <w:r>
        <w:drawing>
          <wp:inline>
            <wp:extent cx="5334000" cy="3585656"/>
            <wp:effectExtent b="0" l="0" r="0" t="0"/>
            <wp:docPr descr="레이더 진단과 예측 강수의 관계" title="" id="10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concepts/precipitation_physics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레이더 진단과 예측 강수의 관계</w:t>
      </w:r>
    </w:p>
    <w:p>
      <w:pPr>
        <w:pStyle w:val="BodyText"/>
      </w:pPr>
      <w:r>
        <w:t xml:space="preserve">그림 1. 레이더 진단에서 수상체 초기장, 모델의 수송·물리, 1시간 누적강수량으로 이어지는 과정. 실제 모델 초기장은 순간 진단값과 동일하다고 가정하지 않는다.</w:t>
      </w:r>
    </w:p>
    <w:p>
      <w:pPr>
        <w:pStyle w:val="BodyText"/>
      </w:pPr>
      <w:r>
        <w:t xml:space="preserve">초기 수상체의 위치와 양이 달라지면 이후 수송, 증발·응결, 상변화와 강수 발달이 함께 달라질 수 있다. 그러나 그림은 가능한 과정의 관계를 나타낸다. 이번 결과만으로 특정 과정이 지상 강수 변화의 원인이라고 증명하거나 전체 물·에너지 수지가 닫혔다고 주장할 수 없다. 격자 전체 물량은 건조공기 질량 md,i에 대해</w:t>
      </w:r>
      <w:r>
        <w:t xml:space="preserve"> </w:t>
      </w:r>
      <w:r>
        <w:rPr>
          <w:rStyle w:val="VerbatimChar"/>
        </w:rPr>
        <w:t xml:space="preserve">Mw = Σi md,i (qv + qc + qi + qr + qs + qg)i</w:t>
      </w:r>
      <w:r>
        <w:t xml:space="preserve">로 정의할 수 있으며, 시간 변화에는 경계 수송과 지표 강수 등 플럭스가 필요하다. 국소 혼합비나 농도의 합만으로는 닫힌 수지가 아니다.</w:t>
      </w:r>
    </w:p>
    <w:p>
      <w:pPr>
        <w:pStyle w:val="BodyText"/>
      </w:pPr>
      <w:r>
        <w:t xml:space="preserve">모델의 시간별 강수량은 각 예측시각에서 누적 강수</w:t>
      </w:r>
      <w:r>
        <w:t xml:space="preserve"> </w:t>
      </w:r>
      <w:r>
        <w:rPr>
          <w:rStyle w:val="VerbatimChar"/>
        </w:rPr>
        <w:t xml:space="preserve">RAINC + RAINNC</w:t>
      </w:r>
      <w:r>
        <w:t xml:space="preserve">의 인접 시각 차이다. 예를 들어 +1h는 12–13 UTC의</w:t>
      </w:r>
      <w:r>
        <w:t xml:space="preserve"> </w:t>
      </w:r>
      <w:r>
        <w:rPr>
          <w:b/>
          <w:bCs/>
        </w:rPr>
        <w:t xml:space="preserve">1시간 누적강수량(mm)</w:t>
      </w:r>
      <w:r>
        <w:t xml:space="preserve">이며, +6h는 17–18 UTC의 값이다. 두 값은 각각 1시간 구간을 나타낸다.</w:t>
      </w:r>
    </w:p>
    <w:bookmarkEnd w:id="12"/>
    <w:bookmarkStart w:id="17" w:name="비교와-해석"/>
    <w:p>
      <w:pPr>
        <w:pStyle w:val="Heading2"/>
        <w:pageBreakBefore/>
      </w:pPr>
      <w:r>
        <w:t xml:space="preserve">2. 비교와 해석</w:t>
      </w:r>
    </w:p>
    <w:p>
      <w:pPr>
        <w:pStyle w:val="FirstParagraph"/>
      </w:pPr>
      <w:r>
        <w:rPr>
          <w:b/>
          <w:bCs/>
        </w:rPr>
        <w:t xml:space="preserve">RN1 분석장</w:t>
      </w:r>
      <w:r>
        <w:t xml:space="preserve">은 레이더·AWS와 추가 처리로 만든 강수 참조장이다.</w:t>
      </w:r>
      <w:r>
        <w:t xml:space="preserve"> </w:t>
      </w:r>
      <w:r>
        <w:rPr>
          <w:b/>
          <w:bCs/>
        </w:rPr>
        <w:t xml:space="preserve">ORIGINAL</w:t>
      </w:r>
      <w:r>
        <w:t xml:space="preserve">은 보관된 실제 OFF 초기장,</w:t>
      </w:r>
      <w:r>
        <w:t xml:space="preserve"> </w:t>
      </w:r>
      <w:r>
        <w:rPr>
          <w:b/>
          <w:bCs/>
        </w:rPr>
        <w:t xml:space="preserve">CURRENT_OFF</w:t>
      </w:r>
      <w:r>
        <w:t xml:space="preserve">는 현행 소스로 만든 OFF 초기장,</w:t>
      </w:r>
      <w:r>
        <w:t xml:space="preserve"> </w:t>
      </w:r>
      <w:r>
        <w:rPr>
          <w:b/>
          <w:bCs/>
        </w:rPr>
        <w:t xml:space="preserve">CURRENT_HYDRO</w:t>
      </w:r>
      <w:r>
        <w:t xml:space="preserve">와</w:t>
      </w:r>
      <w:r>
        <w:t xml:space="preserve"> </w:t>
      </w:r>
      <w:r>
        <w:rPr>
          <w:b/>
          <w:bCs/>
        </w:rPr>
        <w:t xml:space="preserve">CURRENT_LIQUID</w:t>
      </w:r>
      <w:r>
        <w:t xml:space="preserve">는 현행 소스로 만든 후보 초기장이다. 네 적분에는 같은 보관 WRF 실행파일을 사용했다. ORIGINAL과 CURRENT_OFF는 초기장 준비 경로가 다르므로 이 둘의 차이에는 전처리 변화가 섞여 있다. CURRENT 후보와 CURRENT_OFF의 비교도 모드별 초기장 작성 차이를 포함한다.</w:t>
      </w:r>
    </w:p>
    <w:p>
      <w:pPr>
        <w:pStyle w:val="BodyText"/>
      </w:pPr>
      <w:r>
        <w:t xml:space="preserve">1시간 누적강수량이 5 mm 이상인 사건에 대해 H는 적중, M은 미탐지, F는 오경보다.</w:t>
      </w:r>
      <w:r>
        <w:t xml:space="preserve"> </w:t>
      </w:r>
      <w:r>
        <w:rPr>
          <w:rStyle w:val="VerbatimChar"/>
        </w:rPr>
        <w:t xml:space="preserve">CSI = H / (H + M + F)</w:t>
      </w:r>
      <w:r>
        <w:t xml:space="preserve">는 이 세 사건을 함께 고려하는 점수다. CSI가 높아져도 어떤 적중이 추가되거나 사라졌는지, 오경보가 어떻게 달라졌는지 함께 살펴야 한다.</w:t>
      </w:r>
    </w:p>
    <w:p>
      <w:pPr>
        <w:pStyle w:val="CaptionedFigure"/>
      </w:pPr>
      <w:r>
        <w:drawing>
          <wp:inline>
            <wp:extent cx="5334000" cy="3366337"/>
            <wp:effectExtent b="0" l="0" r="0" t="0"/>
            <wp:docPr descr="5 mm 사건과 기준군에 따른 CSI 비교" title="" id="14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concepts/threshold_skill_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6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 mm 사건과 기준군에 따른 CSI 비교</w:t>
      </w:r>
    </w:p>
    <w:p>
      <w:pPr>
        <w:pStyle w:val="BodyText"/>
      </w:pPr>
      <w:r>
        <w:t xml:space="preserve">그림 2. 5 mm 이상 사건의 H·M·F와 CSI, 그리고 +1h와 +6h에서 기준군에 따라 달라지는 비교. 점수는 동일한 3,688개 지리 평가점의 RN1 분석장과 비교한 값이다.</w:t>
      </w:r>
    </w:p>
    <w:p>
      <w:pPr>
        <w:pStyle w:val="BodyText"/>
      </w:pPr>
      <w:r>
        <w:t xml:space="preserve">+1h의 CSI는 ORIGINAL 0.2751, CURRENT_OFF 0.1414, CURRENT_HYDRO 0.2140, CURRENT_LIQUID 0.2174다. 두 후보는 CURRENT_OFF보다 높지만 ORIGINAL보다 낮다. +6h에는 각각 0.2623, 0.2253, 0.2786, 0.2838이다. 시간과 기준에 따라 결과가 달라지므로 한 사례로 일반적인 성능 향상을 결론 내릴 수 없다. RN1의 관측 가능 범위와 상류 입력의 시간별 최신성도 아직 확인해야 한다.</w:t>
      </w:r>
      <w:r>
        <w:t xml:space="preserve"> </w:t>
      </w:r>
      <w:hyperlink r:id="rId16">
        <w:r>
          <w:rPr>
            <w:rStyle w:val="Hyperlink"/>
          </w:rPr>
          <w:t xml:space="preserve">시간별 점수와 진행 현황 부록</w:t>
        </w:r>
      </w:hyperlink>
    </w:p>
    <w:bookmarkEnd w:id="17"/>
    <w:bookmarkStart w:id="36" w:name="시간별-강수-지도"/>
    <w:p>
      <w:pPr>
        <w:pStyle w:val="Heading2"/>
      </w:pPr>
      <w:r>
        <w:t xml:space="preserve">3. 시간별 강수 지도</w:t>
      </w:r>
    </w:p>
    <w:p>
      <w:pPr>
        <w:pStyle w:val="FirstParagraph"/>
      </w:pPr>
      <w:r>
        <w:t xml:space="preserve">다음 그림은 같은 유효구간의 RN1 분석장과 네 예측을 같은 색 구간으로 나타낸다. 점은 평가 격자점 값이며 실제 관측 footprint가 아니다. RN1과 모델 격자의 공간 대표 범위 차이를 고려해 해석한다.</w:t>
      </w:r>
    </w:p>
    <w:p>
      <w:pPr>
        <w:pStyle w:val="CaptionedFigure"/>
      </w:pPr>
      <w:r>
        <w:drawing>
          <wp:inline>
            <wp:extent cx="5334000" cy="4572653"/>
            <wp:effectExtent b="0" l="0" r="0" t="0"/>
            <wp:docPr descr="예측시간 +1h 강수 지도" title="" id="19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figures/hour_13_paired_precipitat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예측시간 +1h 강수 지도</w:t>
      </w:r>
    </w:p>
    <w:p>
      <w:pPr>
        <w:pStyle w:val="BodyText"/>
      </w:pPr>
      <w:r>
        <w:t xml:space="preserve">그림 3. 예측시간 +1h, 유효구간 2026-08-16 12–13 UTC의 1시간 누적강수량(mm).</w:t>
      </w:r>
    </w:p>
    <w:p>
      <w:pPr>
        <w:pStyle w:val="CaptionedFigure"/>
      </w:pPr>
      <w:r>
        <w:drawing>
          <wp:inline>
            <wp:extent cx="5334000" cy="4572653"/>
            <wp:effectExtent b="0" l="0" r="0" t="0"/>
            <wp:docPr descr="예측시간 +2h 강수 지도" title="" id="22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figures/hour_14_paired_precipitat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예측시간 +2h 강수 지도</w:t>
      </w:r>
    </w:p>
    <w:p>
      <w:pPr>
        <w:pStyle w:val="BodyText"/>
      </w:pPr>
      <w:r>
        <w:t xml:space="preserve">그림 4. 예측시간 +2h, 유효구간 2026-08-16 13–14 UTC의 1시간 누적강수량(mm).</w:t>
      </w:r>
    </w:p>
    <w:p>
      <w:pPr>
        <w:pStyle w:val="CaptionedFigure"/>
      </w:pPr>
      <w:r>
        <w:drawing>
          <wp:inline>
            <wp:extent cx="5334000" cy="4572653"/>
            <wp:effectExtent b="0" l="0" r="0" t="0"/>
            <wp:docPr descr="예측시간 +3h 강수 지도" title="" id="25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figures/hour_15_paired_precipitatio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예측시간 +3h 강수 지도</w:t>
      </w:r>
    </w:p>
    <w:p>
      <w:pPr>
        <w:pStyle w:val="BodyText"/>
      </w:pPr>
      <w:r>
        <w:t xml:space="preserve">그림 5. 예측시간 +3h, 유효구간 2026-08-16 14–15 UTC의 1시간 누적강수량(mm).</w:t>
      </w:r>
    </w:p>
    <w:p>
      <w:pPr>
        <w:pStyle w:val="CaptionedFigure"/>
      </w:pPr>
      <w:r>
        <w:drawing>
          <wp:inline>
            <wp:extent cx="5334000" cy="4572653"/>
            <wp:effectExtent b="0" l="0" r="0" t="0"/>
            <wp:docPr descr="예측시간 +4h 강수 지도" title="" id="28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figures/hour_16_paired_precipit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예측시간 +4h 강수 지도</w:t>
      </w:r>
    </w:p>
    <w:p>
      <w:pPr>
        <w:pStyle w:val="BodyText"/>
      </w:pPr>
      <w:r>
        <w:t xml:space="preserve">그림 6. 예측시간 +4h, 유효구간 2026-08-16 15–16 UTC의 1시간 누적강수량(mm).</w:t>
      </w:r>
    </w:p>
    <w:p>
      <w:pPr>
        <w:pStyle w:val="CaptionedFigure"/>
      </w:pPr>
      <w:r>
        <w:drawing>
          <wp:inline>
            <wp:extent cx="5334000" cy="4572653"/>
            <wp:effectExtent b="0" l="0" r="0" t="0"/>
            <wp:docPr descr="예측시간 +5h 강수 지도" title="" id="31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figures/hour_17_paired_precipita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예측시간 +5h 강수 지도</w:t>
      </w:r>
    </w:p>
    <w:p>
      <w:pPr>
        <w:pStyle w:val="BodyText"/>
      </w:pPr>
      <w:r>
        <w:t xml:space="preserve">그림 7. 예측시간 +5h, 유효구간 2026-08-16 16–17 UTC의 1시간 누적강수량(mm).</w:t>
      </w:r>
    </w:p>
    <w:p>
      <w:pPr>
        <w:pStyle w:val="CaptionedFigure"/>
      </w:pPr>
      <w:r>
        <w:drawing>
          <wp:inline>
            <wp:extent cx="5334000" cy="4572653"/>
            <wp:effectExtent b="0" l="0" r="0" t="0"/>
            <wp:docPr descr="예측시간 +6h 강수 지도" title="" id="34" name="Picture"/>
            <a:graphic>
              <a:graphicData uri="http://schemas.openxmlformats.org/drawingml/2006/picture">
                <pic:pic>
                  <pic:nvPicPr>
                    <pic:cNvPr descr="evidence/hourly_precipitation_progress_20261030/figures/hour_18_paired_precipit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예측시간 +6h 강수 지도</w:t>
      </w:r>
    </w:p>
    <w:p>
      <w:pPr>
        <w:pStyle w:val="BodyText"/>
      </w:pPr>
      <w:r>
        <w:t xml:space="preserve">그림 8. 예측시간 +6h, 유효구간 2026-08-16 17–18 UTC의 1시간 누적강수량(mm).</w:t>
      </w:r>
    </w:p>
    <w:bookmarkEnd w:id="36"/>
    <w:bookmarkEnd w:id="37"/>
    <w:sectPr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anumMyeongjo" w:hAnsi="NanumMyeongjo" w:eastAsia="NanumMyeongjo" w:cs="NanumMyeongjo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anumMyeongjo" w:hAnsi="NanumMyeongjo" w:eastAsia="NanumMyeongjo" w:cs="NanumMyeongjo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NanumMyeongjo" w:hAnsi="NanumMyeongjo" w:eastAsia="NanumMyeongjo" w:cs="NanumMyeongjo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NanumMyeongjo" w:hAnsi="NanumMyeongjo" w:eastAsia="NanumMyeongjo" w:cs="NanumMyeongjo"/>
      <w:color w:val="00000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NanumMyeongjo" w:hAnsi="NanumMyeongjo" w:eastAsia="NanumMyeongjo" w:cs="NanumMyeongjo"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NanumMyeongjo" w:hAnsi="NanumMyeongjo" w:eastAsia="NanumMyeongjo" w:cs="NanumMyeongjo"/>
      <w:color w:val="000000"/>
      <w:spacing w:val="15"/>
      <w:sz w:val="2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NanumMyeongjo" w:hAnsi="NanumMyeongjo" w:eastAsia="NanumMyeongjo" w:cs="NanumMyeongjo"/>
      <w:color w:val="00000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NanumMyeongjo" w:hAnsi="NanumMyeongjo" w:eastAsia="NanumMyeongjo" w:cs="NanumMyeongjo"/>
      <w:color w:val="000000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NanumMyeongjo" w:hAnsi="NanumMyeongjo" w:eastAsia="NanumMyeongjo" w:cs="NanumMyeongjo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NanumMyeongjo" w:hAnsi="NanumMyeongjo" w:eastAsia="NanumMyeongjo" w:cs="NanumMyeongjo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NanumMyeongjo" w:hAnsi="NanumMyeongjo" w:eastAsia="NanumMyeongjo" w:cs="NanumMyeongjo"/>
      <w:color w:val="000000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NanumMyeongjo" w:hAnsi="NanumMyeongjo" w:eastAsia="NanumMyeongjo" w:cs="NanumMyeongjo"/>
      <w:color w:val="000000"/>
      <w:sz w:val="2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NanumMyeongjo" w:hAnsi="NanumMyeongjo" w:eastAsia="NanumMyeongjo" w:cs="NanumMyeongjo"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NanumMyeongjo" w:hAnsi="NanumMyeongjo" w:eastAsia="NanumMyeongjo" w:cs="NanumMyeongjo"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NanumMyeongjo" w:hAnsi="NanumMyeongjo" w:eastAsia="NanumMyeongjo" w:cs="NanumMyeongjo"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NanumMyeongjo" w:hAnsi="NanumMyeongjo" w:eastAsia="NanumMyeongjo" w:cs="NanumMyeongjo"/>
      <w:color w:val="00000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NanumMyeongjo" w:hAnsi="NanumMyeongjo" w:eastAsia="NanumMyeongjo" w:cs="NanumMyeongjo"/>
      <w:i/>
      <w:iCs/>
      <w:color w:val="00000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NanumMyeongjo" w:hAnsi="NanumMyeongjo" w:eastAsia="NanumMyeongjo" w:cs="NanumMyeongjo"/>
      <w:color w:val="00000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NanumMyeongjo" w:hAnsi="NanumMyeongjo" w:eastAsia="NanumMyeongjo" w:cs="NanumMyeongjo"/>
      <w:i/>
      <w:iCs/>
      <w:color w:val="00000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NanumMyeongjo" w:hAnsi="NanumMyeongjo" w:eastAsia="NanumMyeongjo" w:cs="NanumMyeongjo"/>
      <w:color w:val="00000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NanumMyeongjo" w:hAnsi="NanumMyeongjo" w:eastAsia="NanumMyeongjo" w:cs="NanumMyeongjo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NanumMyeongjo" w:hAnsi="NanumMyeongjo" w:eastAsia="NanumMyeongjo" w:cs="NanumMyeongjo"/>
      <w:color w:val="000000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NanumMyeongjo" w:hAnsi="NanumMyeongjo" w:eastAsia="NanumMyeongjo" w:cs="NanumMyeongjo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NanumMyeongjo" w:hAnsi="NanumMyeongjo" w:eastAsia="NanumMyeongjo" w:cs="NanumMyeongjo"/>
      <w:b/>
      <w:color w:val="000000"/>
      <w:sz w:val="20"/>
    </w:rPr>
  </w:style>
  <w:style w:customStyle="1" w:styleId="Definition" w:type="paragraph">
    <w:name w:val="Definition"/>
    <w:basedOn w:val="Normal"/>
    <w:rPr>
      <w:rFonts w:ascii="NanumMyeongjo" w:hAnsi="NanumMyeongjo" w:eastAsia="NanumMyeongjo" w:cs="NanumMyeongjo"/>
      <w:color w:val="000000"/>
      <w:sz w:val="2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NanumMyeongjo" w:hAnsi="NanumMyeongjo" w:eastAsia="NanumMyeongjo" w:cs="NanumMyeongjo"/>
      <w:i/>
      <w:color w:val="000000"/>
      <w:sz w:val="20"/>
    </w:rPr>
  </w:style>
  <w:style w:customStyle="1" w:styleId="TableCaption" w:type="paragraph">
    <w:name w:val="Table Caption"/>
    <w:basedOn w:val="Caption"/>
    <w:pPr>
      <w:keepNext/>
    </w:pPr>
    <w:rPr>
      <w:rFonts w:ascii="NanumMyeongjo" w:hAnsi="NanumMyeongjo" w:eastAsia="NanumMyeongjo" w:cs="NanumMyeongjo"/>
      <w:color w:val="000000"/>
      <w:sz w:val="20"/>
    </w:rPr>
  </w:style>
  <w:style w:customStyle="1" w:styleId="ImageCaption" w:type="paragraph">
    <w:name w:val="Image Caption"/>
    <w:basedOn w:val="Caption"/>
    <w:rPr>
      <w:rFonts w:ascii="NanumMyeongjo" w:hAnsi="NanumMyeongjo" w:eastAsia="NanumMyeongjo" w:cs="NanumMyeongjo"/>
      <w:color w:val="000000"/>
      <w:sz w:val="20"/>
    </w:rPr>
  </w:style>
  <w:style w:customStyle="1" w:styleId="Figure" w:type="paragraph">
    <w:name w:val="Figure"/>
    <w:basedOn w:val="Normal"/>
    <w:rPr>
      <w:rFonts w:ascii="NanumMyeongjo" w:hAnsi="NanumMyeongjo" w:eastAsia="NanumMyeongjo" w:cs="NanumMyeongjo"/>
      <w:color w:val="000000"/>
      <w:sz w:val="20"/>
    </w:rPr>
  </w:style>
  <w:style w:customStyle="1" w:styleId="CaptionedFigure" w:type="paragraph">
    <w:name w:val="Captioned Figure"/>
    <w:basedOn w:val="Figure"/>
    <w:pPr>
      <w:keepNext/>
    </w:pPr>
    <w:rPr>
      <w:rFonts w:ascii="NanumMyeongjo" w:hAnsi="NanumMyeongjo" w:eastAsia="NanumMyeongjo" w:cs="NanumMyeongjo"/>
      <w:color w:val="000000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NanumMyeongjo" w:hAnsi="NanumMyeongjo" w:eastAsia="NanumMyeongjo" w:cs="NanumMyeongjo"/>
      <w:b w:val="0"/>
      <w:bCs w:val="0"/>
      <w:color w:val="00000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Myeongjo" w:hAnsi="NanumMyeongjo" w:eastAsia="NanumMyeongjo" w:cs="NanumMyeongjo"/>
      <w:color w:val="000000"/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16" Type="http://schemas.openxmlformats.org/officeDocument/2006/relationships/hyperlink" Target="HOURLY_PRECIPITATION_PROGRESS_APPENDIX_20261030.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OURLY_PRECIPITATION_PROGRESS_APPENDIX_2026103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2026-10-30T00:07:36Z</dcterms:created>
  <dcterms:modified xsi:type="dcterms:W3CDTF">2026-10-30T00:07:36Z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