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3f2f607039bc6db0b7610eaf24e4f6886bd1dd1"/>
    <w:p>
      <w:pPr>
        <w:pStyle w:val="Heading1"/>
        <w:jc w:val="center"/>
      </w:pPr>
      <w:r>
        <w:rPr>
          <w:b/>
          <w:sz w:val="28"/>
        </w:rPr>
        <w:t xml:space="preserve">배경 강수 초기화와 KDM6 영 전환항 처리의 1시간 예보 민감도: 단일 사례 요인 실험</w:t>
      </w:r>
    </w:p>
    <w:p>
      <w:pPr>
        <w:pStyle w:val="FirstParagraph"/>
      </w:pPr>
      <w:r>
        <w:rPr>
          <w:b/>
          <w:bCs/>
        </w:rPr>
        <w:t xml:space="preserve">학술대회 논문 · 2026-10-30</w:t>
      </w:r>
    </w:p>
    <w:bookmarkStart w:id="9" w:name="국문-초록"/>
    <w:p>
      <w:pPr>
        <w:pStyle w:val="Heading2"/>
      </w:pPr>
      <w:r>
        <w:t xml:space="preserve">국문 초록</w:t>
      </w:r>
    </w:p>
    <w:p>
      <w:pPr>
        <w:pStyle w:val="FirstParagraph"/>
      </w:pPr>
      <w:r>
        <w:t xml:space="preserve">2026년 8월 16일 12 UTC 초기화 사례의 +1시간 강수예보에서 배경 강수 수종 보존과 KDM6 정확한 영 계산항 처리를 분리하기 위해 2×2 요인 실험을 수행했다. 동일한 3,688개 처리 RN1 점에서 기존 HYDRO(H0)와 배경 보존 초기장(B0)의 5 mm CSI는 각각 0.214008과 0.278810이었다. 영 처리 수정은 H0에서 CSI를 0.204724로 낮췄지만, B0에서는 B1의 0.283582로 높였다. 차이의 차이는 +0.014055로, 점수 척도에서 실행파일 효과가 초기화에 따라 달라졌다. B1은 O0보다 여섯 CSI가 높고 MAE/RMSE가 조금 낮았지만 이는 정책 단독 효과가 아니다. 한 사례·한 시간 결과이며 RN1 자료 대표성, 전체 수지 및 과정별 귀속이 미확정이므로 일반 성능 향상이나 운영 적용의 증거로 해석하지 않는다.</w:t>
      </w:r>
    </w:p>
    <w:bookmarkEnd w:id="9"/>
    <w:bookmarkStart w:id="10" w:name="abstract"/>
    <w:p>
      <w:pPr>
        <w:pStyle w:val="Heading2"/>
      </w:pPr>
      <w:r>
        <w:t xml:space="preserve">Abstract</w:t>
      </w:r>
    </w:p>
    <w:p>
      <w:pPr>
        <w:pStyle w:val="FirstParagraph"/>
      </w:pPr>
      <w:r>
        <w:t xml:space="preserve">We completed a 2×2 factorial experiment separating background-hydrometeor preservation from a KDM6 exact-zero transfer guard for the first forecast hour of a case initialized at 1200 UTC 16 August 2026. At the same 3,688 processed RN1 points, the 5 mm CSI was 0.214008 for historical HYDRO (H0) and 0.278810 for preserved background with the historical executable (B0). The guard lowered CSI to 0.204724 in HYDRO (H1) but raised it to 0.283582 in the preserved-background state (B1). The difference of differences was +0.014055, indicating initialization-dependent change on the score scale. B1 had higher CSI at all six thresholds and slightly lower MAE and RMSE than original OFF (O0), but this combined comparison does not isolate the policy effect. This one-event, one-hour sensitivity result does not establish general skill or operational readiness; RN1 representativeness, full budgets, and process attribution remain unresolved.</w:t>
      </w:r>
    </w:p>
    <w:bookmarkEnd w:id="10"/>
    <w:bookmarkStart w:id="11" w:name="서론"/>
    <w:p>
      <w:pPr>
        <w:pStyle w:val="Heading2"/>
      </w:pPr>
      <w:r>
        <w:t xml:space="preserve">1. 서론</w:t>
      </w:r>
    </w:p>
    <w:p>
      <w:pPr>
        <w:pStyle w:val="FirstParagraph"/>
      </w:pPr>
      <w:r>
        <w:t xml:space="preserve">단시간 강수예보의 첫 시간은 초기 수상체와 모델의 미세물리·수송이 함께 작용하는 구간이다. 배경장의 rain·snow·graupel을 유지하는 초기화는 레이더 강수 역산·수송·강수 하중을 포함하는 기존 HYDRO 경로와 다른 초기 상태를 만든다. 별도로 KDM6 계산에서 정확한 0에 적용되던 제한 경계 처리를 바꾸면 실행 중 강수 전환항이 달라질 수 있다. 두 변경을 함께 적용한 점수만으로 각 변경의 효과나 결합 효과를 구분할 수 없으므로, 동일한 초기화에서 실행파일을 바꾸고 동일한 실행파일에서 초기화를 바꾸는 요인 대조가 필요하다.</w:t>
      </w:r>
    </w:p>
    <w:p>
      <w:pPr>
        <w:pStyle w:val="BodyText"/>
      </w:pPr>
      <w:r>
        <w:t xml:space="preserve">기존 HYDRO와 배경 보존 정책의 각 두 실행파일 실험을 연결해 +1시간의 강수 민감도를 비교한다. 주요 질문은 (1) 정확한 영 처리 수정의 점수가 초기화 정책에 따라 달라지는가, (2) 정책과 수정의 점수 상호작용이 어떤 임계값에서 나타나는가이다. KDM6와 WRF 설정의 출처는 이 실험의 코드·입력 receipt와 KDM6 관련 학회 초록을 구분해 기록하며, KDM6를 WDM6와 같은 구현으로 취급하지 않는다 [1, 2].</w:t>
      </w:r>
    </w:p>
    <w:bookmarkEnd w:id="11"/>
    <w:bookmarkStart w:id="18" w:name="자료-및-방법"/>
    <w:p>
      <w:pPr>
        <w:pStyle w:val="Heading2"/>
      </w:pPr>
      <w:r>
        <w:t xml:space="preserve">2. 자료 및 방법</w:t>
      </w:r>
    </w:p>
    <w:bookmarkStart w:id="15" w:name="실험-설계와-사례"/>
    <w:p>
      <w:pPr>
        <w:pStyle w:val="Heading3"/>
      </w:pPr>
      <w:r>
        <w:t xml:space="preserve">2.1 실험 설계와 사례</w:t>
      </w:r>
    </w:p>
    <w:p>
      <w:pPr>
        <w:pStyle w:val="FirstParagraph"/>
      </w:pPr>
      <w:r>
        <w:t xml:space="preserve">사례는 2026년 8월 16일 12 UTC 초기화다. 모든 예측은 동일한 보관 WRF 실행환경, 경계자료, 격자와 시간간격을 사용하며 비교 대상은 12–13 UTC의 한 시간 누적 강수다. 요인 A는 초기화 상태, 요인 B는 실행파일의 영 전환항 처리다. H0와 H1은 동일한 기존 HYDRO 초기장을 각각 기존 및 수정 실행파일로 적분한다. B0와 B1은 동일한 생산자 단계 배경 강수 보존 초기장을 각각 기존 및 수정 실행파일로 적분한다. O0는 실제 원본 OFF 초기장을 기존 실행파일로 적분한 외부 기준이다. 실험 receipt는 실행입력, 완료상태, 점수·그림 결속을 기록한다:</w:t>
      </w:r>
      <w:r>
        <w:t xml:space="preserve"> </w:t>
      </w:r>
      <w:hyperlink r:id="rId12">
        <w:r>
          <w:rPr>
            <w:rStyle w:val="Hyperlink"/>
          </w:rPr>
          <w:t xml:space="preserve">실행 receipt</w:t>
        </w:r>
      </w:hyperlink>
      <w:r>
        <w:t xml:space="preserve">,</w:t>
      </w:r>
      <w:r>
        <w:t xml:space="preserve"> </w:t>
      </w:r>
      <w:hyperlink r:id="rId13">
        <w:r>
          <w:rPr>
            <w:rStyle w:val="Hyperlink"/>
          </w:rPr>
          <w:t xml:space="preserve">실행 입력 manifest</w:t>
        </w:r>
      </w:hyperlink>
      <w:r>
        <w:t xml:space="preserve">,</w:t>
      </w:r>
      <w:r>
        <w:t xml:space="preserve"> </w:t>
      </w:r>
      <w:hyperlink r:id="rId14">
        <w:r>
          <w:rPr>
            <w:rStyle w:val="Hyperlink"/>
          </w:rPr>
          <w:t xml:space="preserve">분석 receipt</w:t>
        </w:r>
      </w:hyperlink>
      <w:r>
        <w:t xml:space="preserve">.</w:t>
      </w:r>
    </w:p>
    <w:p>
      <w:pPr>
        <w:pStyle w:val="BodyText"/>
        <w:keepNext/>
      </w:pPr>
      <w:r>
        <w:rPr>
          <w:b/>
          <w:bCs/>
        </w:rPr>
        <w:t xml:space="preserve">표 1. 초기화 정책과 실행파일의 요인 실험 설계.</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keepNext/>
            </w:pPr>
            <w:r>
              <w:t xml:space="preserve">ID</w:t>
            </w:r>
          </w:p>
        </w:tc>
        <w:tc>
          <w:tcPr/>
          <w:p>
            <w:pPr>
              <w:pStyle w:val="Compact"/>
              <w:keepNext/>
            </w:pPr>
            <w:r>
              <w:t xml:space="preserve">초기장</w:t>
            </w:r>
          </w:p>
        </w:tc>
        <w:tc>
          <w:tcPr/>
          <w:p>
            <w:pPr>
              <w:pStyle w:val="Compact"/>
              <w:keepNext/>
            </w:pPr>
            <w:r>
              <w:t xml:space="preserve">실행파일</w:t>
            </w:r>
          </w:p>
        </w:tc>
        <w:tc>
          <w:tcPr/>
          <w:p>
            <w:pPr>
              <w:pStyle w:val="Compact"/>
              <w:keepNext/>
            </w:pPr>
            <w:r>
              <w:t xml:space="preserve">상태</w:t>
            </w:r>
          </w:p>
        </w:tc>
      </w:tr>
      <w:tr>
        <w:trPr>
          <w:cantSplit/>
        </w:trPr>
        <w:tc>
          <w:tcPr/>
          <w:p>
            <w:pPr>
              <w:pStyle w:val="Compact"/>
              <w:keepNext/>
            </w:pPr>
            <w:r>
              <w:t xml:space="preserve">H0</w:t>
            </w:r>
          </w:p>
        </w:tc>
        <w:tc>
          <w:tcPr/>
          <w:p>
            <w:pPr>
              <w:pStyle w:val="Compact"/>
              <w:keepNext/>
            </w:pPr>
            <w:r>
              <w:t xml:space="preserve">기존 HYDRO</w:t>
            </w:r>
          </w:p>
        </w:tc>
        <w:tc>
          <w:tcPr/>
          <w:p>
            <w:pPr>
              <w:pStyle w:val="Compact"/>
              <w:keepNext/>
            </w:pPr>
            <w:r>
              <w:t xml:space="preserve">기존</w:t>
            </w:r>
          </w:p>
        </w:tc>
        <w:tc>
          <w:tcPr/>
          <w:p>
            <w:pPr>
              <w:pStyle w:val="Compact"/>
              <w:keepNext/>
            </w:pPr>
            <w:r>
              <w:t xml:space="preserve">완료</w:t>
            </w:r>
          </w:p>
        </w:tc>
      </w:tr>
      <w:tr>
        <w:trPr>
          <w:cantSplit/>
        </w:trPr>
        <w:tc>
          <w:tcPr/>
          <w:p>
            <w:pPr>
              <w:pStyle w:val="Compact"/>
              <w:keepNext/>
            </w:pPr>
            <w:r>
              <w:t xml:space="preserve">H1</w:t>
            </w:r>
          </w:p>
        </w:tc>
        <w:tc>
          <w:tcPr/>
          <w:p>
            <w:pPr>
              <w:pStyle w:val="Compact"/>
              <w:keepNext/>
            </w:pPr>
            <w:r>
              <w:t xml:space="preserve">기존 HYDRO</w:t>
            </w:r>
          </w:p>
        </w:tc>
        <w:tc>
          <w:tcPr/>
          <w:p>
            <w:pPr>
              <w:pStyle w:val="Compact"/>
              <w:keepNext/>
            </w:pPr>
            <w:r>
              <w:t xml:space="preserve">정확한 영 처리 수정</w:t>
            </w:r>
          </w:p>
        </w:tc>
        <w:tc>
          <w:tcPr/>
          <w:p>
            <w:pPr>
              <w:pStyle w:val="Compact"/>
              <w:keepNext/>
            </w:pPr>
            <w:r>
              <w:t xml:space="preserve">완료</w:t>
            </w:r>
          </w:p>
        </w:tc>
      </w:tr>
      <w:tr>
        <w:trPr>
          <w:cantSplit/>
        </w:trPr>
        <w:tc>
          <w:tcPr/>
          <w:p>
            <w:pPr>
              <w:pStyle w:val="Compact"/>
              <w:keepNext/>
            </w:pPr>
            <w:r>
              <w:t xml:space="preserve">B0</w:t>
            </w:r>
          </w:p>
        </w:tc>
        <w:tc>
          <w:tcPr/>
          <w:p>
            <w:pPr>
              <w:pStyle w:val="Compact"/>
              <w:keepNext/>
            </w:pPr>
            <w:r>
              <w:t xml:space="preserve">생산자 단계 배경 강수 보존</w:t>
            </w:r>
          </w:p>
        </w:tc>
        <w:tc>
          <w:tcPr/>
          <w:p>
            <w:pPr>
              <w:pStyle w:val="Compact"/>
              <w:keepNext/>
            </w:pPr>
            <w:r>
              <w:t xml:space="preserve">기존</w:t>
            </w:r>
          </w:p>
        </w:tc>
        <w:tc>
          <w:tcPr/>
          <w:p>
            <w:pPr>
              <w:pStyle w:val="Compact"/>
              <w:keepNext/>
            </w:pPr>
            <w:r>
              <w:t xml:space="preserve">완료</w:t>
            </w:r>
          </w:p>
        </w:tc>
      </w:tr>
      <w:tr>
        <w:trPr>
          <w:cantSplit/>
        </w:trPr>
        <w:tc>
          <w:tcPr/>
          <w:p>
            <w:pPr>
              <w:pStyle w:val="Compact"/>
              <w:keepNext/>
            </w:pPr>
            <w:r>
              <w:t xml:space="preserve">B1</w:t>
            </w:r>
          </w:p>
        </w:tc>
        <w:tc>
          <w:tcPr/>
          <w:p>
            <w:pPr>
              <w:pStyle w:val="Compact"/>
              <w:keepNext/>
            </w:pPr>
            <w:r>
              <w:t xml:space="preserve">생산자 단계 배경 강수 보존</w:t>
            </w:r>
          </w:p>
        </w:tc>
        <w:tc>
          <w:tcPr/>
          <w:p>
            <w:pPr>
              <w:pStyle w:val="Compact"/>
              <w:keepNext/>
            </w:pPr>
            <w:r>
              <w:t xml:space="preserve">정확한 영 처리 수정</w:t>
            </w:r>
          </w:p>
        </w:tc>
        <w:tc>
          <w:tcPr/>
          <w:p>
            <w:pPr>
              <w:pStyle w:val="Compact"/>
              <w:keepNext/>
            </w:pPr>
            <w:r>
              <w:t xml:space="preserve">완료</w:t>
            </w:r>
          </w:p>
        </w:tc>
      </w:tr>
      <w:tr>
        <w:trPr>
          <w:cantSplit/>
        </w:trPr>
        <w:tc>
          <w:tcPr/>
          <w:p>
            <w:pPr>
              <w:pStyle w:val="Compact"/>
            </w:pPr>
            <w:r>
              <w:t xml:space="preserve">O0</w:t>
            </w:r>
          </w:p>
        </w:tc>
        <w:tc>
          <w:tcPr/>
          <w:p>
            <w:pPr>
              <w:pStyle w:val="Compact"/>
            </w:pPr>
            <w:r>
              <w:t xml:space="preserve">실제 원본 OFF</w:t>
            </w:r>
          </w:p>
        </w:tc>
        <w:tc>
          <w:tcPr/>
          <w:p>
            <w:pPr>
              <w:pStyle w:val="Compact"/>
            </w:pPr>
            <w:r>
              <w:t xml:space="preserve">기존</w:t>
            </w:r>
          </w:p>
        </w:tc>
        <w:tc>
          <w:tcPr/>
          <w:p>
            <w:pPr>
              <w:pStyle w:val="Compact"/>
            </w:pPr>
            <w:r>
              <w:t xml:space="preserve">완료, 외부 기준</w:t>
            </w:r>
          </w:p>
        </w:tc>
      </w:tr>
    </w:tbl>
    <w:p>
      <w:pPr>
        <w:pStyle w:val="BodyText"/>
      </w:pPr>
      <w:r>
        <w:t xml:space="preserve">요인 실험의 배경 보존 정책은 기존 유효성·권한·실패 복원 검사를 거치는 연구 경로다. 레이더 강수 역산·수송·강수 하중을 생략하고 배경 rain·snow·graupel과 상·품질·출처를 보존한다. 생산자에서 실제 변경이 확인된 native 초기장 변수는 208개 중 8개로, 수상체 세 성분과 PH, P, P_HYD, AL, TH2이다. 따라서 이는 QR·QS만 바꾼 실험이 아니며 물리적으로 균형 잡힌 동화 효과나 전체 보존성의 증거도 아니다. 정책은 기본 HYDRO 동작을 바꾸지 않으며 운영 승인 또는 기본값 승격 상태가 아니다.</w:t>
      </w:r>
    </w:p>
    <w:p>
      <w:pPr>
        <w:pStyle w:val="BodyText"/>
      </w:pPr>
      <w:r>
        <w:t xml:space="preserve">실행파일 수정은 정확히 0인</w:t>
      </w:r>
      <w:r>
        <w:t xml:space="preserve"> </w:t>
      </w:r>
      <w:r>
        <w:rPr>
          <w:rStyle w:val="VerbatimChar"/>
        </w:rPr>
        <w:t xml:space="preserve">prevp</w:t>
      </w:r>
      <w:r>
        <w:t xml:space="preserve"> </w:t>
      </w:r>
      <w:r>
        <w:t xml:space="preserve">계산항에서 음의 전환항을 만들 수 있는 경계 분기를 막고, 비영 계산항 제한은 유지한다. 이는 한 변수의 국지 처리 변경이다. H1은 H0보다 낮은 임계값 CSI와 MAE/RMSE가 개선됐지만 ≥5 mm CSI는 낮았다. B1−B0와 H1−H0의 비교로 이 수정의 CSI 변화가 초기화 정책에 따라 임계값별로 어떻게 달라지는지 계산한다.</w:t>
      </w:r>
    </w:p>
    <w:bookmarkEnd w:id="15"/>
    <w:bookmarkStart w:id="16" w:name="강수-검증-및-통계량"/>
    <w:p>
      <w:pPr>
        <w:pStyle w:val="Heading3"/>
      </w:pPr>
      <w:r>
        <w:t xml:space="preserve">2.2 강수 검증 및 통계량</w:t>
      </w:r>
    </w:p>
    <w:p>
      <w:pPr>
        <w:pStyle w:val="FirstParagraph"/>
      </w:pPr>
      <w:r>
        <w:t xml:space="preserve">모델 1시간 강수량은 WRF 누적 대류성·격자규모 강수의 시각 간 차다.</w:t>
      </w:r>
    </w:p>
    <w:p>
      <w:pPr>
        <w:pStyle w:val="BodyText"/>
      </w:pPr>
      <m:oMathPara>
        <m:oMathParaPr>
          <m:jc m:val="center"/>
        </m:oMathParaPr>
        <m:oMath>
          <m:sSub>
            <m:e>
              <m:r>
                <m:t>P</m:t>
              </m:r>
            </m:e>
            <m:sub>
              <m:r>
                <m:t>1</m:t>
              </m:r>
              <m:r>
                <m:t>h</m:t>
              </m:r>
            </m:sub>
          </m:sSub>
          <m:r>
            <m:rPr>
              <m:sty m:val="p"/>
            </m:rPr>
            <m:t>=</m:t>
          </m:r>
          <m:r>
            <m:t>C</m:t>
          </m:r>
          <m:r>
            <m:rPr>
              <m:sty m:val="p"/>
            </m:rPr>
            <m:t>(</m:t>
          </m:r>
          <m:r>
            <m:t>13</m:t>
          </m:r>
          <m:r>
            <m:t> </m:t>
          </m:r>
          <m:r>
            <m:rPr>
              <m:sty m:val="p"/>
            </m:rPr>
            <m:t>U</m:t>
          </m:r>
          <m:r>
            <m:rPr>
              <m:sty m:val="p"/>
            </m:rPr>
            <m:t>T</m:t>
          </m:r>
          <m:r>
            <m:rPr>
              <m:sty m:val="p"/>
            </m:rPr>
            <m:t>C</m:t>
          </m:r>
          <m:r>
            <m:rPr>
              <m:sty m:val="p"/>
            </m:rPr>
            <m:t>)</m:t>
          </m:r>
          <m:r>
            <m:rPr>
              <m:sty m:val="p"/>
            </m:rPr>
            <m:t>−</m:t>
          </m:r>
          <m:r>
            <m:t>C</m:t>
          </m:r>
          <m:r>
            <m:rPr>
              <m:sty m:val="p"/>
            </m:rPr>
            <m:t>(</m:t>
          </m:r>
          <m:r>
            <m:t>12</m:t>
          </m:r>
          <m:r>
            <m:t> </m:t>
          </m:r>
          <m:r>
            <m:rPr>
              <m:sty m:val="p"/>
            </m:rPr>
            <m:t>U</m:t>
          </m:r>
          <m:r>
            <m:rPr>
              <m:sty m:val="p"/>
            </m:rPr>
            <m:t>T</m:t>
          </m:r>
          <m:r>
            <m:rPr>
              <m:sty m:val="p"/>
            </m:rPr>
            <m:t>C</m:t>
          </m:r>
          <m:r>
            <m:rPr>
              <m:sty m:val="p"/>
            </m:rPr>
            <m:t>)</m:t>
          </m:r>
          <m:r>
            <m:rPr>
              <m:sty m:val="p"/>
            </m:rPr>
            <m:t>,</m:t>
          </m:r>
          <m:r>
            <m:t>  </m:t>
          </m:r>
          <m:r>
            <m:t>C</m:t>
          </m:r>
          <m:r>
            <m:rPr>
              <m:sty m:val="p"/>
            </m:rPr>
            <m:t>(</m:t>
          </m:r>
          <m:r>
            <m:t>t</m:t>
          </m:r>
          <m:r>
            <m:rPr>
              <m:sty m:val="p"/>
            </m:rPr>
            <m:t>)</m:t>
          </m:r>
          <m:r>
            <m:rPr>
              <m:sty m:val="p"/>
            </m:rPr>
            <m:t>=</m:t>
          </m:r>
          <m:r>
            <m:t>R</m:t>
          </m:r>
          <m:r>
            <m:t>A</m:t>
          </m:r>
          <m:r>
            <m:t>I</m:t>
          </m:r>
          <m:r>
            <m:t>N</m:t>
          </m:r>
          <m:r>
            <m:t>C</m:t>
          </m:r>
          <m:r>
            <m:rPr>
              <m:sty m:val="p"/>
            </m:rPr>
            <m:t>(</m:t>
          </m:r>
          <m:r>
            <m:t>t</m:t>
          </m:r>
          <m:r>
            <m:rPr>
              <m:sty m:val="p"/>
            </m:rPr>
            <m:t>)</m:t>
          </m:r>
          <m:r>
            <m:rPr>
              <m:sty m:val="p"/>
            </m:rPr>
            <m:t>+</m:t>
          </m:r>
          <m:r>
            <m:t>R</m:t>
          </m:r>
          <m:r>
            <m:t>A</m:t>
          </m:r>
          <m:r>
            <m:t>I</m:t>
          </m:r>
          <m:r>
            <m:t>N</m:t>
          </m:r>
          <m:r>
            <m:t>N</m:t>
          </m:r>
          <m:r>
            <m:t>C</m:t>
          </m:r>
          <m:r>
            <m:rPr>
              <m:sty m:val="p"/>
            </m:rPr>
            <m:t>(</m:t>
          </m:r>
          <m:r>
            <m:t>t</m:t>
          </m:r>
          <m:r>
            <m:rPr>
              <m:sty m:val="p"/>
            </m:rPr>
            <m:t>)</m:t>
          </m:r>
          <m:r>
            <m:rPr>
              <m:sty m:val="p"/>
            </m:rPr>
            <m:t>.</m:t>
          </m:r>
        </m:oMath>
      </m:oMathPara>
    </w:p>
    <w:p>
      <w:pPr>
        <w:pStyle w:val="FirstParagraph"/>
      </w:pPr>
      <w:r>
        <w:t xml:space="preserve">검증 계약상 모든 history에</w:t>
      </w:r>
      <w:r>
        <w:t xml:space="preserve"> </w:t>
      </w:r>
      <w:r>
        <w:rPr>
          <w:rStyle w:val="VerbatimChar"/>
        </w:rPr>
        <w:t xml:space="preserve">RAINSH</w:t>
      </w:r>
      <w:r>
        <w:t xml:space="preserve">가 있어야 하며, 이 값은 0인지 별도로 검사하고 총량에서는 제외한다. 허용 오차 안의 아주 작은 음의 누적 차는 점수 계산 전에 0으로 조정한다.</w:t>
      </w:r>
    </w:p>
    <w:p>
      <w:pPr>
        <w:pStyle w:val="BodyText"/>
      </w:pPr>
      <w:r>
        <w:t xml:space="preserve">모델 격자에서 평가점으로 옮기는 고정 네 모서리 bilinear 연산은 다음과 같다.</w:t>
      </w:r>
    </w:p>
    <w:p>
      <w:pPr>
        <w:pStyle w:val="BodyText"/>
      </w:pPr>
      <m:oMathPara>
        <m:oMathParaPr>
          <m:jc m:val="center"/>
        </m:oMathParaPr>
        <m:oMath>
          <m:r>
            <m:t>P</m:t>
          </m:r>
          <m:r>
            <m:rPr>
              <m:sty m:val="p"/>
            </m:rPr>
            <m:t>(</m:t>
          </m:r>
          <m:r>
            <m:t>x</m:t>
          </m:r>
          <m:r>
            <m:rPr>
              <m:sty m:val="p"/>
            </m:rPr>
            <m:t>)</m:t>
          </m:r>
          <m:r>
            <m:rPr>
              <m:sty m:val="p"/>
            </m:rPr>
            <m:t>=</m:t>
          </m:r>
          <m:nary>
            <m:naryPr>
              <m:chr m:val="∑"/>
              <m:limLoc m:val="undOvr"/>
              <m:subHide m:val="off"/>
              <m:supHide m:val="off"/>
            </m:naryPr>
            <m:sub>
              <m:r>
                <m:t>j</m:t>
              </m:r>
              <m:r>
                <m:rPr>
                  <m:sty m:val="p"/>
                </m:rPr>
                <m:t>=</m:t>
              </m:r>
              <m:r>
                <m:t>1</m:t>
              </m:r>
            </m:sub>
            <m:sup>
              <m:r>
                <m:t>4</m:t>
              </m:r>
            </m:sup>
            <m:e>
              <m:sSub>
                <m:e>
                  <m:r>
                    <m:t>w</m:t>
                  </m:r>
                </m:e>
                <m:sub>
                  <m:r>
                    <m:t>j</m:t>
                  </m:r>
                </m:sub>
              </m:sSub>
            </m:e>
          </m:nary>
          <m:sSub>
            <m:e>
              <m:r>
                <m:t>P</m:t>
              </m:r>
            </m:e>
            <m:sub>
              <m:r>
                <m:t>j</m:t>
              </m:r>
            </m:sub>
          </m:sSub>
          <m:r>
            <m:rPr>
              <m:sty m:val="p"/>
            </m:rPr>
            <m:t>,</m:t>
          </m:r>
          <m:r>
            <m:t>  </m:t>
          </m:r>
          <m:sSub>
            <m:e>
              <m:r>
                <m:t>w</m:t>
              </m:r>
            </m:e>
            <m:sub>
              <m:r>
                <m:t>j</m:t>
              </m:r>
            </m:sub>
          </m:sSub>
          <m:r>
            <m:rPr>
              <m:sty m:val="p"/>
            </m:rPr>
            <m:t>≥</m:t>
          </m:r>
          <m:r>
            <m:t>0</m:t>
          </m:r>
          <m:r>
            <m:rPr>
              <m:sty m:val="p"/>
            </m:rPr>
            <m:t>,</m:t>
          </m:r>
          <m:r>
            <m:t>  </m:t>
          </m:r>
          <m:nary>
            <m:naryPr>
              <m:chr m:val="∑"/>
              <m:limLoc m:val="undOvr"/>
              <m:subHide m:val="off"/>
              <m:supHide m:val="off"/>
            </m:naryPr>
            <m:sub>
              <m:r>
                <m:t>j</m:t>
              </m:r>
              <m:r>
                <m:rPr>
                  <m:sty m:val="p"/>
                </m:rPr>
                <m:t>=</m:t>
              </m:r>
              <m:r>
                <m:t>1</m:t>
              </m:r>
            </m:sub>
            <m:sup>
              <m:r>
                <m:t>4</m:t>
              </m:r>
            </m:sup>
            <m:e>
              <m:sSub>
                <m:e>
                  <m:r>
                    <m:t>w</m:t>
                  </m:r>
                </m:e>
                <m:sub>
                  <m:r>
                    <m:t>j</m:t>
                  </m:r>
                </m:sub>
              </m:sSub>
            </m:e>
          </m:nary>
          <m:r>
            <m:rPr>
              <m:sty m:val="p"/>
            </m:rPr>
            <m:t>=</m:t>
          </m:r>
          <m:r>
            <m:t>1</m:t>
          </m:r>
          <m:r>
            <m:rPr>
              <m:sty m:val="p"/>
            </m:rPr>
            <m:t>.</m:t>
          </m:r>
        </m:oMath>
      </m:oMathPara>
    </w:p>
    <w:p>
      <w:pPr>
        <w:pStyle w:val="FirstParagraph"/>
      </w:pPr>
      <w:r>
        <w:t xml:space="preserve">누적량 차분과 고정 선형 보간은 순서를 바꾸어도 같지만, 문턱값 사건 판정은 비선형이므로 보간 이후 수행한다. 참조 RN1은 처리된 분석장으로, 이 평가에 고정된 3,688개 점을 사용한다. RN1의 입력 시각 최신성·coverage/QC 및 점별 관측 대표성은 확인되지 않았다. 점들은 한 폭풍 사례 안에서 공간적으로 상관되므로 독립 표본이나 별도 사례 수로 해석하지 않는다.</w:t>
      </w:r>
    </w:p>
    <w:p>
      <w:pPr>
        <w:pStyle w:val="BodyText"/>
      </w:pPr>
      <w:r>
        <w:t xml:space="preserve">관측과 예보의 임계값 이상 여부로 적중</w:t>
      </w:r>
      <w:r>
        <w:t xml:space="preserve"> </w:t>
      </w:r>
      <m:oMath>
        <m:r>
          <m:t>H</m:t>
        </m:r>
      </m:oMath>
      <w:r>
        <w:t xml:space="preserve">, 누락</w:t>
      </w:r>
      <w:r>
        <w:t xml:space="preserve"> </w:t>
      </w:r>
      <m:oMath>
        <m:r>
          <m:t>M</m:t>
        </m:r>
      </m:oMath>
      <w:r>
        <w:t xml:space="preserve">, 오경보</w:t>
      </w:r>
      <w:r>
        <w:t xml:space="preserve"> </w:t>
      </w:r>
      <m:oMath>
        <m:r>
          <m:t>F</m:t>
        </m:r>
      </m:oMath>
      <w:r>
        <w:t xml:space="preserve">를 세고 임계값별 CSI를 계산한다.</w:t>
      </w:r>
    </w:p>
    <w:p>
      <w:pPr>
        <w:pStyle w:val="BodyText"/>
      </w:pPr>
      <m:oMathPara>
        <m:oMathParaPr>
          <m:jc m:val="center"/>
        </m:oMathParaPr>
        <m:oMath>
          <m:r>
            <m:rPr>
              <m:sty m:val="p"/>
            </m:rPr>
            <m:t>C</m:t>
          </m:r>
          <m:r>
            <m:rPr>
              <m:sty m:val="p"/>
            </m:rPr>
            <m:t>S</m:t>
          </m:r>
          <m:r>
            <m:rPr>
              <m:sty m:val="p"/>
            </m:rPr>
            <m:t>I</m:t>
          </m:r>
          <m:r>
            <m:rPr>
              <m:sty m:val="p"/>
            </m:rPr>
            <m:t>=</m:t>
          </m:r>
          <m:f>
            <m:fPr>
              <m:type m:val="bar"/>
            </m:fPr>
            <m:num>
              <m:r>
                <m:t>H</m:t>
              </m:r>
            </m:num>
            <m:den>
              <m:r>
                <m:t>H</m:t>
              </m:r>
              <m:r>
                <m:rPr>
                  <m:sty m:val="p"/>
                </m:rPr>
                <m:t>+</m:t>
              </m:r>
              <m:r>
                <m:t>M</m:t>
              </m:r>
              <m:r>
                <m:rPr>
                  <m:sty m:val="p"/>
                </m:rPr>
                <m:t>+</m:t>
              </m:r>
              <m:r>
                <m:t>F</m:t>
              </m:r>
            </m:den>
          </m:f>
          <m:r>
            <m:rPr>
              <m:sty m:val="p"/>
            </m:rPr>
            <m:t>.</m:t>
          </m:r>
        </m:oMath>
      </m:oMathPara>
    </w:p>
    <w:p>
      <w:pPr>
        <w:pStyle w:val="FirstParagraph"/>
      </w:pPr>
      <w:r>
        <w:t xml:space="preserve">동일 표본에서 두 실험</w:t>
      </w:r>
      <w:r>
        <w:t xml:space="preserve"> </w:t>
      </w:r>
      <m:oMath>
        <m:r>
          <m:t>X</m:t>
        </m:r>
        <m:r>
          <m:rPr>
            <m:sty m:val="p"/>
          </m:rPr>
          <m:t>,</m:t>
        </m:r>
        <m:r>
          <m:t>Y</m:t>
        </m:r>
      </m:oMath>
      <w:r>
        <w:t xml:space="preserve">의 짝지은 점수 차는 임계값별로</w:t>
      </w:r>
      <w:r>
        <w:t xml:space="preserve"> </w:t>
      </w:r>
      <m:oMath>
        <m:sSub>
          <m:e>
            <m:r>
              <m:rPr>
                <m:sty m:val="p"/>
              </m:rPr>
              <m:t>Δ</m:t>
            </m:r>
          </m:e>
          <m:sub>
            <m:r>
              <m:t>Y</m:t>
            </m:r>
            <m:r>
              <m:rPr>
                <m:sty m:val="p"/>
              </m:rPr>
              <m:t>−</m:t>
            </m:r>
            <m:r>
              <m:t>X</m:t>
            </m:r>
          </m:sub>
        </m:sSub>
        <m:r>
          <m:rPr>
            <m:sty m:val="p"/>
          </m:rPr>
          <m:t>=</m:t>
        </m:r>
        <m:sSub>
          <m:e>
            <m:r>
              <m:rPr>
                <m:sty m:val="p"/>
              </m:rPr>
              <m:t>C</m:t>
            </m:r>
            <m:r>
              <m:rPr>
                <m:sty m:val="p"/>
              </m:rPr>
              <m:t>S</m:t>
            </m:r>
            <m:r>
              <m:rPr>
                <m:sty m:val="p"/>
              </m:rPr>
              <m:t>I</m:t>
            </m:r>
          </m:e>
          <m:sub>
            <m:r>
              <m:t>Y</m:t>
            </m:r>
          </m:sub>
        </m:sSub>
        <m:r>
          <m:rPr>
            <m:sty m:val="p"/>
          </m:rPr>
          <m:t>−</m:t>
        </m:r>
        <m:sSub>
          <m:e>
            <m:r>
              <m:rPr>
                <m:sty m:val="p"/>
              </m:rPr>
              <m:t>C</m:t>
            </m:r>
            <m:r>
              <m:rPr>
                <m:sty m:val="p"/>
              </m:rPr>
              <m:t>S</m:t>
            </m:r>
            <m:r>
              <m:rPr>
                <m:sty m:val="p"/>
              </m:rPr>
              <m:t>I</m:t>
            </m:r>
          </m:e>
          <m:sub>
            <m:r>
              <m:t>X</m:t>
            </m:r>
          </m:sub>
        </m:sSub>
      </m:oMath>
      <w:r>
        <w:t xml:space="preserve">다. 요인 상호작용은 다음 차이의 차이다.</w:t>
      </w:r>
    </w:p>
    <w:p>
      <w:pPr>
        <w:pStyle w:val="BodyText"/>
      </w:pPr>
      <m:oMathPara>
        <m:oMathParaPr>
          <m:jc m:val="center"/>
        </m:oMathParaPr>
        <m:oMath>
          <m:r>
            <m:t>I</m:t>
          </m:r>
          <m:r>
            <m:rPr>
              <m:sty m:val="p"/>
            </m:rPr>
            <m:t>=</m:t>
          </m:r>
          <m:d>
            <m:dPr>
              <m:begChr m:val="("/>
              <m:sepChr m:val=""/>
              <m:endChr m:val=")"/>
              <m:grow/>
            </m:dPr>
            <m:e>
              <m:sSub>
                <m:e>
                  <m:r>
                    <m:rPr>
                      <m:sty m:val="p"/>
                    </m:rPr>
                    <m:t>C</m:t>
                  </m:r>
                  <m:r>
                    <m:rPr>
                      <m:sty m:val="p"/>
                    </m:rPr>
                    <m:t>S</m:t>
                  </m:r>
                  <m:r>
                    <m:rPr>
                      <m:sty m:val="p"/>
                    </m:rPr>
                    <m:t>I</m:t>
                  </m:r>
                </m:e>
                <m:sub>
                  <m:r>
                    <m:t>B</m:t>
                  </m:r>
                  <m:r>
                    <m:t>1</m:t>
                  </m:r>
                </m:sub>
              </m:sSub>
              <m:r>
                <m:rPr>
                  <m:sty m:val="p"/>
                </m:rPr>
                <m:t>−</m:t>
              </m:r>
              <m:sSub>
                <m:e>
                  <m:r>
                    <m:rPr>
                      <m:sty m:val="p"/>
                    </m:rPr>
                    <m:t>C</m:t>
                  </m:r>
                  <m:r>
                    <m:rPr>
                      <m:sty m:val="p"/>
                    </m:rPr>
                    <m:t>S</m:t>
                  </m:r>
                  <m:r>
                    <m:rPr>
                      <m:sty m:val="p"/>
                    </m:rPr>
                    <m:t>I</m:t>
                  </m:r>
                </m:e>
                <m:sub>
                  <m:r>
                    <m:t>B</m:t>
                  </m:r>
                  <m:r>
                    <m:t>0</m:t>
                  </m:r>
                </m:sub>
              </m:sSub>
            </m:e>
          </m:d>
          <m:r>
            <m:rPr>
              <m:sty m:val="p"/>
            </m:rPr>
            <m:t>−</m:t>
          </m:r>
          <m:d>
            <m:dPr>
              <m:begChr m:val="("/>
              <m:sepChr m:val=""/>
              <m:endChr m:val=")"/>
              <m:grow/>
            </m:dPr>
            <m:e>
              <m:sSub>
                <m:e>
                  <m:r>
                    <m:rPr>
                      <m:sty m:val="p"/>
                    </m:rPr>
                    <m:t>C</m:t>
                  </m:r>
                  <m:r>
                    <m:rPr>
                      <m:sty m:val="p"/>
                    </m:rPr>
                    <m:t>S</m:t>
                  </m:r>
                  <m:r>
                    <m:rPr>
                      <m:sty m:val="p"/>
                    </m:rPr>
                    <m:t>I</m:t>
                  </m:r>
                </m:e>
                <m:sub>
                  <m:r>
                    <m:t>H</m:t>
                  </m:r>
                  <m:r>
                    <m:t>1</m:t>
                  </m:r>
                </m:sub>
              </m:sSub>
              <m:r>
                <m:rPr>
                  <m:sty m:val="p"/>
                </m:rPr>
                <m:t>−</m:t>
              </m:r>
              <m:sSub>
                <m:e>
                  <m:r>
                    <m:rPr>
                      <m:sty m:val="p"/>
                    </m:rPr>
                    <m:t>C</m:t>
                  </m:r>
                  <m:r>
                    <m:rPr>
                      <m:sty m:val="p"/>
                    </m:rPr>
                    <m:t>S</m:t>
                  </m:r>
                  <m:r>
                    <m:rPr>
                      <m:sty m:val="p"/>
                    </m:rPr>
                    <m:t>I</m:t>
                  </m:r>
                </m:e>
                <m:sub>
                  <m:r>
                    <m:t>H</m:t>
                  </m:r>
                  <m:r>
                    <m:t>0</m:t>
                  </m:r>
                </m:sub>
              </m:sSub>
            </m:e>
          </m:d>
          <m:r>
            <m:rPr>
              <m:sty m:val="p"/>
            </m:rPr>
            <m:t>.</m:t>
          </m:r>
        </m:oMath>
      </m:oMathPara>
    </w:p>
    <w:p>
      <w:pPr>
        <w:pStyle w:val="FirstParagraph"/>
      </w:pPr>
      <m:oMath>
        <m:r>
          <m:t>I</m:t>
        </m:r>
      </m:oMath>
      <w:r>
        <w:t xml:space="preserve">는 해당 임계값 점수 척도에서의 비가법 상호작용이다. 강수 질량의 상호작용이나 인과 기여율, 퍼센트 물리량이 아니다.</w:t>
      </w:r>
      <w:r>
        <w:t xml:space="preserve"> </w:t>
      </w:r>
      <m:oMath>
        <m:r>
          <m:t>I</m:t>
        </m:r>
      </m:oMath>
      <w:r>
        <w:t xml:space="preserve">를 계산하려면 B0와 네 점수 전부의 동일한 평가 표본이 필요하다. 연속 강수 오차를</w:t>
      </w:r>
      <w:r>
        <w:t xml:space="preserve"> </w:t>
      </w:r>
      <m:oMath>
        <m:sSub>
          <m:e>
            <m:r>
              <m:t>e</m:t>
            </m:r>
          </m:e>
          <m:sub>
            <m:r>
              <m:t>i</m:t>
            </m:r>
          </m:sub>
        </m:sSub>
        <m:r>
          <m:rPr>
            <m:sty m:val="p"/>
          </m:rPr>
          <m:t>=</m:t>
        </m:r>
        <m:sSub>
          <m:e>
            <m:r>
              <m:t>f</m:t>
            </m:r>
          </m:e>
          <m:sub>
            <m:r>
              <m:t>i</m:t>
            </m:r>
          </m:sub>
        </m:sSub>
        <m:r>
          <m:rPr>
            <m:sty m:val="p"/>
          </m:rPr>
          <m:t>−</m:t>
        </m:r>
        <m:sSub>
          <m:e>
            <m:r>
              <m:t>o</m:t>
            </m:r>
          </m:e>
          <m:sub>
            <m:r>
              <m:t>i</m:t>
            </m:r>
          </m:sub>
        </m:sSub>
      </m:oMath>
      <w:r>
        <w:t xml:space="preserve">로 둔다. 절댓값 오차</w:t>
      </w:r>
      <w:r>
        <w:t xml:space="preserve"> </w:t>
      </w:r>
      <m:oMath>
        <m:sSub>
          <m:e>
            <m:r>
              <m:t>a</m:t>
            </m:r>
          </m:e>
          <m:sub>
            <m:r>
              <m:t>i</m:t>
            </m:r>
          </m:sub>
        </m:sSub>
      </m:oMath>
      <w:r>
        <w:t xml:space="preserve">는</w:t>
      </w:r>
      <w:r>
        <w:t xml:space="preserve"> </w:t>
      </w:r>
      <w:r>
        <w:rPr>
          <w:rStyle w:val="VerbatimChar"/>
        </w:rPr>
        <w:t xml:space="preserve">abs(e_i)</w:t>
      </w:r>
      <w:r>
        <w:t xml:space="preserve">로 계산한다.</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a</m:t>
                  </m:r>
                </m:e>
                <m:sub>
                  <m:r>
                    <m:t>i</m:t>
                  </m:r>
                </m:sub>
              </m:sSub>
            </m:e>
          </m:nary>
          <m:r>
            <m:rPr>
              <m:sty m:val="p"/>
            </m:rPr>
            <m:t>,</m:t>
          </m:r>
          <m:r>
            <m:t>  </m:t>
          </m:r>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e</m:t>
                      </m:r>
                    </m:e>
                    <m:sub>
                      <m:r>
                        <m:t>i</m:t>
                      </m:r>
                    </m:sub>
                    <m:sup>
                      <m:r>
                        <m:t>2</m:t>
                      </m:r>
                    </m:sup>
                  </m:sSubSup>
                </m:e>
              </m:nary>
            </m:e>
          </m:rad>
          <m:r>
            <m:rPr>
              <m:sty m:val="p"/>
            </m:rPr>
            <m:t>,</m:t>
          </m:r>
          <m:r>
            <m:t>  </m:t>
          </m:r>
          <m:r>
            <m:rPr>
              <m:sty m:val="p"/>
            </m:rPr>
            <m:t>M</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e</m:t>
                  </m:r>
                </m:e>
                <m:sub>
                  <m:r>
                    <m:t>i</m:t>
                  </m:r>
                </m:sub>
              </m:sSub>
            </m:e>
          </m:nary>
          <m:r>
            <m:rPr>
              <m:sty m:val="p"/>
            </m:rPr>
            <m:t>.</m:t>
          </m:r>
        </m:oMath>
      </m:oMathPara>
    </w:p>
    <w:p>
      <w:pPr>
        <w:pStyle w:val="FirstParagraph"/>
      </w:pPr>
      <w:r>
        <w:t xml:space="preserve">이들만으로 강수 위치의 일치나 원인을 판정하지 않는다.</w:t>
      </w:r>
    </w:p>
    <w:bookmarkEnd w:id="16"/>
    <w:bookmarkStart w:id="17" w:name="기상학적-해석의-범위"/>
    <w:p>
      <w:pPr>
        <w:pStyle w:val="Heading3"/>
      </w:pPr>
      <w:r>
        <w:t xml:space="preserve">2.3 기상학적 해석의 범위</w:t>
      </w:r>
    </w:p>
    <w:p>
      <w:pPr>
        <w:pStyle w:val="FirstParagraph"/>
      </w:pPr>
      <w:r>
        <w:t xml:space="preserve">비·눈·싸락눈 혼합비는 초기 수상체 저장량을 나타내며 이후 응결·증발·상변화, 혼합, 이류 및 침강을 통해 지상 강수에 연결될 수 있다. 상변화에는 잠열 교환이 수반되며 열역학 상태와 후속 미세물리 진화에 영향을 줄 가능성이 있다. 본 분석은 이 과정별 항, 입자 분포, 같은 시점의 총 물·에너지 예산을 계산하지 않았으므로, 점수 변화가 눈의 용융·승화·낙하, rain의 증발 또는 어떤 KDM6 전환항에서 기인했다고 귀속하지 않는다. 해당 과정은 후속 검증 가설이다. KDM6의 scheme identity와 레이더 시뮬레이터 기반 검증 맥락은 해당 학회 초록에 기술되어 있으나, 본문은 그 초록의 과정 결과를 이번 사례의 수치 근거로 사용하지 않는다 [2].</w:t>
      </w:r>
    </w:p>
    <w:bookmarkEnd w:id="17"/>
    <w:bookmarkEnd w:id="18"/>
    <w:bookmarkStart w:id="35" w:name="결과"/>
    <w:p>
      <w:pPr>
        <w:pStyle w:val="Heading2"/>
      </w:pPr>
      <w:r>
        <w:t xml:space="preserve">3. 결과</w:t>
      </w:r>
    </w:p>
    <w:bookmarkStart w:id="26" w:name="임계값별-csi"/>
    <w:p>
      <w:pPr>
        <w:pStyle w:val="Heading3"/>
      </w:pPr>
      <w:r>
        <w:t xml:space="preserve">3.1 임계값별 CSI</w:t>
      </w:r>
    </w:p>
    <w:p>
      <w:pPr>
        <w:pStyle w:val="FirstParagraph"/>
      </w:pPr>
      <w:r>
        <w:t xml:space="preserve">표 2는 네 요인 셀과 원본 외부 기준의 점수다. 모든 점수는 동일한 3,688개 처리 RN1 평가점의 +1시간 강수에서 계산했다.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p>
            <w:pPr>
              <w:pStyle w:val="Compact"/>
              <w:keepNext/>
              <w:jc w:val="right"/>
            </w:pPr>
            <w:r>
              <w:t xml:space="preserve">임계값</w:t>
            </w:r>
          </w:p>
        </w:tc>
        <w:tc>
          <w:tcPr/>
          <w:p>
            <w:pPr>
              <w:pStyle w:val="Compact"/>
              <w:keepNext/>
              <w:jc w:val="right"/>
            </w:pPr>
            <w:r>
              <w:t xml:space="preserve">H0</w:t>
            </w:r>
          </w:p>
        </w:tc>
        <w:tc>
          <w:tcPr/>
          <w:p>
            <w:pPr>
              <w:pStyle w:val="Compact"/>
              <w:keepNext/>
              <w:jc w:val="right"/>
            </w:pPr>
            <w:r>
              <w:t xml:space="preserve">H1</w:t>
            </w:r>
          </w:p>
        </w:tc>
        <w:tc>
          <w:tcPr/>
          <w:p>
            <w:pPr>
              <w:pStyle w:val="Compact"/>
              <w:keepNext/>
              <w:jc w:val="right"/>
            </w:pPr>
            <w:r>
              <w:t xml:space="preserve">B0</w:t>
            </w:r>
          </w:p>
        </w:tc>
        <w:tc>
          <w:tcPr/>
          <w:p>
            <w:pPr>
              <w:pStyle w:val="Compact"/>
              <w:keepNext/>
              <w:jc w:val="right"/>
            </w:pPr>
            <w:r>
              <w:t xml:space="preserve">B1</w:t>
            </w:r>
          </w:p>
        </w:tc>
        <w:tc>
          <w:tcPr/>
          <w:p>
            <w:pPr>
              <w:pStyle w:val="Compact"/>
              <w:keepNext/>
              <w:jc w:val="right"/>
            </w:pPr>
            <w:r>
              <w:t xml:space="preserve">O0</w:t>
            </w:r>
          </w:p>
        </w:tc>
      </w:tr>
      <w:tr>
        <w:trPr>
          <w:cantSplit/>
        </w:trPr>
        <w:tc>
          <w:tcPr/>
          <w:p>
            <w:pPr>
              <w:pStyle w:val="Compact"/>
              <w:keepNext/>
              <w:jc w:val="right"/>
            </w:pPr>
            <w:r>
              <w:t xml:space="preserve">0.1</w:t>
            </w:r>
          </w:p>
        </w:tc>
        <w:tc>
          <w:tcPr/>
          <w:p>
            <w:pPr>
              <w:pStyle w:val="Compact"/>
              <w:keepNext/>
              <w:jc w:val="right"/>
            </w:pPr>
            <w:r>
              <w:t xml:space="preserve">0.371740</w:t>
            </w:r>
          </w:p>
        </w:tc>
        <w:tc>
          <w:tcPr/>
          <w:p>
            <w:pPr>
              <w:pStyle w:val="Compact"/>
              <w:keepNext/>
              <w:jc w:val="right"/>
            </w:pPr>
            <w:r>
              <w:t xml:space="preserve">0.412642</w:t>
            </w:r>
          </w:p>
        </w:tc>
        <w:tc>
          <w:tcPr/>
          <w:p>
            <w:pPr>
              <w:pStyle w:val="Compact"/>
              <w:keepNext/>
              <w:jc w:val="right"/>
            </w:pPr>
            <w:r>
              <w:t xml:space="preserve">0.390777</w:t>
            </w:r>
          </w:p>
        </w:tc>
        <w:tc>
          <w:tcPr/>
          <w:p>
            <w:pPr>
              <w:pStyle w:val="Compact"/>
              <w:keepNext/>
              <w:jc w:val="right"/>
            </w:pPr>
            <w:r>
              <w:t xml:space="preserve">0.429422</w:t>
            </w:r>
          </w:p>
        </w:tc>
        <w:tc>
          <w:tcPr/>
          <w:p>
            <w:pPr>
              <w:pStyle w:val="Compact"/>
              <w:keepNext/>
              <w:jc w:val="right"/>
            </w:pPr>
            <w:r>
              <w:t xml:space="preserve">0.389800</w:t>
            </w:r>
          </w:p>
        </w:tc>
      </w:tr>
      <w:tr>
        <w:trPr>
          <w:cantSplit/>
        </w:trPr>
        <w:tc>
          <w:tcPr/>
          <w:p>
            <w:pPr>
              <w:pStyle w:val="Compact"/>
              <w:keepNext/>
              <w:jc w:val="right"/>
            </w:pPr>
            <w:r>
              <w:t xml:space="preserve">0.5</w:t>
            </w:r>
          </w:p>
        </w:tc>
        <w:tc>
          <w:tcPr/>
          <w:p>
            <w:pPr>
              <w:pStyle w:val="Compact"/>
              <w:keepNext/>
              <w:jc w:val="right"/>
            </w:pPr>
            <w:r>
              <w:t xml:space="preserve">0.278783</w:t>
            </w:r>
          </w:p>
        </w:tc>
        <w:tc>
          <w:tcPr/>
          <w:p>
            <w:pPr>
              <w:pStyle w:val="Compact"/>
              <w:keepNext/>
              <w:jc w:val="right"/>
            </w:pPr>
            <w:r>
              <w:t xml:space="preserve">0.294166</w:t>
            </w:r>
          </w:p>
        </w:tc>
        <w:tc>
          <w:tcPr/>
          <w:p>
            <w:pPr>
              <w:pStyle w:val="Compact"/>
              <w:keepNext/>
              <w:jc w:val="right"/>
            </w:pPr>
            <w:r>
              <w:t xml:space="preserve">0.312039</w:t>
            </w:r>
          </w:p>
        </w:tc>
        <w:tc>
          <w:tcPr/>
          <w:p>
            <w:pPr>
              <w:pStyle w:val="Compact"/>
              <w:keepNext/>
              <w:jc w:val="right"/>
            </w:pPr>
            <w:r>
              <w:t xml:space="preserve">0.328443</w:t>
            </w:r>
          </w:p>
        </w:tc>
        <w:tc>
          <w:tcPr/>
          <w:p>
            <w:pPr>
              <w:pStyle w:val="Compact"/>
              <w:keepNext/>
              <w:jc w:val="right"/>
            </w:pPr>
            <w:r>
              <w:t xml:space="preserve">0.312858</w:t>
            </w:r>
          </w:p>
        </w:tc>
      </w:tr>
      <w:tr>
        <w:trPr>
          <w:cantSplit/>
        </w:trPr>
        <w:tc>
          <w:tcPr/>
          <w:p>
            <w:pPr>
              <w:pStyle w:val="Compact"/>
              <w:keepNext/>
              <w:jc w:val="right"/>
            </w:pPr>
            <w:r>
              <w:t xml:space="preserve">1.0</w:t>
            </w:r>
          </w:p>
        </w:tc>
        <w:tc>
          <w:tcPr/>
          <w:p>
            <w:pPr>
              <w:pStyle w:val="Compact"/>
              <w:keepNext/>
              <w:jc w:val="right"/>
            </w:pPr>
            <w:r>
              <w:t xml:space="preserve">0.291513</w:t>
            </w:r>
          </w:p>
        </w:tc>
        <w:tc>
          <w:tcPr/>
          <w:p>
            <w:pPr>
              <w:pStyle w:val="Compact"/>
              <w:keepNext/>
              <w:jc w:val="right"/>
            </w:pPr>
            <w:r>
              <w:t xml:space="preserve">0.300983</w:t>
            </w:r>
          </w:p>
        </w:tc>
        <w:tc>
          <w:tcPr/>
          <w:p>
            <w:pPr>
              <w:pStyle w:val="Compact"/>
              <w:keepNext/>
              <w:jc w:val="right"/>
            </w:pPr>
            <w:r>
              <w:t xml:space="preserve">0.322384</w:t>
            </w:r>
          </w:p>
        </w:tc>
        <w:tc>
          <w:tcPr/>
          <w:p>
            <w:pPr>
              <w:pStyle w:val="Compact"/>
              <w:keepNext/>
              <w:jc w:val="right"/>
            </w:pPr>
            <w:r>
              <w:t xml:space="preserve">0.328883</w:t>
            </w:r>
          </w:p>
        </w:tc>
        <w:tc>
          <w:tcPr/>
          <w:p>
            <w:pPr>
              <w:pStyle w:val="Compact"/>
              <w:keepNext/>
              <w:jc w:val="right"/>
            </w:pPr>
            <w:r>
              <w:t xml:space="preserve">0.322384</w:t>
            </w:r>
          </w:p>
        </w:tc>
      </w:tr>
      <w:tr>
        <w:trPr>
          <w:cantSplit/>
        </w:trPr>
        <w:tc>
          <w:tcPr/>
          <w:p>
            <w:pPr>
              <w:pStyle w:val="Compact"/>
              <w:keepNext/>
              <w:jc w:val="right"/>
            </w:pPr>
            <w:r>
              <w:t xml:space="preserve">2.5</w:t>
            </w:r>
          </w:p>
        </w:tc>
        <w:tc>
          <w:tcPr/>
          <w:p>
            <w:pPr>
              <w:pStyle w:val="Compact"/>
              <w:keepNext/>
              <w:jc w:val="right"/>
            </w:pPr>
            <w:r>
              <w:t xml:space="preserve">0.326711</w:t>
            </w:r>
          </w:p>
        </w:tc>
        <w:tc>
          <w:tcPr/>
          <w:p>
            <w:pPr>
              <w:pStyle w:val="Compact"/>
              <w:keepNext/>
              <w:jc w:val="right"/>
            </w:pPr>
            <w:r>
              <w:t xml:space="preserve">0.342984</w:t>
            </w:r>
          </w:p>
        </w:tc>
        <w:tc>
          <w:tcPr/>
          <w:p>
            <w:pPr>
              <w:pStyle w:val="Compact"/>
              <w:keepNext/>
              <w:jc w:val="right"/>
            </w:pPr>
            <w:r>
              <w:t xml:space="preserve">0.358242</w:t>
            </w:r>
          </w:p>
        </w:tc>
        <w:tc>
          <w:tcPr/>
          <w:p>
            <w:pPr>
              <w:pStyle w:val="Compact"/>
              <w:keepNext/>
              <w:jc w:val="right"/>
            </w:pPr>
            <w:r>
              <w:t xml:space="preserve">0.367033</w:t>
            </w:r>
          </w:p>
        </w:tc>
        <w:tc>
          <w:tcPr/>
          <w:p>
            <w:pPr>
              <w:pStyle w:val="Compact"/>
              <w:keepNext/>
              <w:jc w:val="right"/>
            </w:pPr>
            <w:r>
              <w:t xml:space="preserve">0.357456</w:t>
            </w:r>
          </w:p>
        </w:tc>
      </w:tr>
      <w:tr>
        <w:trPr>
          <w:cantSplit/>
        </w:trPr>
        <w:tc>
          <w:tcPr/>
          <w:p>
            <w:pPr>
              <w:pStyle w:val="Compact"/>
              <w:keepNext/>
              <w:jc w:val="right"/>
            </w:pPr>
            <w:r>
              <w:t xml:space="preserve">5.0</w:t>
            </w:r>
          </w:p>
        </w:tc>
        <w:tc>
          <w:tcPr/>
          <w:p>
            <w:pPr>
              <w:pStyle w:val="Compact"/>
              <w:keepNext/>
              <w:jc w:val="right"/>
            </w:pPr>
            <w:r>
              <w:t xml:space="preserve">0.214008</w:t>
            </w:r>
          </w:p>
        </w:tc>
        <w:tc>
          <w:tcPr/>
          <w:p>
            <w:pPr>
              <w:pStyle w:val="Compact"/>
              <w:keepNext/>
              <w:jc w:val="right"/>
            </w:pPr>
            <w:r>
              <w:t xml:space="preserve">0.204724</w:t>
            </w:r>
          </w:p>
        </w:tc>
        <w:tc>
          <w:tcPr/>
          <w:p>
            <w:pPr>
              <w:pStyle w:val="Compact"/>
              <w:keepNext/>
              <w:jc w:val="right"/>
            </w:pPr>
            <w:r>
              <w:t xml:space="preserve">0.278810</w:t>
            </w:r>
          </w:p>
        </w:tc>
        <w:tc>
          <w:tcPr/>
          <w:p>
            <w:pPr>
              <w:pStyle w:val="Compact"/>
              <w:keepNext/>
              <w:jc w:val="right"/>
            </w:pPr>
            <w:r>
              <w:t xml:space="preserve">0.283582</w:t>
            </w:r>
          </w:p>
        </w:tc>
        <w:tc>
          <w:tcPr/>
          <w:p>
            <w:pPr>
              <w:pStyle w:val="Compact"/>
              <w:keepNext/>
              <w:jc w:val="right"/>
            </w:pPr>
            <w:r>
              <w:t xml:space="preserve">0.275093</w:t>
            </w:r>
          </w:p>
        </w:tc>
      </w:tr>
      <w:tr>
        <w:trPr>
          <w:cantSplit/>
        </w:trPr>
        <w:tc>
          <w:tcPr/>
          <w:p>
            <w:pPr>
              <w:pStyle w:val="Compact"/>
              <w:jc w:val="right"/>
            </w:pPr>
            <w:r>
              <w:t xml:space="preserve">10.0</w:t>
            </w:r>
          </w:p>
        </w:tc>
        <w:tc>
          <w:tcPr/>
          <w:p>
            <w:pPr>
              <w:pStyle w:val="Compact"/>
              <w:jc w:val="right"/>
            </w:pPr>
            <w:r>
              <w:t xml:space="preserve">0.043478</w:t>
            </w:r>
          </w:p>
        </w:tc>
        <w:tc>
          <w:tcPr/>
          <w:p>
            <w:pPr>
              <w:pStyle w:val="Compact"/>
              <w:jc w:val="right"/>
            </w:pPr>
            <w:r>
              <w:t xml:space="preserve">0.044118</w:t>
            </w:r>
          </w:p>
        </w:tc>
        <w:tc>
          <w:tcPr/>
          <w:p>
            <w:pPr>
              <w:pStyle w:val="Compact"/>
              <w:jc w:val="right"/>
            </w:pPr>
            <w:r>
              <w:t xml:space="preserve">0.049296</w:t>
            </w:r>
          </w:p>
        </w:tc>
        <w:tc>
          <w:tcPr/>
          <w:p>
            <w:pPr>
              <w:pStyle w:val="Compact"/>
              <w:jc w:val="right"/>
            </w:pPr>
            <w:r>
              <w:t xml:space="preserve">0.070423</w:t>
            </w:r>
          </w:p>
        </w:tc>
        <w:tc>
          <w:tcPr/>
          <w:p>
            <w:pPr>
              <w:pStyle w:val="Compact"/>
              <w:jc w:val="right"/>
            </w:pPr>
            <w:r>
              <w:t xml:space="preserve">0.049296</w:t>
            </w:r>
          </w:p>
        </w:tc>
      </w:tr>
    </w:tbl>
    <w:p>
      <w:pPr>
        <w:pStyle w:val="BodyText"/>
        <w:keepNext/>
      </w:pPr>
      <w:r>
        <w:rPr>
          <w:b/>
          <w:bCs/>
        </w:rPr>
        <w:t xml:space="preserve">표 2. 12–13 UTC 1시간 누적 강수 CSI (mm/1 h 임계값 이상).</w:t>
      </w:r>
    </w:p>
    <w:p>
      <w:pPr>
        <w:pStyle w:val="BodyText"/>
      </w:pPr>
      <w:r>
        <w:t xml:space="preserve">기존 실행파일에서 배경 보존은 5 mm CSI를 H0의 0.214008에서 B0의 0.278810으로 높였다. 수정 실행파일은 H0에서는 CSI를 0.204724로 낮췄지만, 같은 배경 보존 초기장에서는 B0의 0.278810에서 B1의 0.283582로 높였다. 이 두 변화의 차이는 +0.014055다. 별도 외부 비교로, B1은 O0보다 여섯 임계값 모두 CSI가 0.00650–0.03962 높았지만 이는 정책과 수정 실행파일을 함께 적용한 결과다.</w:t>
      </w:r>
    </w:p>
    <w:p>
      <w:pPr>
        <w:pStyle w:val="BodyText"/>
        <w:keepNext/>
      </w:pPr>
      <w:r>
        <w:drawing>
          <wp:inline>
            <wp:extent cx="5334000" cy="5042960"/>
            <wp:effectExtent b="0" l="0" r="0" t="0"/>
            <wp:docPr descr="12–13 UTC RN1과 예측 강수 지도" title="" id="20" name="Picture"/>
            <a:graphic>
              <a:graphicData uri="http://schemas.openxmlformats.org/drawingml/2006/picture">
                <pic:pic>
                  <pic:nvPicPr>
                    <pic:cNvPr descr="evidence/first_hour_factorial_20261030/figures/hour_12_13_paired_precipitation.png" id="21" name="Picture"/>
                    <pic:cNvPicPr>
                      <a:picLocks noChangeArrowheads="1" noChangeAspect="1"/>
                    </pic:cNvPicPr>
                  </pic:nvPicPr>
                  <pic:blipFill>
                    <a:blip r:embed="rId19"/>
                    <a:stretch>
                      <a:fillRect/>
                    </a:stretch>
                  </pic:blipFill>
                  <pic:spPr bwMode="auto">
                    <a:xfrm>
                      <a:off x="0" y="0"/>
                      <a:ext cx="5334000" cy="5042960"/>
                    </a:xfrm>
                    <a:prstGeom prst="rect">
                      <a:avLst/>
                    </a:prstGeom>
                    <a:noFill/>
                    <a:ln w="9525">
                      <a:noFill/>
                      <a:headEnd/>
                      <a:tailEnd/>
                    </a:ln>
                  </pic:spPr>
                </pic:pic>
              </a:graphicData>
            </a:graphic>
          </wp:inline>
        </w:drawing>
      </w:r>
    </w:p>
    <w:p>
      <w:pPr>
        <w:pStyle w:val="BodyText"/>
      </w:pPr>
      <w:r>
        <w:t xml:space="preserve">그림 1. 처리 RN1, 원본 O0, 기존 HYDRO H0, 배경 보존·수정 실행파일 B1의 1시간 누적 강수량. 지도 점은 3,688개 평가점이며 독립 관측 footprint나 관측 coverage를 뜻하지 않는다.</w:t>
      </w:r>
    </w:p>
    <w:p>
      <w:pPr>
        <w:pStyle w:val="BodyText"/>
        <w:keepNext/>
      </w:pPr>
      <w:r>
        <w:drawing>
          <wp:inline>
            <wp:extent cx="5334000" cy="2115966"/>
            <wp:effectExtent b="0" l="0" r="0" t="0"/>
            <wp:docPr descr="첫 시간 임계값 점수와 대조" title="" id="23" name="Picture"/>
            <a:graphic>
              <a:graphicData uri="http://schemas.openxmlformats.org/drawingml/2006/picture">
                <pic:pic>
                  <pic:nvPicPr>
                    <pic:cNvPr descr="evidence/first_hour_factorial_20261030/figures/hour_12_13_skill_factorial.png" id="24" name="Picture"/>
                    <pic:cNvPicPr>
                      <a:picLocks noChangeArrowheads="1" noChangeAspect="1"/>
                    </pic:cNvPicPr>
                  </pic:nvPicPr>
                  <pic:blipFill>
                    <a:blip r:embed="rId22"/>
                    <a:stretch>
                      <a:fillRect/>
                    </a:stretch>
                  </pic:blipFill>
                  <pic:spPr bwMode="auto">
                    <a:xfrm>
                      <a:off x="0" y="0"/>
                      <a:ext cx="5334000" cy="2115966"/>
                    </a:xfrm>
                    <a:prstGeom prst="rect">
                      <a:avLst/>
                    </a:prstGeom>
                    <a:noFill/>
                    <a:ln w="9525">
                      <a:noFill/>
                      <a:headEnd/>
                      <a:tailEnd/>
                    </a:ln>
                  </pic:spPr>
                </pic:pic>
              </a:graphicData>
            </a:graphic>
          </wp:inline>
        </w:drawing>
      </w:r>
    </w:p>
    <w:p>
      <w:pPr>
        <w:pStyle w:val="BodyText"/>
      </w:pPr>
      <w:r>
        <w:t xml:space="preserve">그림 2. 다섯 예측의 여섯 임계값 CSI와 요인 대조. 모든 요인 셀은 완료됐으며 O0는 외부 맥락 기준이다. 수치 전체는</w:t>
      </w:r>
      <w:r>
        <w:t xml:space="preserve"> </w:t>
      </w:r>
      <w:hyperlink r:id="rId25">
        <w:r>
          <w:rPr>
            <w:rStyle w:val="Hyperlink"/>
          </w:rPr>
          <w:t xml:space="preserve">범주 점수 CSV</w:t>
        </w:r>
      </w:hyperlink>
      <w:r>
        <w:t xml:space="preserve">에 보존한다.</w:t>
      </w:r>
    </w:p>
    <w:bookmarkEnd w:id="26"/>
    <w:bookmarkStart w:id="32" w:name="연속-점수와-요인-상호작용"/>
    <w:p>
      <w:pPr>
        <w:pStyle w:val="Heading3"/>
      </w:pPr>
      <w:r>
        <w:t xml:space="preserve">3.2 연속 점수와 요인 상호작용</w:t>
      </w:r>
    </w:p>
    <w:p>
      <w:pPr>
        <w:pStyle w:val="FirstParagraph"/>
        <w:keepNext/>
      </w:pPr>
      <w:r>
        <w:rPr>
          <w:b/>
          <w:bCs/>
        </w:rPr>
        <w:t xml:space="preserve">표 3. 연속형 점수 (mm).</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keepNext/>
            </w:pPr>
            <w:r>
              <w:t xml:space="preserve">ID</w:t>
            </w:r>
          </w:p>
        </w:tc>
        <w:tc>
          <w:tcPr/>
          <w:p>
            <w:pPr>
              <w:pStyle w:val="Compact"/>
              <w:keepNext/>
              <w:jc w:val="right"/>
            </w:pPr>
            <w:r>
              <w:t xml:space="preserve">MAE</w:t>
            </w:r>
          </w:p>
        </w:tc>
        <w:tc>
          <w:tcPr/>
          <w:p>
            <w:pPr>
              <w:pStyle w:val="Compact"/>
              <w:keepNext/>
              <w:jc w:val="right"/>
            </w:pPr>
            <w:r>
              <w:t xml:space="preserve">RMSE</w:t>
            </w:r>
          </w:p>
        </w:tc>
        <w:tc>
          <w:tcPr/>
          <w:p>
            <w:pPr>
              <w:pStyle w:val="Compact"/>
              <w:keepNext/>
              <w:jc w:val="right"/>
            </w:pPr>
            <w:r>
              <w:t xml:space="preserve">평균 오차 ME</w:t>
            </w:r>
          </w:p>
        </w:tc>
      </w:tr>
      <w:tr>
        <w:trPr>
          <w:cantSplit/>
        </w:trPr>
        <w:tc>
          <w:tcPr/>
          <w:p>
            <w:pPr>
              <w:pStyle w:val="Compact"/>
              <w:keepNext/>
            </w:pPr>
            <w:r>
              <w:t xml:space="preserve">H0</w:t>
            </w:r>
          </w:p>
        </w:tc>
        <w:tc>
          <w:tcPr/>
          <w:p>
            <w:pPr>
              <w:pStyle w:val="Compact"/>
              <w:keepNext/>
              <w:jc w:val="right"/>
            </w:pPr>
            <w:r>
              <w:t xml:space="preserve">1.132930</w:t>
            </w:r>
          </w:p>
        </w:tc>
        <w:tc>
          <w:tcPr/>
          <w:p>
            <w:pPr>
              <w:pStyle w:val="Compact"/>
              <w:keepNext/>
              <w:jc w:val="right"/>
            </w:pPr>
            <w:r>
              <w:t xml:space="preserve">4.110292</w:t>
            </w:r>
          </w:p>
        </w:tc>
        <w:tc>
          <w:tcPr/>
          <w:p>
            <w:pPr>
              <w:pStyle w:val="Compact"/>
              <w:keepNext/>
              <w:jc w:val="right"/>
            </w:pPr>
            <w:r>
              <w:t xml:space="preserve">−0.061773</w:t>
            </w:r>
          </w:p>
        </w:tc>
      </w:tr>
      <w:tr>
        <w:trPr>
          <w:cantSplit/>
        </w:trPr>
        <w:tc>
          <w:tcPr/>
          <w:p>
            <w:pPr>
              <w:pStyle w:val="Compact"/>
              <w:keepNext/>
            </w:pPr>
            <w:r>
              <w:t xml:space="preserve">H1</w:t>
            </w:r>
          </w:p>
        </w:tc>
        <w:tc>
          <w:tcPr/>
          <w:p>
            <w:pPr>
              <w:pStyle w:val="Compact"/>
              <w:keepNext/>
              <w:jc w:val="right"/>
            </w:pPr>
            <w:r>
              <w:t xml:space="preserve">1.120419</w:t>
            </w:r>
          </w:p>
        </w:tc>
        <w:tc>
          <w:tcPr/>
          <w:p>
            <w:pPr>
              <w:pStyle w:val="Compact"/>
              <w:keepNext/>
              <w:jc w:val="right"/>
            </w:pPr>
            <w:r>
              <w:t xml:space="preserve">4.091692</w:t>
            </w:r>
          </w:p>
        </w:tc>
        <w:tc>
          <w:tcPr/>
          <w:p>
            <w:pPr>
              <w:pStyle w:val="Compact"/>
              <w:keepNext/>
              <w:jc w:val="right"/>
            </w:pPr>
            <w:r>
              <w:t xml:space="preserve">−0.053134</w:t>
            </w:r>
          </w:p>
        </w:tc>
      </w:tr>
      <w:tr>
        <w:trPr>
          <w:cantSplit/>
        </w:trPr>
        <w:tc>
          <w:tcPr/>
          <w:p>
            <w:pPr>
              <w:pStyle w:val="Compact"/>
              <w:keepNext/>
            </w:pPr>
            <w:r>
              <w:t xml:space="preserve">B0</w:t>
            </w:r>
          </w:p>
        </w:tc>
        <w:tc>
          <w:tcPr/>
          <w:p>
            <w:pPr>
              <w:pStyle w:val="Compact"/>
              <w:keepNext/>
              <w:jc w:val="right"/>
            </w:pPr>
            <w:r>
              <w:t xml:space="preserve">1.114495</w:t>
            </w:r>
          </w:p>
        </w:tc>
        <w:tc>
          <w:tcPr/>
          <w:p>
            <w:pPr>
              <w:pStyle w:val="Compact"/>
              <w:keepNext/>
              <w:jc w:val="right"/>
            </w:pPr>
            <w:r>
              <w:t xml:space="preserve">4.064666</w:t>
            </w:r>
          </w:p>
        </w:tc>
        <w:tc>
          <w:tcPr/>
          <w:p>
            <w:pPr>
              <w:pStyle w:val="Compact"/>
              <w:keepNext/>
              <w:jc w:val="right"/>
            </w:pPr>
            <w:r>
              <w:t xml:space="preserve">+0.010506</w:t>
            </w:r>
          </w:p>
        </w:tc>
      </w:tr>
      <w:tr>
        <w:trPr>
          <w:cantSplit/>
        </w:trPr>
        <w:tc>
          <w:tcPr/>
          <w:p>
            <w:pPr>
              <w:pStyle w:val="Compact"/>
              <w:keepNext/>
            </w:pPr>
            <w:r>
              <w:t xml:space="preserve">B1</w:t>
            </w:r>
          </w:p>
        </w:tc>
        <w:tc>
          <w:tcPr/>
          <w:p>
            <w:pPr>
              <w:pStyle w:val="Compact"/>
              <w:keepNext/>
              <w:jc w:val="right"/>
            </w:pPr>
            <w:r>
              <w:t xml:space="preserve">1.100693</w:t>
            </w:r>
          </w:p>
        </w:tc>
        <w:tc>
          <w:tcPr/>
          <w:p>
            <w:pPr>
              <w:pStyle w:val="Compact"/>
              <w:keepNext/>
              <w:jc w:val="right"/>
            </w:pPr>
            <w:r>
              <w:t xml:space="preserve">4.044107</w:t>
            </w:r>
          </w:p>
        </w:tc>
        <w:tc>
          <w:tcPr/>
          <w:p>
            <w:pPr>
              <w:pStyle w:val="Compact"/>
              <w:keepNext/>
              <w:jc w:val="right"/>
            </w:pPr>
            <w:r>
              <w:t xml:space="preserve">+0.024583</w:t>
            </w:r>
          </w:p>
        </w:tc>
      </w:tr>
      <w:tr>
        <w:trPr>
          <w:cantSplit/>
        </w:trPr>
        <w:tc>
          <w:tcPr/>
          <w:p>
            <w:pPr>
              <w:pStyle w:val="Compact"/>
            </w:pPr>
            <w:r>
              <w:t xml:space="preserve">O0</w:t>
            </w:r>
          </w:p>
        </w:tc>
        <w:tc>
          <w:tcPr/>
          <w:p>
            <w:pPr>
              <w:pStyle w:val="Compact"/>
              <w:jc w:val="right"/>
            </w:pPr>
            <w:r>
              <w:t xml:space="preserve">1.114200</w:t>
            </w:r>
          </w:p>
        </w:tc>
        <w:tc>
          <w:tcPr/>
          <w:p>
            <w:pPr>
              <w:pStyle w:val="Compact"/>
              <w:jc w:val="right"/>
            </w:pPr>
            <w:r>
              <w:t xml:space="preserve">4.062290</w:t>
            </w:r>
          </w:p>
        </w:tc>
        <w:tc>
          <w:tcPr/>
          <w:p>
            <w:pPr>
              <w:pStyle w:val="Compact"/>
              <w:jc w:val="right"/>
            </w:pPr>
            <w:r>
              <w:t xml:space="preserve">+0.009707</w:t>
            </w:r>
          </w:p>
        </w:tc>
      </w:tr>
    </w:tbl>
    <w:p>
      <w:pPr>
        <w:pStyle w:val="BodyText"/>
      </w:pPr>
      <w:r>
        <w:t xml:space="preserve">B1은 O0 대비 MAE 0.013507 mm, RMSE 0.018183 mm 낮지만 평균 양의 오차는 0.014876 mm 컸다. H1은 H0보다 MAE/RMSE가 낮아졌으나 ≥5 mm CSI는 낮았다. 지표 간 trade-off를 고려해 한 가지 점수로 종합하지 않는다.</w:t>
      </w:r>
    </w:p>
    <w:p>
      <w:pPr>
        <w:pStyle w:val="BodyText"/>
        <w:keepNext/>
      </w:pPr>
      <w:r>
        <w:rPr>
          <w:b/>
          <w:bCs/>
        </w:rPr>
        <w:t xml:space="preserve">표 4. 동일 임계값에서 CSI 차이의 차이</w:t>
      </w:r>
      <w:r>
        <w:rPr>
          <w:b/>
          <w:bCs/>
        </w:rPr>
        <w:t xml:space="preserve"> </w:t>
      </w:r>
      <m:oMath>
        <m:r>
          <m:rPr>
            <m:sty m:val="p"/>
          </m:rPr>
          <m:t>(</m:t>
        </m:r>
        <m:r>
          <m:t>B</m:t>
        </m:r>
        <m:r>
          <m:t>1</m:t>
        </m:r>
        <m:r>
          <m:rPr>
            <m:sty m:val="p"/>
          </m:rPr>
          <m:t>−</m:t>
        </m:r>
        <m:r>
          <m:t>B</m:t>
        </m:r>
        <m:r>
          <m:t>0</m:t>
        </m:r>
        <m:r>
          <m:rPr>
            <m:sty m:val="p"/>
          </m:rPr>
          <m:t>)</m:t>
        </m:r>
        <m:r>
          <m:rPr>
            <m:sty m:val="p"/>
          </m:rPr>
          <m:t>−</m:t>
        </m:r>
        <m:r>
          <m:rPr>
            <m:sty m:val="p"/>
          </m:rPr>
          <m:t>(</m:t>
        </m:r>
        <m:r>
          <m:t>H</m:t>
        </m:r>
        <m:r>
          <m:t>1</m:t>
        </m:r>
        <m:r>
          <m:rPr>
            <m:sty m:val="p"/>
          </m:rPr>
          <m:t>−</m:t>
        </m:r>
        <m:r>
          <m:t>H</m:t>
        </m:r>
        <m:r>
          <m:t>0</m:t>
        </m:r>
        <m:r>
          <m:rPr>
            <m:sty m:val="p"/>
          </m:rPr>
          <m:t>)</m:t>
        </m:r>
      </m:oMath>
      <w:r>
        <w:rPr>
          <w:b/>
          <w:bCs/>
        </w:rPr>
        <w:t xml:space="preserv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keepNext/>
              <w:jc w:val="right"/>
            </w:pPr>
            <w:r>
              <w:t xml:space="preserve">임계값 (mm/1 h)</w:t>
            </w:r>
          </w:p>
        </w:tc>
        <w:tc>
          <w:tcPr/>
          <w:p>
            <w:pPr>
              <w:pStyle w:val="Compact"/>
              <w:keepNext/>
              <w:jc w:val="right"/>
            </w:pPr>
            <w:r>
              <w:t xml:space="preserve">CSI 상호작용</w:t>
            </w:r>
          </w:p>
        </w:tc>
      </w:tr>
      <w:tr>
        <w:trPr>
          <w:cantSplit/>
        </w:trPr>
        <w:tc>
          <w:tcPr/>
          <w:p>
            <w:pPr>
              <w:pStyle w:val="Compact"/>
              <w:keepNext/>
              <w:jc w:val="right"/>
            </w:pPr>
            <w:r>
              <w:t xml:space="preserve">0.1</w:t>
            </w:r>
          </w:p>
        </w:tc>
        <w:tc>
          <w:tcPr/>
          <w:p>
            <w:pPr>
              <w:pStyle w:val="Compact"/>
              <w:keepNext/>
              <w:jc w:val="right"/>
            </w:pPr>
            <w:r>
              <w:t xml:space="preserve">−0.002256</w:t>
            </w:r>
          </w:p>
        </w:tc>
      </w:tr>
      <w:tr>
        <w:trPr>
          <w:cantSplit/>
        </w:trPr>
        <w:tc>
          <w:tcPr/>
          <w:p>
            <w:pPr>
              <w:pStyle w:val="Compact"/>
              <w:keepNext/>
              <w:jc w:val="right"/>
            </w:pPr>
            <w:r>
              <w:t xml:space="preserve">0.5</w:t>
            </w:r>
          </w:p>
        </w:tc>
        <w:tc>
          <w:tcPr/>
          <w:p>
            <w:pPr>
              <w:pStyle w:val="Compact"/>
              <w:keepNext/>
              <w:jc w:val="right"/>
            </w:pPr>
            <w:r>
              <w:t xml:space="preserve">+0.001021</w:t>
            </w:r>
          </w:p>
        </w:tc>
      </w:tr>
      <w:tr>
        <w:trPr>
          <w:cantSplit/>
        </w:trPr>
        <w:tc>
          <w:tcPr/>
          <w:p>
            <w:pPr>
              <w:pStyle w:val="Compact"/>
              <w:keepNext/>
              <w:jc w:val="right"/>
            </w:pPr>
            <w:r>
              <w:t xml:space="preserve">1.0</w:t>
            </w:r>
          </w:p>
        </w:tc>
        <w:tc>
          <w:tcPr/>
          <w:p>
            <w:pPr>
              <w:pStyle w:val="Compact"/>
              <w:keepNext/>
              <w:jc w:val="right"/>
            </w:pPr>
            <w:r>
              <w:t xml:space="preserve">−0.002971</w:t>
            </w:r>
          </w:p>
        </w:tc>
      </w:tr>
      <w:tr>
        <w:trPr>
          <w:cantSplit/>
        </w:trPr>
        <w:tc>
          <w:tcPr/>
          <w:p>
            <w:pPr>
              <w:pStyle w:val="Compact"/>
              <w:keepNext/>
              <w:jc w:val="right"/>
            </w:pPr>
            <w:r>
              <w:t xml:space="preserve">2.5</w:t>
            </w:r>
          </w:p>
        </w:tc>
        <w:tc>
          <w:tcPr/>
          <w:p>
            <w:pPr>
              <w:pStyle w:val="Compact"/>
              <w:keepNext/>
              <w:jc w:val="right"/>
            </w:pPr>
            <w:r>
              <w:t xml:space="preserve">−0.007482</w:t>
            </w:r>
          </w:p>
        </w:tc>
      </w:tr>
      <w:tr>
        <w:trPr>
          <w:cantSplit/>
        </w:trPr>
        <w:tc>
          <w:tcPr/>
          <w:p>
            <w:pPr>
              <w:pStyle w:val="Compact"/>
              <w:keepNext/>
              <w:jc w:val="right"/>
            </w:pPr>
            <w:r>
              <w:t xml:space="preserve">5.0</w:t>
            </w:r>
          </w:p>
        </w:tc>
        <w:tc>
          <w:tcPr/>
          <w:p>
            <w:pPr>
              <w:pStyle w:val="Compact"/>
              <w:keepNext/>
              <w:jc w:val="right"/>
            </w:pPr>
            <w:r>
              <w:t xml:space="preserve">+0.014055</w:t>
            </w:r>
          </w:p>
        </w:tc>
      </w:tr>
      <w:tr>
        <w:trPr>
          <w:cantSplit/>
        </w:trPr>
        <w:tc>
          <w:tcPr/>
          <w:p>
            <w:pPr>
              <w:pStyle w:val="Compact"/>
              <w:jc w:val="right"/>
            </w:pPr>
            <w:r>
              <w:t xml:space="preserve">10.0</w:t>
            </w:r>
          </w:p>
        </w:tc>
        <w:tc>
          <w:tcPr/>
          <w:p>
            <w:pPr>
              <w:pStyle w:val="Compact"/>
              <w:jc w:val="right"/>
            </w:pPr>
            <w:r>
              <w:t xml:space="preserve">+0.020487</w:t>
            </w:r>
          </w:p>
        </w:tc>
      </w:tr>
    </w:tbl>
    <w:p>
      <w:pPr>
        <w:pStyle w:val="BodyText"/>
      </w:pPr>
      <w:r>
        <w:t xml:space="preserve">연속 점수의 상호작용은 MAE −0.001291 mm, RMSE −0.001959 mm, ME +0.005437 mm다. 이 차이들은 해당 통계량 척도의 표본 내 차이의 차이이며 물리량의 보존·생성이나 인과 기여율이 아니다. CSI 상호작용은 0.1, 1, 2.5 mm에서 음수, 0.5 mm에서 +0.001021, 5–10 mm에서 양수였다. 핵심은 배경 보존에서 5 mm CSI가 높아졌고, 영 처리 수정의 5 mm CSI 변화가 H0→H1에서는 음수, B0→B1에서는 양수였다는 점이다. 전체 점수는</w:t>
      </w:r>
      <w:r>
        <w:t xml:space="preserve"> </w:t>
      </w:r>
      <w:hyperlink r:id="rId25">
        <w:r>
          <w:rPr>
            <w:rStyle w:val="Hyperlink"/>
          </w:rPr>
          <w:t xml:space="preserve">범주 점수</w:t>
        </w:r>
      </w:hyperlink>
      <w:r>
        <w:t xml:space="preserve">,</w:t>
      </w:r>
      <w:r>
        <w:t xml:space="preserve"> </w:t>
      </w:r>
      <w:hyperlink r:id="rId27">
        <w:r>
          <w:rPr>
            <w:rStyle w:val="Hyperlink"/>
          </w:rPr>
          <w:t xml:space="preserve">연속 점수</w:t>
        </w:r>
      </w:hyperlink>
      <w:r>
        <w:t xml:space="preserve">,</w:t>
      </w:r>
      <w:r>
        <w:t xml:space="preserve"> </w:t>
      </w:r>
      <w:hyperlink r:id="rId28">
        <w:r>
          <w:rPr>
            <w:rStyle w:val="Hyperlink"/>
          </w:rPr>
          <w:t xml:space="preserve">점수 대비와 상호작용</w:t>
        </w:r>
      </w:hyperlink>
      <w:r>
        <w:t xml:space="preserve">에 있다.</w:t>
      </w:r>
    </w:p>
    <w:p>
      <w:pPr>
        <w:pStyle w:val="BodyText"/>
        <w:keepNext/>
      </w:pPr>
      <w:r>
        <w:drawing>
          <wp:inline>
            <wp:extent cx="5334000" cy="3586195"/>
            <wp:effectExtent b="0" l="0" r="0" t="0"/>
            <wp:docPr descr="요인 설계와 점수 interaction 정의" title="" id="30" name="Picture"/>
            <a:graphic>
              <a:graphicData uri="http://schemas.openxmlformats.org/drawingml/2006/picture">
                <pic:pic>
                  <pic:nvPicPr>
                    <pic:cNvPr descr="evidence/first_hour_factorial_20261030/figures/factorial_design_and_metric.png" id="31" name="Picture"/>
                    <pic:cNvPicPr>
                      <a:picLocks noChangeArrowheads="1" noChangeAspect="1"/>
                    </pic:cNvPicPr>
                  </pic:nvPicPr>
                  <pic:blipFill>
                    <a:blip r:embed="rId29"/>
                    <a:stretch>
                      <a:fillRect/>
                    </a:stretch>
                  </pic:blipFill>
                  <pic:spPr bwMode="auto">
                    <a:xfrm>
                      <a:off x="0" y="0"/>
                      <a:ext cx="5334000" cy="3586195"/>
                    </a:xfrm>
                    <a:prstGeom prst="rect">
                      <a:avLst/>
                    </a:prstGeom>
                    <a:noFill/>
                    <a:ln w="9525">
                      <a:noFill/>
                      <a:headEnd/>
                      <a:tailEnd/>
                    </a:ln>
                  </pic:spPr>
                </pic:pic>
              </a:graphicData>
            </a:graphic>
          </wp:inline>
        </w:drawing>
      </w:r>
    </w:p>
    <w:p>
      <w:pPr>
        <w:pStyle w:val="BodyText"/>
      </w:pPr>
      <w:r>
        <w:t xml:space="preserve">그림 3. 완성된 네 요인 셀과 차이의 차 정의. 별도로 표기한 O0는 요인 설계 외부의 원본 초기장 기준이다.</w:t>
      </w:r>
    </w:p>
    <w:bookmarkEnd w:id="32"/>
    <w:bookmarkStart w:id="34" w:name="강수-임계값별-사건-수와-trade-off"/>
    <w:p>
      <w:pPr>
        <w:pStyle w:val="Heading3"/>
      </w:pPr>
      <w:r>
        <w:t xml:space="preserve">3.3 강수 임계값별 사건 수와 trade-off</w:t>
      </w:r>
    </w:p>
    <w:p>
      <w:pPr>
        <w:pStyle w:val="FirstParagraph"/>
      </w:pPr>
      <w:r>
        <w:t xml:space="preserve">B1의 적중/누락/오경보는 0.1 mm에서 721/872/86, 0.5 mm에서 403/733/91, 1 mm에서 271/442/111, 2.5 mm에서 167/184/104, 5 mm에서 76/78/114, 10 mm에서 10/49/83이다. O0 대비 5 mm에서는 적중 2개 추가, 누락 2개 감소, 오경보 1개 감소다. 반면 0.1 mm에서는 B1의 오경보가 O0보다 32개 많다. 표본이 한 사례에 제한되므로 이를 유의한 우위 또는 검증된 운영 개선으로 확대 해석하지 않는다. 전체 H/M/F/ETS는</w:t>
      </w:r>
      <w:r>
        <w:t xml:space="preserve"> </w:t>
      </w:r>
      <w:hyperlink r:id="rId25">
        <w:r>
          <w:rPr>
            <w:rStyle w:val="Hyperlink"/>
          </w:rPr>
          <w:t xml:space="preserve">범주 점수</w:t>
        </w:r>
      </w:hyperlink>
      <w:r>
        <w:t xml:space="preserve">, 연속 점수는</w:t>
      </w:r>
      <w:r>
        <w:t xml:space="preserve"> </w:t>
      </w:r>
      <w:hyperlink r:id="rId27">
        <w:r>
          <w:rPr>
            <w:rStyle w:val="Hyperlink"/>
          </w:rPr>
          <w:t xml:space="preserve">연속 점수</w:t>
        </w:r>
      </w:hyperlink>
      <w:r>
        <w:t xml:space="preserve">,</w:t>
      </w:r>
      <w:r>
        <w:t xml:space="preserve"> </w:t>
      </w:r>
      <w:hyperlink r:id="rId28">
        <w:r>
          <w:rPr>
            <w:rStyle w:val="Hyperlink"/>
          </w:rPr>
          <w:t xml:space="preserve">점수 대비</w:t>
        </w:r>
      </w:hyperlink>
      <w:r>
        <w:t xml:space="preserve">,</w:t>
      </w:r>
      <w:r>
        <w:t xml:space="preserve"> </w:t>
      </w:r>
      <w:hyperlink r:id="rId33">
        <w:r>
          <w:rPr>
            <w:rStyle w:val="Hyperlink"/>
          </w:rPr>
          <w:t xml:space="preserve">점별 강수 대비</w:t>
        </w:r>
      </w:hyperlink>
      <w:r>
        <w:t xml:space="preserve">, 해시 결속 정보는</w:t>
      </w:r>
      <w:r>
        <w:t xml:space="preserve"> </w:t>
      </w:r>
      <w:hyperlink r:id="rId14">
        <w:r>
          <w:rPr>
            <w:rStyle w:val="Hyperlink"/>
          </w:rPr>
          <w:t xml:space="preserve">분석 receipt</w:t>
        </w:r>
      </w:hyperlink>
      <w:r>
        <w:t xml:space="preserve">에 보존한다.</w:t>
      </w:r>
    </w:p>
    <w:bookmarkEnd w:id="34"/>
    <w:bookmarkEnd w:id="35"/>
    <w:bookmarkStart w:id="36" w:name="토의"/>
    <w:p>
      <w:pPr>
        <w:pStyle w:val="Heading2"/>
      </w:pPr>
      <w:r>
        <w:t xml:space="preserve">4. 토의</w:t>
      </w:r>
    </w:p>
    <w:p>
      <w:pPr>
        <w:pStyle w:val="FirstParagraph"/>
      </w:pPr>
      <w:r>
        <w:t xml:space="preserve">요인 실험에서 5 mm CSI는 배경 보존 초기장 B0에서 H0보다 0.064803 높았고, 영 처리 수정은 HYDRO H0에서는 0.009283 낮추고 배경 보존 B0에서는 0.004772 높였다. 상호작용 +0.014055는 이 점수 차이의 차이다. 이는 한 임계값·한 사례의 표본 내 점수 관계이지 수상체 저장량의 변화, 물리 기여율 또는 원인 분해가 아니다. B1−O0가 보여주는 외부 비교도 두 초기장 계보와 수정 실행파일이 결합된 값이므로 정책 단독의 동화 이득으로 해석할 수 없다.</w:t>
      </w:r>
    </w:p>
    <w:p>
      <w:pPr>
        <w:pStyle w:val="BodyText"/>
      </w:pPr>
      <w:r>
        <w:t xml:space="preserve">배경 강수 수종을 보존하면 이후 상태변화와 수송의 출발점이 바뀔 수 있고, 열역학 변수까지 동반 변경된 생산자 초기장은 수종 두 개만 교환한 처치와 다르다. 강수 검증에서 낮은 임계값의 오경보, 평균 편향, 높은 임계값의 적중은 서로 다른 성능 특성을 나타낸다. 한 개 분석장에서 각 픽셀 수를 세는 것은 사례 반복을 제공하지 않는다. 이 수치만으로 레이더 동화량, 물리적 원인, 다른 폭풍의 기대성능을 추정하지 않는다.</w:t>
      </w:r>
    </w:p>
    <w:p>
      <w:pPr>
        <w:pStyle w:val="BodyText"/>
      </w:pPr>
      <w:r>
        <w:t xml:space="preserve">RN1 처리 분석의 upstream 입력 coverage와 매 시각 자료 최신성은 미해결이다. 처리된 공간 점의 고정 마스크는 시간별 신뢰 영역을 보증하지 않는다. 전체 건조공기 질량 가중 물수지, 경계 유입, 강수 flux, 과정별 열·수분 예산 및 8개 변경 변수의 균형은 아직 입증되지 않았다. 별도 최신 C2 H/A/N 1시간 검증과 T39 문제도 이 한 시간 사례로 판정할 수 없다. WGNE 검증 가이드의 반복 사례·지원 영역·불확실성 요구에 비추어도 이 결과는 탐색 단계다 [3].</w:t>
      </w:r>
    </w:p>
    <w:bookmarkEnd w:id="36"/>
    <w:bookmarkStart w:id="37" w:name="결론"/>
    <w:p>
      <w:pPr>
        <w:pStyle w:val="Heading2"/>
      </w:pPr>
      <w:r>
        <w:t xml:space="preserve">5. 결론</w:t>
      </w:r>
    </w:p>
    <w:p>
      <w:pPr>
        <w:pStyle w:val="FirstParagraph"/>
      </w:pPr>
      <w:r>
        <w:t xml:space="preserve">2026년 8월 16일 사례의 첫 시간 강수예보에 대해 배경 수종 보존 정책과 KDM6 정확한 영 계산항 처리 수정의 2×2 요인 실험을 완료했다. 기존 HYDRO 대비 배경 보존 초기장의 5 mm CSI는 구 실행파일에서 0.214008에서 0.278810으로 높아졌다. 정확한 영 처리 수정은 기존 HYDRO에서 0.204724로 점수를 낮추고 배경 보존 초기장에서 0.283582로 높였으며, 차이의 차이는 +0.014055였다. 이는 5 mm CSI의 초기화 의존성을 보이는 점수 통계이며 수상체 물리 과정의 인과 분해가 아니다.</w:t>
      </w:r>
    </w:p>
    <w:p>
      <w:pPr>
        <w:pStyle w:val="BodyText"/>
      </w:pPr>
      <w:r>
        <w:t xml:space="preserve">이는 한 사례·한 시간 민감도 결과이며 운영 기본값 변경의 근거가 아니다. 후속 검증에서는 초기 snow/rain/graupel의 수송·상변화·침강 및 지상 강수 flux를 같은 시간 간격의 예산과 연결하고, 입력 coverage/QC가 확인된 다수 독립 사례에서 평가해야 한다.</w:t>
      </w:r>
    </w:p>
    <w:bookmarkEnd w:id="37"/>
    <w:bookmarkStart w:id="41" w:name="참고문헌"/>
    <w:p>
      <w:pPr>
        <w:pStyle w:val="Heading2"/>
      </w:pPr>
      <w:r>
        <w:t xml:space="preserve">참고문헌</w:t>
      </w:r>
    </w:p>
    <w:p>
      <w:pPr>
        <w:pStyle w:val="Compact"/>
        <w:numPr>
          <w:ilvl w:val="0"/>
          <w:numId w:val="1001"/>
        </w:numPr>
      </w:pPr>
      <w:r>
        <w:t xml:space="preserve">Skamarock, W. C., J. B. Klemp, J. Dudhia, D. O. Gill, Z. Liu, J. Berner, W. Wang, J. G. Powers, M. G. Duda, D. M. Barker, and X.-Y. Huang (2019),</w:t>
      </w:r>
      <w:r>
        <w:t xml:space="preserve"> </w:t>
      </w:r>
      <w:r>
        <w:rPr>
          <w:i/>
          <w:iCs/>
        </w:rPr>
        <w:t xml:space="preserve">A Description of the Advanced Research WRF Version 4</w:t>
      </w:r>
      <w:r>
        <w:t xml:space="preserve">, NCAR Technical Note NCAR/TN-556+STR.</w:t>
      </w:r>
      <w:r>
        <w:t xml:space="preserve"> </w:t>
      </w:r>
      <w:hyperlink r:id="rId38">
        <w:r>
          <w:rPr>
            <w:rStyle w:val="Hyperlink"/>
          </w:rPr>
          <w:t xml:space="preserve">doi:10.5065/1dfh-6p97</w:t>
        </w:r>
      </w:hyperlink>
      <w:r>
        <w:t xml:space="preserve">.</w:t>
      </w:r>
    </w:p>
    <w:p>
      <w:pPr>
        <w:pStyle w:val="Compact"/>
        <w:numPr>
          <w:ilvl w:val="0"/>
          <w:numId w:val="1001"/>
        </w:numPr>
      </w:pPr>
      <w:r>
        <w:t xml:space="preserve">박선영, 임교선, Mariko Oue, 방원배, 이규원, 이용희 (2025), “Cloud-resolving model Radar SIMulator(CR-SIM)을 활용한 구름 미세물리 모수화 방안의 미세물리 과정 비교 및 검증,”</w:t>
      </w:r>
      <w:r>
        <w:t xml:space="preserve"> </w:t>
      </w:r>
      <w:r>
        <w:rPr>
          <w:i/>
          <w:iCs/>
        </w:rPr>
        <w:t xml:space="preserve">2025 한국기상학회 정기총회 및 가을학술대회 초록집</w:t>
      </w:r>
      <w:r>
        <w:t xml:space="preserve">, 59.</w:t>
      </w:r>
      <w:r>
        <w:t xml:space="preserve"> </w:t>
      </w:r>
      <w:hyperlink r:id="rId39">
        <w:r>
          <w:rPr>
            <w:rStyle w:val="Hyperlink"/>
          </w:rPr>
          <w:t xml:space="preserve">KMS proceedings PDF</w:t>
        </w:r>
      </w:hyperlink>
      <w:r>
        <w:t xml:space="preserve">. This is a conference abstract, not a journal article or validation of the implementation examined here.</w:t>
      </w:r>
    </w:p>
    <w:p>
      <w:pPr>
        <w:pStyle w:val="Compact"/>
        <w:numPr>
          <w:ilvl w:val="0"/>
          <w:numId w:val="1001"/>
        </w:numPr>
      </w:pPr>
      <w:r>
        <w:t xml:space="preserve">Joint Working Group on Forecast Verification Research (JWGFVR) (2013),</w:t>
      </w:r>
      <w:r>
        <w:t xml:space="preserve"> </w:t>
      </w:r>
      <w:r>
        <w:rPr>
          <w:i/>
          <w:iCs/>
        </w:rPr>
        <w:t xml:space="preserve">Suggested methods for the verification of precipitation forecasts against high resolution limited area observations</w:t>
      </w:r>
      <w:r>
        <w:t xml:space="preserve">, second draft, November 2013. Hosted by WGNE.</w:t>
      </w:r>
      <w:r>
        <w:t xml:space="preserve"> </w:t>
      </w:r>
      <w:hyperlink r:id="rId40">
        <w:r>
          <w:rPr>
            <w:rStyle w:val="Hyperlink"/>
          </w:rPr>
          <w:t xml:space="preserve">PDF</w:t>
        </w:r>
      </w:hyperlink>
      <w:r>
        <w:t xml:space="preserve">.</w:t>
      </w:r>
    </w:p>
    <w:bookmarkEnd w:id="41"/>
    <w:bookmarkEnd w:id="42"/>
    <w:sectPr>
      <w:footnotePr>
        <w:numRestart w:val="eachSect"/>
      </w:footnotePr>
      <w:pgSz w:w="11906" w:h="16838"/>
      <w:pgMar w:top="1134" w:bottom="1134" w:left="1191" w:right="11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anumMyeongjo" w:hAnsi="NanumMyeongjo" w:eastAsia="NanumMyeongjo" w:cs="NanumMyeongjo"/>
      <w:sz w:val="20"/>
    </w:rPr>
  </w:style>
  <w:style w:styleId="BodyText" w:type="paragraph">
    <w:name w:val="Body Text"/>
    <w:basedOn w:val="Normal"/>
    <w:link w:val="BodyTextChar"/>
    <w:qFormat/>
    <w:pPr>
      <w:spacing w:after="180" w:before="180"/>
    </w:pPr>
    <w:rPr>
      <w:rFonts w:ascii="NanumMyeongjo" w:hAnsi="NanumMyeongjo" w:eastAsia="NanumMyeongjo" w:cs="NanumMyeongjo"/>
      <w:sz w:val="20"/>
    </w:rPr>
  </w:style>
  <w:style w:customStyle="1" w:styleId="FirstParagraph" w:type="paragraph">
    <w:name w:val="First Paragraph"/>
    <w:basedOn w:val="BodyText"/>
    <w:next w:val="BodyText"/>
    <w:qFormat/>
    <w:rPr>
      <w:rFonts w:ascii="NanumMyeongjo" w:hAnsi="NanumMyeongjo" w:eastAsia="NanumMyeongjo" w:cs="NanumMyeongjo"/>
      <w:sz w:val="20"/>
    </w:rPr>
  </w:style>
  <w:style w:customStyle="1" w:styleId="Compact" w:type="paragraph">
    <w:name w:val="Compact"/>
    <w:basedOn w:val="BodyText"/>
    <w:qFormat/>
    <w:pPr>
      <w:spacing w:after="36" w:before="36"/>
    </w:pPr>
    <w:rPr>
      <w:rFonts w:ascii="NanumMyeongjo" w:hAnsi="NanumMyeongjo" w:eastAsia="NanumMyeongjo" w:cs="NanumMyeongjo"/>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NanumMyeongjo" w:hAnsi="NanumMyeongjo" w:eastAsia="NanumMyeongjo" w:cs="NanumMyeongjo"/>
      <w:sz w:val="2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NanumMyeongjo" w:hAnsi="NanumMyeongjo" w:eastAsia="NanumMyeongjo" w:cs="NanumMyeongjo"/>
      <w:spacing w:val="15"/>
      <w:sz w:val="2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NanumMyeongjo" w:hAnsi="NanumMyeongjo" w:eastAsia="NanumMyeongjo" w:cs="NanumMyeongjo"/>
      <w:sz w:val="20"/>
      <w:szCs w:val="24"/>
    </w:rPr>
  </w:style>
  <w:style w:styleId="Date" w:type="paragraph">
    <w:name w:val="Date"/>
    <w:basedOn w:val="Title"/>
    <w:next w:val="BodyText"/>
    <w:qFormat/>
    <w:pPr>
      <w:keepNext/>
      <w:keepLines/>
    </w:pPr>
    <w:rPr>
      <w:rFonts w:ascii="NanumMyeongjo" w:hAnsi="NanumMyeongjo" w:eastAsia="NanumMyeongjo" w:cs="NanumMyeongjo"/>
      <w:sz w:val="20"/>
      <w:szCs w:val="24"/>
    </w:rPr>
  </w:style>
  <w:style w:customStyle="1" w:styleId="AbstractTitle" w:type="paragraph">
    <w:name w:val="Abstract Title"/>
    <w:basedOn w:val="Normal"/>
    <w:next w:val="Abstract"/>
    <w:qFormat/>
    <w:pPr>
      <w:keepNext/>
      <w:keepLines/>
      <w:spacing w:after="0" w:before="300"/>
      <w:jc w:val="center"/>
    </w:pPr>
    <w:rPr>
      <w:rFonts w:ascii="NanumMyeongjo" w:hAnsi="NanumMyeongjo" w:eastAsia="NanumMyeongjo" w:cs="NanumMyeongjo"/>
      <w:b/>
      <w:sz w:val="20"/>
      <w:szCs w:val="20"/>
    </w:rPr>
  </w:style>
  <w:style w:customStyle="1" w:styleId="Abstract" w:type="paragraph">
    <w:name w:val="Abstract"/>
    <w:basedOn w:val="Normal"/>
    <w:next w:val="BodyText"/>
    <w:qFormat/>
    <w:pPr>
      <w:keepNext/>
      <w:keepLines/>
      <w:spacing w:after="300" w:before="100"/>
    </w:pPr>
    <w:rPr>
      <w:rFonts w:ascii="NanumMyeongjo" w:hAnsi="NanumMyeongjo" w:eastAsia="NanumMyeongjo" w:cs="NanumMyeongjo"/>
      <w:sz w:val="20"/>
      <w:szCs w:val="20"/>
    </w:rPr>
  </w:style>
  <w:style w:styleId="Bibliography" w:type="paragraph">
    <w:name w:val="Bibliography"/>
    <w:basedOn w:val="Normal"/>
    <w:next w:val="Bibliography"/>
    <w:qFormat/>
    <w:pPr/>
    <w:rPr>
      <w:rFonts w:ascii="NanumMyeongjo" w:hAnsi="NanumMyeongjo" w:eastAsia="NanumMyeongjo" w:cs="NanumMyeongjo"/>
      <w:sz w:val="2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NanumMyeongjo" w:hAnsi="NanumMyeongjo" w:eastAsia="NanumMyeongjo" w:cs="NanumMyeongjo"/>
      <w:color w:themeColor="accent1" w:themeShade="BF" w:val="0F4761"/>
      <w:sz w:val="2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NanumMyeongjo" w:hAnsi="NanumMyeongjo" w:eastAsia="NanumMyeongjo" w:cs="NanumMyeongjo"/>
      <w:color w:themeColor="accent1" w:themeShade="BF" w:val="0F4761"/>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NanumMyeongjo" w:hAnsi="NanumMyeongjo" w:eastAsia="NanumMyeongjo" w:cs="NanumMyeongjo"/>
      <w:color w:themeColor="accent1" w:themeShade="BF" w:val="0F4761"/>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NanumMyeongjo" w:hAnsi="NanumMyeongjo" w:eastAsia="NanumMyeongjo" w:cs="NanumMyeongjo"/>
      <w:i/>
      <w:iCs/>
      <w:color w:themeColor="accent1" w:themeShade="BF" w:val="0F4761"/>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NanumMyeongjo" w:hAnsi="NanumMyeongjo" w:eastAsia="NanumMyeongjo" w:cs="NanumMyeongjo"/>
      <w:color w:themeColor="accent1" w:themeShade="BF" w:val="0F4761"/>
      <w:sz w:val="2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NanumMyeongjo" w:hAnsi="NanumMyeongjo" w:eastAsia="NanumMyeongjo" w:cs="NanumMyeongjo"/>
      <w:i/>
      <w:iCs/>
      <w:color w:themeColor="text1" w:themeTint="A6" w:val="595959"/>
      <w:sz w:val="2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NanumMyeongjo" w:hAnsi="NanumMyeongjo" w:eastAsia="NanumMyeongjo" w:cs="NanumMyeongjo"/>
      <w:color w:themeColor="text1" w:themeTint="A6" w:val="595959"/>
      <w:sz w:val="2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NanumMyeongjo" w:hAnsi="NanumMyeongjo" w:eastAsia="NanumMyeongjo" w:cs="NanumMyeongjo"/>
      <w:i/>
      <w:iCs/>
      <w:color w:themeColor="text1" w:themeTint="D8" w:val="272727"/>
      <w:sz w:val="2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NanumMyeongjo" w:hAnsi="NanumMyeongjo" w:eastAsia="NanumMyeongjo" w:cs="NanumMyeongjo"/>
      <w:color w:themeColor="text1" w:themeTint="D8" w:val="272727"/>
      <w:sz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NanumMyeongjo" w:hAnsi="NanumMyeongjo" w:eastAsia="NanumMyeongjo" w:cs="NanumMyeongjo"/>
      <w:sz w:val="20"/>
    </w:rPr>
  </w:style>
  <w:style w:styleId="FootnoteText" w:type="paragraph">
    <w:name w:val="Footnote Text"/>
    <w:basedOn w:val="Normal"/>
    <w:next w:val="FootnoteText"/>
    <w:uiPriority w:val="9"/>
    <w:unhideWhenUsed/>
    <w:qFormat/>
    <w:rPr>
      <w:rFonts w:ascii="NanumMyeongjo" w:hAnsi="NanumMyeongjo" w:eastAsia="NanumMyeongjo" w:cs="NanumMyeongjo"/>
      <w:sz w:val="20"/>
    </w:rPr>
  </w:style>
  <w:style w:styleId="FootnoteBlockText" w:type="paragraph">
    <w:name w:val="Footnote Block Text"/>
    <w:basedOn w:val="FootnoteText"/>
    <w:next w:val="FootnoteText"/>
    <w:uiPriority w:val="9"/>
    <w:unhideWhenUsed/>
    <w:qFormat/>
    <w:pPr>
      <w:spacing w:after="100" w:before="100"/>
      <w:ind w:firstLine="0" w:left="480" w:right="480"/>
    </w:pPr>
    <w:rPr>
      <w:rFonts w:ascii="NanumMyeongjo" w:hAnsi="NanumMyeongjo" w:eastAsia="NanumMyeongjo" w:cs="NanumMyeongjo"/>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NanumMyeongjo" w:hAnsi="NanumMyeongjo" w:eastAsia="NanumMyeongjo" w:cs="NanumMyeongjo"/>
      <w:b/>
      <w:sz w:val="20"/>
    </w:rPr>
  </w:style>
  <w:style w:customStyle="1" w:styleId="Definition" w:type="paragraph">
    <w:name w:val="Definition"/>
    <w:basedOn w:val="Normal"/>
    <w:rPr>
      <w:rFonts w:ascii="NanumMyeongjo" w:hAnsi="NanumMyeongjo" w:eastAsia="NanumMyeongjo" w:cs="NanumMyeongjo"/>
      <w:sz w:val="20"/>
    </w:rPr>
  </w:style>
  <w:style w:styleId="Caption" w:type="paragraph">
    <w:name w:val="Caption"/>
    <w:basedOn w:val="Normal"/>
    <w:link w:val="BodyTextChar"/>
    <w:pPr>
      <w:spacing w:after="120" w:before="0"/>
    </w:pPr>
    <w:rPr>
      <w:rFonts w:ascii="NanumMyeongjo" w:hAnsi="NanumMyeongjo" w:eastAsia="NanumMyeongjo" w:cs="NanumMyeongjo"/>
      <w:i/>
      <w:sz w:val="20"/>
    </w:rPr>
  </w:style>
  <w:style w:customStyle="1" w:styleId="TableCaption" w:type="paragraph">
    <w:name w:val="Table Caption"/>
    <w:basedOn w:val="Caption"/>
    <w:pPr>
      <w:keepNext/>
    </w:pPr>
    <w:rPr>
      <w:rFonts w:ascii="NanumMyeongjo" w:hAnsi="NanumMyeongjo" w:eastAsia="NanumMyeongjo" w:cs="NanumMyeongjo"/>
      <w:sz w:val="20"/>
    </w:rPr>
  </w:style>
  <w:style w:customStyle="1" w:styleId="ImageCaption" w:type="paragraph">
    <w:name w:val="Image Caption"/>
    <w:basedOn w:val="Caption"/>
    <w:rPr>
      <w:rFonts w:ascii="NanumMyeongjo" w:hAnsi="NanumMyeongjo" w:eastAsia="NanumMyeongjo" w:cs="NanumMyeongjo"/>
      <w:sz w:val="20"/>
    </w:rPr>
  </w:style>
  <w:style w:customStyle="1" w:styleId="Figure" w:type="paragraph">
    <w:name w:val="Figure"/>
    <w:basedOn w:val="Normal"/>
    <w:rPr>
      <w:rFonts w:ascii="NanumMyeongjo" w:hAnsi="NanumMyeongjo" w:eastAsia="NanumMyeongjo" w:cs="NanumMyeongjo"/>
      <w:sz w:val="20"/>
    </w:rPr>
  </w:style>
  <w:style w:customStyle="1" w:styleId="CaptionedFigure" w:type="paragraph">
    <w:name w:val="Captioned Figure"/>
    <w:basedOn w:val="Figure"/>
    <w:pPr>
      <w:keepNext/>
    </w:pPr>
    <w:rPr>
      <w:rFonts w:ascii="NanumMyeongjo" w:hAnsi="NanumMyeongjo" w:eastAsia="NanumMyeongjo" w:cs="NanumMyeongjo"/>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NanumMyeongjo" w:hAnsi="NanumMyeongjo" w:eastAsia="NanumMyeongjo" w:cs="NanumMyeongjo"/>
      <w:b w:val="0"/>
      <w:bCs w:val="0"/>
      <w:color w:themeColor="accent1" w:themeShade="BF" w:val="365F91"/>
      <w:sz w:val="20"/>
    </w:rPr>
  </w:style>
  <w:style w:type="paragraph" w:customStyle="1" w:styleId="SourceCode">
    <w:name w:val="Source Code"/>
    <w:basedOn w:val="Normal"/>
    <w:link w:val="VerbatimChar"/>
    <w:pPr>
      <w:wordWrap w:val="off"/>
    </w:pPr>
    <w:rPr>
      <w:rFonts w:ascii="NanumMyeongjo" w:hAnsi="NanumMyeongjo" w:eastAsia="NanumMyeongjo" w:cs="NanumMyeongjo"/>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19" Type="http://schemas.openxmlformats.org/officeDocument/2006/relationships/image" Target="media/rId19.png"/><Relationship Id="rId22" Type="http://schemas.openxmlformats.org/officeDocument/2006/relationships/image" Target="media/rId22.png"/><Relationship Id="rId25" Type="http://schemas.openxmlformats.org/officeDocument/2006/relationships/hyperlink" Target="evidence/first_hour_factorial_20261030/analysis/categorical_scores.csv" TargetMode="External"/><Relationship Id="rId27" Type="http://schemas.openxmlformats.org/officeDocument/2006/relationships/hyperlink" Target="evidence/first_hour_factorial_20261030/analysis/continuous_scores.csv" TargetMode="External"/><Relationship Id="rId33" Type="http://schemas.openxmlformats.org/officeDocument/2006/relationships/hyperlink" Target="evidence/first_hour_factorial_20261030/analysis/pointwise_precipitation_contrasts.csv" TargetMode="External"/><Relationship Id="rId14" Type="http://schemas.openxmlformats.org/officeDocument/2006/relationships/hyperlink" Target="evidence/first_hour_factorial_20261030/analysis/receipt.json" TargetMode="External"/><Relationship Id="rId28" Type="http://schemas.openxmlformats.org/officeDocument/2006/relationships/hyperlink" Target="evidence/first_hour_factorial_20261030/analysis/score_contrasts.csv" TargetMode="External"/><Relationship Id="rId13" Type="http://schemas.openxmlformats.org/officeDocument/2006/relationships/hyperlink" Target="evidence/first_hour_factorial_20261030/runtime/inputs.json" TargetMode="External"/><Relationship Id="rId12" Type="http://schemas.openxmlformats.org/officeDocument/2006/relationships/hyperlink" Target="evidence/first_hour_factorial_20261030/runtime/receipt.json" TargetMode="External"/><Relationship Id="rId38" Type="http://schemas.openxmlformats.org/officeDocument/2006/relationships/hyperlink" Target="https://doi.org/10.5065/1dfh-6p97" TargetMode="External"/><Relationship Id="rId39" Type="http://schemas.openxmlformats.org/officeDocument/2006/relationships/hyperlink" Target="https://komes2025.co.kr/default/img/hblock/content/pdf/atmospheric01.pdf" TargetMode="External"/><Relationship Id="rId40" Type="http://schemas.openxmlformats.org/officeDocument/2006/relationships/hyperlink" Target="https://wgne.net/wp-content/uploads/2018/03/WGNE_precip_verif_document_2_FINAL.pdf" TargetMode="External"/></Relationships>
</file>

<file path=word/_rels/footnotes.xml.rels><?xml version='1.0' encoding='UTF-8' standalone='yes'?>
<Relationships xmlns="http://schemas.openxmlformats.org/package/2006/relationships"><Relationship Id="rId25" Type="http://schemas.openxmlformats.org/officeDocument/2006/relationships/hyperlink" Target="evidence/first_hour_factorial_20261030/analysis/categorical_scores.csv" TargetMode="External"/><Relationship Id="rId27" Type="http://schemas.openxmlformats.org/officeDocument/2006/relationships/hyperlink" Target="evidence/first_hour_factorial_20261030/analysis/continuous_scores.csv" TargetMode="External"/><Relationship Id="rId33" Type="http://schemas.openxmlformats.org/officeDocument/2006/relationships/hyperlink" Target="evidence/first_hour_factorial_20261030/analysis/pointwise_precipitation_contrasts.csv" TargetMode="External"/><Relationship Id="rId14" Type="http://schemas.openxmlformats.org/officeDocument/2006/relationships/hyperlink" Target="evidence/first_hour_factorial_20261030/analysis/receipt.json" TargetMode="External"/><Relationship Id="rId28" Type="http://schemas.openxmlformats.org/officeDocument/2006/relationships/hyperlink" Target="evidence/first_hour_factorial_20261030/analysis/score_contrasts.csv" TargetMode="External"/><Relationship Id="rId13" Type="http://schemas.openxmlformats.org/officeDocument/2006/relationships/hyperlink" Target="evidence/first_hour_factorial_20261030/runtime/inputs.json" TargetMode="External"/><Relationship Id="rId12" Type="http://schemas.openxmlformats.org/officeDocument/2006/relationships/hyperlink" Target="evidence/first_hour_factorial_20261030/runtime/receipt.json" TargetMode="External"/><Relationship Id="rId38" Type="http://schemas.openxmlformats.org/officeDocument/2006/relationships/hyperlink" Target="https://doi.org/10.5065/1dfh-6p97" TargetMode="External"/><Relationship Id="rId39" Type="http://schemas.openxmlformats.org/officeDocument/2006/relationships/hyperlink" Target="https://komes2025.co.kr/default/img/hblock/content/pdf/atmospheric01.pdf" TargetMode="External"/><Relationship Id="rId40" Type="http://schemas.openxmlformats.org/officeDocument/2006/relationships/hyperlink" Target="https://wgne.net/wp-content/uploads/2018/03/WGNE_precip_verif_document_2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2026-10-30T02:29:56Z</dcterms:created>
  <dcterms:modified xsi:type="dcterms:W3CDTF">2026-10-30T02:29:56Z</dcterms:modified>
</cp:coreProperties>
</file>

<file path=docProps/custom.xml><?xml version="1.0" encoding="utf-8"?>
<Properties xmlns="http://schemas.openxmlformats.org/officeDocument/2006/custom-properties" xmlns:vt="http://schemas.openxmlformats.org/officeDocument/2006/docPropsVTypes"/>
</file>