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1e54c656e2d3f0c14792524f507e001c1d6dab8"/>
    <w:p>
      <w:pPr>
        <w:pStyle w:val="Heading1"/>
      </w:pPr>
      <w:r>
        <w:t xml:space="preserve">현행 Cloud-BAL과 원본 초기장의 단일 사례 6시간 재예보: 시간별 강수 검증과 과정 추적</w:t>
      </w:r>
    </w:p>
    <w:p>
      <w:pPr>
        <w:pStyle w:val="FirstParagraph"/>
      </w:pPr>
      <w:r>
        <w:rPr>
          <w:b/>
          <w:bCs/>
        </w:rPr>
        <w:t xml:space="preserve">학술대회 논문 초안 · 2026-10-29</w:t>
      </w:r>
      <w:r>
        <w:br/>
      </w:r>
      <w:r>
        <w:t xml:space="preserve">연구 보고서 / 저자 미기재</w:t>
      </w:r>
    </w:p>
    <w:bookmarkStart w:id="9" w:name="국문-초록"/>
    <w:p>
      <w:pPr>
        <w:pStyle w:val="Heading2"/>
      </w:pPr>
      <w:r>
        <w:t xml:space="preserve">국문 초록</w:t>
      </w:r>
    </w:p>
    <w:p>
      <w:pPr>
        <w:pStyle w:val="FirstParagraph"/>
      </w:pPr>
      <w:r>
        <w:t xml:space="preserve">2026년 8월 16일 단일 사례의 6시간 재예보(hindcast)로 현행 레이더 기반 Cloud-BAL 초기장과 원본 초기장을 같은 보관 WRF 실행파일에서 비교한다. 원본 초기장의 ORIGINAL과 현행 소스로 생성한 CURRENT_OFF, CURRENT_HYDRO, CURRENT_LIQUID를 같은 WRF 실행파일, 경계장, 시간 간격 및 병렬 설정으로 6시간 적분하여 시간별 강수를 검증한다. 네 실험은 6시간을 완주했고 공통 3,688개 평가점에서 첫 시간 5 mm CSI는 ORIGINAL 0.2751, CURRENT_OFF 0.1414, CURRENT_HYDRO 0.2140, CURRENT_LIQUID 0.2174였다. 현행 후보는 CURRENT_OFF보다 높지만 ORIGINAL보다 낮았으며, 시간과 임계값에 따라 결과는 달랐다. 레이더 반사도의 비선형 수상체 진단과 건조공기 질량 및 입자수 상태의 일관성을 해석하고, 보관 CP02의 선택 지점 진단은 별도 배경 근거로 사용한다. 단일 사례, RN1의 시공간 대표성과 미확인 수지 때문에 결과의 인과 해석과 일반화에는 한계가 있다.</w:t>
      </w:r>
    </w:p>
    <w:bookmarkEnd w:id="9"/>
    <w:bookmarkStart w:id="10" w:name="abstract"/>
    <w:p>
      <w:pPr>
        <w:pStyle w:val="Heading2"/>
      </w:pPr>
      <w:r>
        <w:t xml:space="preserve">Abstract</w:t>
      </w:r>
    </w:p>
    <w:p>
      <w:pPr>
        <w:pStyle w:val="FirstParagraph"/>
      </w:pPr>
      <w:r>
        <w:t xml:space="preserve">We compare current radar-based Cloud-BAL initialization with the original initial state in a single-case six-hour hindcast using the same archived WRF executable. ORIGINAL uses the archived original initial state; CURRENT_OFF, CURRENT_HYDRO, and CURRENT_LIQUID use states generated by the current source. The four six-hour integrations use the same WRF executable, boundary state, time step, and parallel configuration, and are evaluated using hourly precipitation. All four integrations completed six hours. At 3,688 common evaluation points, first-hour CSI at 5 mm was 0.2751, 0.1414, 0.2140, and 0.2174, respectively. The current candidates scored higher than CURRENT_OFF but lower than ORIGINAL, with mixed results across lead times and thresholds. We interpret the nonlinear reflectivity-to-hydrometeor diagnosis and the consistency of dry-air mass and number states; archived CP02 diagnostics are presented separately as contextual evidence. A single case, the spatiotemporal representativeness of RN1, and unresolved budgets limit causal interpretation and generalization.</w:t>
      </w:r>
    </w:p>
    <w:bookmarkEnd w:id="10"/>
    <w:bookmarkStart w:id="11" w:name="서론"/>
    <w:p>
      <w:pPr>
        <w:pStyle w:val="Heading2"/>
      </w:pPr>
      <w:r>
        <w:t xml:space="preserve">1. 서론</w:t>
      </w:r>
    </w:p>
    <w:p>
      <w:pPr>
        <w:pStyle w:val="FirstParagraph"/>
      </w:pPr>
      <w:r>
        <w:t xml:space="preserve">초기 구름과 강수의 위치·강도는 단시간 강수예측에 영향을 줄 수 있다. 레이더 반사도는 강수 입자 분포에 민감하나 곧바로 지상 강수량 또는 유일한 수상체 혼합비를 제공하지 않는다. 반사도 관측연산자는 입자 크기 분포와 수상체 분류의 가정에 의존한다 [1]. 따라서 레이더 진단을 모델 초기장에 반영하는 효과는 이후 미세물리, 수송, 열역학 및 강수 검증을 통해 함께 평가해야 한다. WRF-ARW의 역학·물리 및 초기화 체계는 기술문서 [2]를 따른다.</w:t>
      </w:r>
    </w:p>
    <w:p>
      <w:pPr>
        <w:pStyle w:val="BodyText"/>
      </w:pPr>
      <w:r>
        <w:t xml:space="preserve">이 연구의 목적은 Cloud-BAL의 계산상 관계를 물리 단위와 연결하고, 실제 예측 비교에서 강수 적중과 오경보가 어떻게 바뀌는지 설명하는 것이다. 보관된 CP02 결과를 현행 소스의 새 실행과 구별하며, 진단적으로 관측한 연관성과 물리 과정의 인과 증명을 구분한다.</w:t>
      </w:r>
    </w:p>
    <w:bookmarkEnd w:id="11"/>
    <w:bookmarkStart w:id="21" w:name="자료-및-방법"/>
    <w:p>
      <w:pPr>
        <w:pStyle w:val="Heading2"/>
      </w:pPr>
      <w:r>
        <w:t xml:space="preserve">2. 자료 및 방법</w:t>
      </w:r>
    </w:p>
    <w:bookmarkStart w:id="14" w:name="레이더-수상체와-질량-기준"/>
    <w:p>
      <w:pPr>
        <w:pStyle w:val="Heading3"/>
      </w:pPr>
      <w:r>
        <w:t xml:space="preserve">2.1 레이더 수상체와 질량 기준</w:t>
      </w:r>
    </w:p>
    <w:p>
      <w:pPr>
        <w:pStyle w:val="FirstParagraph"/>
      </w:pPr>
      <w:r>
        <w:t xml:space="preserve">관측 반사도</w:t>
      </w:r>
      <w:r>
        <w:t xml:space="preserve"> </w:t>
      </w:r>
      <m:oMath>
        <m:r>
          <m:t>D</m:t>
        </m:r>
      </m:oMath>
      <w:r>
        <w:t xml:space="preserve">가 dBZ일 때 선형 반사도 인자</w:t>
      </w:r>
      <w:r>
        <w:t xml:space="preserve"> </w:t>
      </w:r>
      <m:oMath>
        <m:r>
          <m:t>Z</m:t>
        </m:r>
        <m:r>
          <m:rPr>
            <m:sty m:val="p"/>
          </m:rPr>
          <m:t>=</m:t>
        </m:r>
        <m:sSup>
          <m:e>
            <m:r>
              <m:t>10</m:t>
            </m:r>
          </m:e>
          <m:sup>
            <m:r>
              <m:t>D</m:t>
            </m:r>
            <m:r>
              <m:rPr>
                <m:sty m:val="p"/>
              </m:rPr>
              <m:t>/</m:t>
            </m:r>
            <m:r>
              <m:t>10</m:t>
            </m:r>
          </m:sup>
        </m:sSup>
      </m:oMath>
      <w:r>
        <w:t xml:space="preserve">이며 단위는 mm⁶ m⁻³이다. 현재 진단 코드에서 사용 가능한 지상 위 레이더 셀의 총 강수성 수상체 혼합비는 수송·publish·배경장 병합 이전의 순간 작업 진단값으로 다음과 같다. 이후 모델 초기장 값이 이 진단식과 같다고 가정하지 않는다.</w:t>
      </w:r>
    </w:p>
    <w:p>
      <w:pPr>
        <w:pStyle w:val="BodyText"/>
      </w:pPr>
      <m:oMathPara>
        <m:oMathParaPr>
          <m:jc m:val="center"/>
        </m:oMathParaPr>
        <m:oMath>
          <m:sSub>
            <m:e>
              <m:r>
                <m:t>q</m:t>
              </m:r>
            </m:e>
            <m:sub>
              <m:r>
                <m:t>t</m:t>
              </m:r>
            </m:sub>
          </m:sSub>
          <m:r>
            <m:rPr>
              <m:sty m:val="p"/>
            </m:rPr>
            <m:t>=</m:t>
          </m:r>
          <m:f>
            <m:fPr>
              <m:type m:val="bar"/>
            </m:fPr>
            <m:num>
              <m:r>
                <m:rPr>
                  <m:sty m:val="p"/>
                </m:rPr>
                <m:t>min</m:t>
              </m:r>
              <m:r>
                <m:rPr>
                  <m:sty m:val="p"/>
                </m:rPr>
                <m:t>{</m:t>
              </m:r>
              <m:r>
                <m:t>0.02</m:t>
              </m:r>
              <m:r>
                <m:rPr>
                  <m:sty m:val="p"/>
                </m:rPr>
                <m:t>,</m:t>
              </m:r>
              <m:r>
                <m:t> </m:t>
              </m:r>
              <m:sSup>
                <m:e>
                  <m:r>
                    <m:t>10</m:t>
                  </m:r>
                </m:e>
                <m:sup>
                  <m:r>
                    <m:rPr>
                      <m:sty m:val="p"/>
                    </m:rPr>
                    <m:t>−</m:t>
                  </m:r>
                  <m:r>
                    <m:t>4</m:t>
                  </m:r>
                </m:sup>
              </m:sSup>
              <m:r>
                <m:rPr>
                  <m:sty m:val="p"/>
                </m:rPr>
                <m:t>(</m:t>
              </m:r>
              <m:r>
                <m:t>Z</m:t>
              </m:r>
              <m:r>
                <m:rPr>
                  <m:sty m:val="p"/>
                </m:rPr>
                <m:t>/</m:t>
              </m:r>
              <m:r>
                <m:t>1000</m:t>
              </m:r>
              <m:sSup>
                <m:e>
                  <m:r>
                    <m:rPr>
                      <m:sty m:val="p"/>
                    </m:rPr>
                    <m:t>)</m:t>
                  </m:r>
                </m:e>
                <m:sup>
                  <m:r>
                    <m:t>0.55</m:t>
                  </m:r>
                </m:sup>
              </m:sSup>
              <m:r>
                <m:rPr>
                  <m:sty m:val="p"/>
                </m:rPr>
                <m:t>}</m:t>
              </m:r>
            </m:num>
            <m:den>
              <m:sSub>
                <m:e>
                  <m:r>
                    <m:t>ρ</m:t>
                  </m:r>
                </m:e>
                <m:sub>
                  <m:r>
                    <m:t>d</m:t>
                  </m:r>
                </m:sub>
              </m:sSub>
            </m:den>
          </m:f>
          <m:r>
            <m:rPr>
              <m:sty m:val="p"/>
            </m:rPr>
            <m:t>,</m:t>
          </m:r>
          <m:r>
            <m:t>  </m:t>
          </m:r>
          <m:sSub>
            <m:e>
              <m:r>
                <m:t>q</m:t>
              </m:r>
            </m:e>
            <m:sub>
              <m:r>
                <m:t>t</m:t>
              </m:r>
            </m:sub>
          </m:sSub>
          <m:r>
            <m:rPr>
              <m:sty m:val="p"/>
            </m:rPr>
            <m:t>=</m:t>
          </m:r>
          <m:sSub>
            <m:e>
              <m:r>
                <m:t>q</m:t>
              </m:r>
            </m:e>
            <m:sub>
              <m:r>
                <m:t>r</m:t>
              </m:r>
            </m:sub>
          </m:sSub>
          <m:r>
            <m:rPr>
              <m:sty m:val="p"/>
            </m:rPr>
            <m:t>+</m:t>
          </m:r>
          <m:sSub>
            <m:e>
              <m:r>
                <m:t>q</m:t>
              </m:r>
            </m:e>
            <m:sub>
              <m:r>
                <m:t>s</m:t>
              </m:r>
            </m:sub>
          </m:sSub>
          <m:r>
            <m:rPr>
              <m:sty m:val="p"/>
            </m:rPr>
            <m:t>+</m:t>
          </m:r>
          <m:sSub>
            <m:e>
              <m:r>
                <m:t>q</m:t>
              </m:r>
            </m:e>
            <m:sub>
              <m:r>
                <m:t>g</m:t>
              </m:r>
            </m:sub>
          </m:sSub>
          <m:r>
            <m:rPr>
              <m:sty m:val="p"/>
            </m:rPr>
            <m:t>.</m:t>
          </m:r>
        </m:oMath>
      </m:oMathPara>
    </w:p>
    <w:p>
      <w:pPr>
        <w:pStyle w:val="FirstParagraph"/>
      </w:pPr>
      <w:r>
        <w:t xml:space="preserve">식 (1).</w:t>
      </w:r>
    </w:p>
    <w:p>
      <w:pPr>
        <w:pStyle w:val="BodyText"/>
      </w:pPr>
      <w:r>
        <w:t xml:space="preserve">dBZ는 로그 척도이므로 같은 dBZ 차이라도 선형 반사도의 가법 차이는 반사도 수준에 따라 달라진다. 따라서 평균 dBZ를 선형 단위로 변환한 값은 일반적으로 개별 선형 반사도의 평균과 같지 않다. 식 (1)의 거듭제곱과 상한도 반응을 비선형으로 만든다.</w:t>
      </w:r>
    </w:p>
    <w:p>
      <w:pPr>
        <w:pStyle w:val="BodyText"/>
      </w:pPr>
      <w:r>
        <w:t xml:space="preserve">여기서</w:t>
      </w:r>
      <w:r>
        <w:t xml:space="preserve"> </w:t>
      </w:r>
      <m:oMath>
        <m:r>
          <m:t>1000</m:t>
        </m:r>
      </m:oMath>
      <w:r>
        <w:t xml:space="preserve">은 mm⁶ m⁻³의 기준 반사도,</w:t>
      </w:r>
      <w:r>
        <w:t xml:space="preserve"> </w:t>
      </w:r>
      <m:oMath>
        <m:sSup>
          <m:e>
            <m:r>
              <m:t>10</m:t>
            </m:r>
          </m:e>
          <m:sup>
            <m:r>
              <m:rPr>
                <m:sty m:val="p"/>
              </m:rPr>
              <m:t>−</m:t>
            </m:r>
            <m:r>
              <m:t>4</m:t>
            </m:r>
          </m:sup>
        </m:sSup>
      </m:oMath>
      <w:r>
        <w:t xml:space="preserve">와 상한 0.02는 kg m⁻³의 질량농도,</w:t>
      </w:r>
      <w:r>
        <w:t xml:space="preserve"> </w:t>
      </w:r>
      <m:oMath>
        <m:sSub>
          <m:e>
            <m:r>
              <m:t>ρ</m:t>
            </m:r>
          </m:e>
          <m:sub>
            <m:r>
              <m:t>d</m:t>
            </m:r>
          </m:sub>
        </m:sSub>
      </m:oMath>
      <w:r>
        <w:t xml:space="preserve">는 kg m⁻³의 건조공기 밀도,</w:t>
      </w:r>
      <w:r>
        <w:t xml:space="preserve"> </w:t>
      </w:r>
      <m:oMath>
        <m:sSub>
          <m:e>
            <m:r>
              <m:t>q</m:t>
            </m:r>
          </m:e>
          <m:sub>
            <m:r>
              <m:t>t</m:t>
            </m:r>
          </m:sub>
        </m:sSub>
        <m:r>
          <m:rPr>
            <m:sty m:val="p"/>
          </m:rPr>
          <m:t>,</m:t>
        </m:r>
        <m:sSub>
          <m:e>
            <m:r>
              <m:t>q</m:t>
            </m:r>
          </m:e>
          <m:sub>
            <m:r>
              <m:t>r</m:t>
            </m:r>
          </m:sub>
        </m:sSub>
        <m:r>
          <m:rPr>
            <m:sty m:val="p"/>
          </m:rPr>
          <m:t>,</m:t>
        </m:r>
        <m:sSub>
          <m:e>
            <m:r>
              <m:t>q</m:t>
            </m:r>
          </m:e>
          <m:sub>
            <m:r>
              <m:t>s</m:t>
            </m:r>
          </m:sub>
        </m:sSub>
        <m:r>
          <m:rPr>
            <m:sty m:val="p"/>
          </m:rPr>
          <m:t>,</m:t>
        </m:r>
        <m:sSub>
          <m:e>
            <m:r>
              <m:t>q</m:t>
            </m:r>
          </m:e>
          <m:sub>
            <m:r>
              <m:t>g</m:t>
            </m:r>
          </m:sub>
        </m:sSub>
      </m:oMath>
      <w:r>
        <w:t xml:space="preserve">는 건조공기 질량당 비·눈·싸락눈 혼합비(kg kg⁻¹)이다. 식 (1)은 현재 설정의 경험적 진단 관계와 상한을 기술하며 레이더의 보편적인 역변환식이 아니다. 상정보가 유효하면 이를 사용하고, 유효하지 않으면 온도에 따른 불확실한 분할을 사용한다. 관측의 유효성·품질과 상분할 불확실성은 서로 다른 계약이다.</w:t>
      </w:r>
      <w:r>
        <w:t xml:space="preserve"> </w:t>
      </w:r>
      <w:hyperlink r:id="rId12">
        <w:r>
          <w:rPr>
            <w:rStyle w:val="Hyperlink"/>
          </w:rPr>
          <w:t xml:space="preserve">현재 진단 구현</w:t>
        </w:r>
      </w:hyperlink>
    </w:p>
    <w:p>
      <w:pPr>
        <w:pStyle w:val="BodyText"/>
      </w:pPr>
      <w:r>
        <w:t xml:space="preserve">건조공기 밀도는 현재 코드에서 이상기체 관계</w:t>
      </w:r>
      <w:r>
        <w:t xml:space="preserve"> </w:t>
      </w:r>
      <m:oMath>
        <m:r>
          <m:t>p</m:t>
        </m:r>
        <m:r>
          <m:rPr>
            <m:sty m:val="p"/>
          </m:rPr>
          <m:t>=</m:t>
        </m:r>
        <m:sSub>
          <m:e>
            <m:r>
              <m:t>ρ</m:t>
            </m:r>
          </m:e>
          <m:sub>
            <m:r>
              <m:t>d</m:t>
            </m:r>
          </m:sub>
        </m:sSub>
        <m:sSub>
          <m:e>
            <m:r>
              <m:t>R</m:t>
            </m:r>
          </m:e>
          <m:sub>
            <m:r>
              <m:t>d</m:t>
            </m:r>
          </m:sub>
        </m:sSub>
        <m:r>
          <m:t>T</m:t>
        </m:r>
        <m:r>
          <m:rPr>
            <m:sty m:val="p"/>
          </m:rPr>
          <m:t>(</m:t>
        </m:r>
        <m:r>
          <m:t>1</m:t>
        </m:r>
        <m:r>
          <m:rPr>
            <m:sty m:val="p"/>
          </m:rPr>
          <m:t>+</m:t>
        </m:r>
        <m:sSub>
          <m:e>
            <m:r>
              <m:t>q</m:t>
            </m:r>
          </m:e>
          <m:sub>
            <m:r>
              <m:t>v</m:t>
            </m:r>
          </m:sub>
        </m:sSub>
        <m:r>
          <m:rPr>
            <m:sty m:val="p"/>
          </m:rPr>
          <m:t>/</m:t>
        </m:r>
        <m:r>
          <m:t>ϵ</m:t>
        </m:r>
        <m:r>
          <m:rPr>
            <m:sty m:val="p"/>
          </m:rPr>
          <m:t>)</m:t>
        </m:r>
      </m:oMath>
      <w:r>
        <w:t xml:space="preserve">로 계산한다.</w:t>
      </w:r>
      <w:r>
        <w:t xml:space="preserve"> </w:t>
      </w:r>
      <m:oMath>
        <m:r>
          <m:t>p</m:t>
        </m:r>
      </m:oMath>
      <w:r>
        <w:t xml:space="preserve">는 Pa,</w:t>
      </w:r>
      <w:r>
        <w:t xml:space="preserve"> </w:t>
      </w:r>
      <m:oMath>
        <m:r>
          <m:t>T</m:t>
        </m:r>
      </m:oMath>
      <w:r>
        <w:t xml:space="preserve">는 K,</w:t>
      </w:r>
      <w:r>
        <w:t xml:space="preserve"> </w:t>
      </w:r>
      <m:oMath>
        <m:sSub>
          <m:e>
            <m:r>
              <m:t>R</m:t>
            </m:r>
          </m:e>
          <m:sub>
            <m:r>
              <m:t>d</m:t>
            </m:r>
          </m:sub>
        </m:sSub>
      </m:oMath>
      <w:r>
        <w:t xml:space="preserve">는 J kg⁻¹ K⁻¹,</w:t>
      </w:r>
      <w:r>
        <w:t xml:space="preserve"> </w:t>
      </w:r>
      <m:oMath>
        <m:sSub>
          <m:e>
            <m:r>
              <m:t>q</m:t>
            </m:r>
          </m:e>
          <m:sub>
            <m:r>
              <m:t>v</m:t>
            </m:r>
          </m:sub>
        </m:sSub>
      </m:oMath>
      <w:r>
        <w:t xml:space="preserve">는 건조공기 질량당 수증기 혼합비,</w:t>
      </w:r>
      <w:r>
        <w:t xml:space="preserve"> </w:t>
      </w:r>
      <m:oMath>
        <m:r>
          <m:t>ϵ</m:t>
        </m:r>
      </m:oMath>
      <w:r>
        <w:t xml:space="preserve">은 수증기와 건조공기의 분자량 비다. 이 기체 상태식에서 응결물은 기체 압력에 더하지 않는다.</w:t>
      </w:r>
      <w:r>
        <w:t xml:space="preserve"> </w:t>
      </w:r>
      <w:hyperlink r:id="rId13">
        <w:r>
          <w:rPr>
            <w:rStyle w:val="Hyperlink"/>
          </w:rPr>
          <w:t xml:space="preserve">밀도 구현</w:t>
        </w:r>
      </w:hyperlink>
    </w:p>
    <w:p>
      <w:pPr>
        <w:pStyle w:val="BodyText"/>
      </w:pPr>
      <w:r>
        <w:t xml:space="preserve">질량 농도</w:t>
      </w:r>
      <w:r>
        <w:t xml:space="preserve"> </w:t>
      </w:r>
      <m:oMath>
        <m:sSub>
          <m:e>
            <m:r>
              <m:t>ρ</m:t>
            </m:r>
          </m:e>
          <m:sub>
            <m:r>
              <m:t>d</m:t>
            </m:r>
          </m:sub>
        </m:sSub>
        <m:r>
          <m:t>q</m:t>
        </m:r>
      </m:oMath>
      <w:r>
        <w:t xml:space="preserve">와 혼합비</w:t>
      </w:r>
      <w:r>
        <w:t xml:space="preserve"> </w:t>
      </w:r>
      <m:oMath>
        <m:r>
          <m:t>q</m:t>
        </m:r>
      </m:oMath>
      <w:r>
        <w:t xml:space="preserve">를 혼동하면 동일한 반사도에 대응하는 초기 수분량이 달라진다. 격자 전체의 물수지는 예컨대 건조공기 질량</w:t>
      </w:r>
      <w:r>
        <w:t xml:space="preserve"> </w:t>
      </w:r>
      <m:oMath>
        <m:sSub>
          <m:e>
            <m:r>
              <m:t>m</m:t>
            </m:r>
          </m:e>
          <m:sub>
            <m:r>
              <m:t>d</m:t>
            </m:r>
            <m:r>
              <m:rPr>
                <m:sty m:val="p"/>
              </m:rPr>
              <m:t>,</m:t>
            </m:r>
            <m:r>
              <m:t>i</m:t>
            </m:r>
          </m:sub>
        </m:sSub>
      </m:oMath>
      <w:r>
        <w:t xml:space="preserve">에 대하여</w:t>
      </w:r>
      <w:r>
        <w:t xml:space="preserve"> </w:t>
      </w:r>
      <m:oMath>
        <m:sSub>
          <m:e>
            <m:r>
              <m:t>M</m:t>
            </m:r>
          </m:e>
          <m:sub>
            <m:r>
              <m:t>w</m:t>
            </m:r>
          </m:sub>
        </m:sSub>
        <m:r>
          <m:rPr>
            <m:sty m:val="p"/>
          </m:rPr>
          <m:t>=</m:t>
        </m:r>
        <m:nary>
          <m:naryPr>
            <m:chr m:val="∑"/>
            <m:limLoc m:val="undOvr"/>
            <m:subHide m:val="off"/>
            <m:supHide m:val="on"/>
          </m:naryPr>
          <m:sub>
            <m:r>
              <m:t>i</m:t>
            </m:r>
          </m:sub>
          <m:sup>
            <m:r>
              <m:t>​</m:t>
            </m:r>
          </m:sup>
          <m:e>
            <m:sSub>
              <m:e>
                <m:r>
                  <m:t>m</m:t>
                </m:r>
              </m:e>
              <m:sub>
                <m:r>
                  <m:t>d</m:t>
                </m:r>
                <m:r>
                  <m:rPr>
                    <m:sty m:val="p"/>
                  </m:rPr>
                  <m:t>,</m:t>
                </m:r>
                <m:r>
                  <m:t>i</m:t>
                </m:r>
              </m:sub>
            </m:sSub>
          </m:e>
        </m:nary>
        <m:nary>
          <m:naryPr>
            <m:chr m:val="∑"/>
            <m:limLoc m:val="undOvr"/>
            <m:subHide m:val="off"/>
            <m:supHide m:val="on"/>
          </m:naryPr>
          <m:sub>
            <m:r>
              <m:t>s</m:t>
            </m:r>
          </m:sub>
          <m:sup>
            <m:r>
              <m:t>​</m:t>
            </m:r>
          </m:sup>
          <m:e>
            <m:sSub>
              <m:e>
                <m:r>
                  <m:t>q</m:t>
                </m:r>
              </m:e>
              <m:sub>
                <m:r>
                  <m:t>s</m:t>
                </m:r>
                <m:r>
                  <m:rPr>
                    <m:sty m:val="p"/>
                  </m:rPr>
                  <m:t>,</m:t>
                </m:r>
                <m:r>
                  <m:t>i</m:t>
                </m:r>
              </m:sub>
            </m:sSub>
          </m:e>
        </m:nary>
      </m:oMath>
      <w:r>
        <w:t xml:space="preserve">로 정의하며, 시간 변화는 경계 수송·침강·지표 강수와 외부 원천을 함께 포함해야 한다. 단순한 격자 혼합비 평균이나 두 시각의 상태 차이는 이 수지가 아니다. 일반적인 이중 모멘트 미세물리에서는 질량과 수농도가 입자 크기 분포의 서로 다른 모멘트이므로 하나만 조정해 다른 하나를 임의로 확정할 수 없다 [4]. 문헌 [4]는 개념적 근거이며 보관 KDM6 실행파일의 정확한 소스를 입증하지 않는다. 각 상태의 단위와 실제 저장 경로는 실행별로 확인해야 한다.</w:t>
      </w:r>
    </w:p>
    <w:bookmarkEnd w:id="14"/>
    <w:bookmarkStart w:id="18" w:name="실험과-시간별-검증"/>
    <w:p>
      <w:pPr>
        <w:pStyle w:val="Heading3"/>
      </w:pPr>
      <w:r>
        <w:t xml:space="preserve">2.2 실험과 시간별 검증</w:t>
      </w:r>
    </w:p>
    <w:p>
      <w:pPr>
        <w:pStyle w:val="FirstParagraph"/>
      </w:pPr>
      <w:r>
        <w:t xml:space="preserve">보관 CP02 실험은 2026년 8월 16일 12 UTC에 초기화된 OFF 대조군과 HYDRO·LIQUID 후보군이다. 세 실험의 변경에는 여러 초기장 성분이 포함되므로 특정 성분의 단독 효과로 해석하지 않는다. 서로 같은 3,688개 지리 평가점에서 모델 강수 누적치</w:t>
      </w:r>
      <w:r>
        <w:t xml:space="preserve"> </w:t>
      </w:r>
      <m:oMath>
        <m:sSub>
          <m:e>
            <m:r>
              <m:t>P</m:t>
            </m:r>
          </m:e>
          <m:sub>
            <m:r>
              <m:t>c</m:t>
            </m:r>
          </m:sub>
        </m:sSub>
        <m:r>
          <m:rPr>
            <m:sty m:val="p"/>
          </m:rPr>
          <m:t>=</m:t>
        </m:r>
        <m:r>
          <m:rPr>
            <m:sty m:val="p"/>
          </m:rPr>
          <m:t>R</m:t>
        </m:r>
        <m:r>
          <m:rPr>
            <m:sty m:val="p"/>
          </m:rPr>
          <m:t>A</m:t>
        </m:r>
        <m:r>
          <m:rPr>
            <m:sty m:val="p"/>
          </m:rPr>
          <m:t>I</m:t>
        </m:r>
        <m:r>
          <m:rPr>
            <m:sty m:val="p"/>
          </m:rPr>
          <m:t>N</m:t>
        </m:r>
        <m:r>
          <m:rPr>
            <m:sty m:val="p"/>
          </m:rPr>
          <m:t>C</m:t>
        </m:r>
        <m:r>
          <m:rPr>
            <m:sty m:val="p"/>
          </m:rPr>
          <m:t>+</m:t>
        </m:r>
        <m:r>
          <m:rPr>
            <m:sty m:val="p"/>
          </m:rPr>
          <m:t>R</m:t>
        </m:r>
        <m:r>
          <m:rPr>
            <m:sty m:val="p"/>
          </m:rPr>
          <m:t>A</m:t>
        </m:r>
        <m:r>
          <m:rPr>
            <m:sty m:val="p"/>
          </m:rPr>
          <m:t>I</m:t>
        </m:r>
        <m:r>
          <m:rPr>
            <m:sty m:val="p"/>
          </m:rPr>
          <m:t>N</m:t>
        </m:r>
        <m:r>
          <m:rPr>
            <m:sty m:val="p"/>
          </m:rPr>
          <m:t>N</m:t>
        </m:r>
        <m:r>
          <m:rPr>
            <m:sty m:val="p"/>
          </m:rPr>
          <m:t>C</m:t>
        </m:r>
      </m:oMath>
      <w:r>
        <w:t xml:space="preserve">의 인접 시각 차이</w:t>
      </w:r>
      <w:r>
        <w:t xml:space="preserve"> </w:t>
      </w:r>
      <m:oMath>
        <m:sSub>
          <m:e>
            <m:r>
              <m:t>P</m:t>
            </m:r>
          </m:e>
          <m:sub>
            <m:r>
              <m:t>h</m:t>
            </m:r>
          </m:sub>
        </m:sSub>
        <m:r>
          <m:rPr>
            <m:sty m:val="p"/>
          </m:rPr>
          <m:t>=</m:t>
        </m:r>
        <m:sSub>
          <m:e>
            <m:r>
              <m:t>P</m:t>
            </m:r>
          </m:e>
          <m:sub>
            <m:r>
              <m:t>c</m:t>
            </m:r>
          </m:sub>
        </m:sSub>
        <m:r>
          <m:rPr>
            <m:sty m:val="p"/>
          </m:rPr>
          <m:t>(</m:t>
        </m:r>
        <m:sSub>
          <m:e>
            <m:r>
              <m:t>t</m:t>
            </m:r>
          </m:e>
          <m:sub>
            <m:r>
              <m:t>h</m:t>
            </m:r>
          </m:sub>
        </m:sSub>
        <m:r>
          <m:rPr>
            <m:sty m:val="p"/>
          </m:rPr>
          <m:t>)</m:t>
        </m:r>
        <m:r>
          <m:rPr>
            <m:sty m:val="p"/>
          </m:rPr>
          <m:t>−</m:t>
        </m:r>
        <m:sSub>
          <m:e>
            <m:r>
              <m:t>P</m:t>
            </m:r>
          </m:e>
          <m:sub>
            <m:r>
              <m:t>c</m:t>
            </m:r>
          </m:sub>
        </m:sSub>
        <m:r>
          <m:rPr>
            <m:sty m:val="p"/>
          </m:rPr>
          <m:t>(</m:t>
        </m:r>
        <m:sSub>
          <m:e>
            <m:r>
              <m:t>t</m:t>
            </m:r>
          </m:e>
          <m:sub>
            <m:r>
              <m:t>h</m:t>
            </m:r>
            <m:r>
              <m:rPr>
                <m:sty m:val="p"/>
              </m:rPr>
              <m:t>−</m:t>
            </m:r>
            <m:r>
              <m:t>1</m:t>
            </m:r>
          </m:sub>
        </m:sSub>
        <m:r>
          <m:rPr>
            <m:sty m:val="p"/>
          </m:rPr>
          <m:t>)</m:t>
        </m:r>
      </m:oMath>
      <w:r>
        <w:t xml:space="preserve">를 RN1의 해당 1시간 분석과 비교했다. 누적 초기화·reset·단위와 시간은 기존 검증에서 검사했다. RN1은 레이더·AWS 및 추가 처리를 거친 분석장이다. 0.1, 0.5, 1, 2.5, 5, 10 mm의 문턱값 이상을 사건으로 정의하고 +1~+6시간을 각각 평가했다. 6시간 누적 검증과는 다른 지표다.</w:t>
      </w:r>
      <w:r>
        <w:t xml:space="preserve"> </w:t>
      </w:r>
      <w:hyperlink r:id="rId15">
        <w:r>
          <w:rPr>
            <w:rStyle w:val="Hyperlink"/>
          </w:rPr>
          <w:t xml:space="preserve">자료·계산</w:t>
        </w:r>
      </w:hyperlink>
    </w:p>
    <w:p>
      <w:pPr>
        <w:pStyle w:val="BodyText"/>
      </w:pPr>
      <w:r>
        <w:t xml:space="preserve">모델 값을 평가점</w:t>
      </w:r>
      <w:r>
        <w:t xml:space="preserve"> </w:t>
      </w:r>
      <m:oMath>
        <m:r>
          <m:t>x</m:t>
        </m:r>
      </m:oMath>
      <w:r>
        <w:t xml:space="preserve">로 옮기는 네 모서리 bilinear 연산은</w:t>
      </w:r>
      <w:r>
        <w:t xml:space="preserve"> </w:t>
      </w:r>
      <m:oMath>
        <m:r>
          <m:t>P</m:t>
        </m:r>
        <m:r>
          <m:rPr>
            <m:sty m:val="p"/>
          </m:rPr>
          <m:t>(</m:t>
        </m:r>
        <m:r>
          <m:t>x</m:t>
        </m:r>
        <m:r>
          <m:rPr>
            <m:sty m:val="p"/>
          </m:rPr>
          <m:t>)</m:t>
        </m:r>
        <m:r>
          <m:rPr>
            <m:sty m:val="p"/>
          </m:rPr>
          <m:t>=</m:t>
        </m:r>
        <m:nary>
          <m:naryPr>
            <m:chr m:val="∑"/>
            <m:limLoc m:val="undOvr"/>
            <m:subHide m:val="off"/>
            <m:supHide m:val="off"/>
          </m:naryPr>
          <m:sub>
            <m:r>
              <m:t>j</m:t>
            </m:r>
            <m:r>
              <m:rPr>
                <m:sty m:val="p"/>
              </m:rPr>
              <m:t>=</m:t>
            </m:r>
            <m:r>
              <m:t>1</m:t>
            </m:r>
          </m:sub>
          <m:sup>
            <m:r>
              <m:t>4</m:t>
            </m:r>
          </m:sup>
          <m:e>
            <m:sSub>
              <m:e>
                <m:r>
                  <m:t>w</m:t>
                </m:r>
              </m:e>
              <m:sub>
                <m:r>
                  <m:t>j</m:t>
                </m:r>
              </m:sub>
            </m:sSub>
          </m:e>
        </m:nary>
        <m:sSub>
          <m:e>
            <m:r>
              <m:t>P</m:t>
            </m:r>
          </m:e>
          <m:sub>
            <m:r>
              <m:t>j</m:t>
            </m:r>
          </m:sub>
        </m:sSub>
      </m:oMath>
      <w:r>
        <w:t xml:space="preserve">,</w:t>
      </w:r>
      <w:r>
        <w:t xml:space="preserve"> </w:t>
      </w:r>
      <m:oMath>
        <m:sSub>
          <m:e>
            <m:r>
              <m:t>w</m:t>
            </m:r>
          </m:e>
          <m:sub>
            <m:r>
              <m:t>j</m:t>
            </m:r>
          </m:sub>
        </m:sSub>
        <m:r>
          <m:rPr>
            <m:sty m:val="p"/>
          </m:rPr>
          <m:t>≥</m:t>
        </m:r>
        <m:r>
          <m:t>0</m:t>
        </m:r>
      </m:oMath>
      <w:r>
        <w:t xml:space="preserve">,</w:t>
      </w:r>
      <w:r>
        <w:t xml:space="preserve"> </w:t>
      </w:r>
      <m:oMath>
        <m:nary>
          <m:naryPr>
            <m:chr m:val="∑"/>
            <m:limLoc m:val="undOvr"/>
            <m:subHide m:val="off"/>
            <m:supHide m:val="on"/>
          </m:naryPr>
          <m:sub>
            <m:r>
              <m:t>j</m:t>
            </m:r>
          </m:sub>
          <m:sup>
            <m:r>
              <m:t>​</m:t>
            </m:r>
          </m:sup>
          <m:e>
            <m:sSub>
              <m:e>
                <m:r>
                  <m:t>w</m:t>
                </m:r>
              </m:e>
              <m:sub>
                <m:r>
                  <m:t>j</m:t>
                </m:r>
              </m:sub>
            </m:sSub>
          </m:e>
        </m:nary>
        <m:r>
          <m:rPr>
            <m:sty m:val="p"/>
          </m:rPr>
          <m:t>=</m:t>
        </m:r>
        <m:r>
          <m:t>1</m:t>
        </m:r>
      </m:oMath>
      <w:r>
        <w:t xml:space="preserve">이다. 고정된 유효 stencil과 가중치를 쓰면 누적 강수의 보간과 시간 차분은 순서를 바꾸어도 같지만, 임계값 분류는 평균과 교환할 수 없어 보간 후에 수행한다. RN1의 5×5 최댓값 연산도 비선형이며 모델 보간과 공간 대표 범위가 다르다.</w:t>
      </w:r>
    </w:p>
    <w:p>
      <w:pPr>
        <w:pStyle w:val="BodyText"/>
      </w:pPr>
      <w:r>
        <w:t xml:space="preserve">적중</w:t>
      </w:r>
      <w:r>
        <w:t xml:space="preserve"> </w:t>
      </w:r>
      <m:oMath>
        <m:r>
          <m:t>H</m:t>
        </m:r>
      </m:oMath>
      <w:r>
        <w:t xml:space="preserve">, 미탐지</w:t>
      </w:r>
      <w:r>
        <w:t xml:space="preserve"> </w:t>
      </w:r>
      <m:oMath>
        <m:r>
          <m:t>M</m:t>
        </m:r>
      </m:oMath>
      <w:r>
        <w:t xml:space="preserve">, 오경보</w:t>
      </w:r>
      <w:r>
        <w:t xml:space="preserve"> </w:t>
      </w:r>
      <m:oMath>
        <m:r>
          <m:t>F</m:t>
        </m:r>
      </m:oMath>
      <w:r>
        <w:t xml:space="preserve">를 사용하면</w:t>
      </w:r>
    </w:p>
    <w:p>
      <w:pPr>
        <w:pStyle w:val="BodyText"/>
      </w:pPr>
      <m:oMathPara>
        <m:oMathParaPr>
          <m:jc m:val="center"/>
        </m:oMathParaPr>
        <m:oMath>
          <m:r>
            <m:rPr>
              <m:sty m:val="p"/>
            </m:rPr>
            <m:t>C</m:t>
          </m:r>
          <m:r>
            <m:rPr>
              <m:sty m:val="p"/>
            </m:rPr>
            <m:t>S</m:t>
          </m:r>
          <m:r>
            <m:rPr>
              <m:sty m:val="p"/>
            </m:rPr>
            <m:t>I</m:t>
          </m:r>
          <m:r>
            <m:rPr>
              <m:sty m:val="p"/>
            </m:rPr>
            <m:t>=</m:t>
          </m:r>
          <m:f>
            <m:fPr>
              <m:type m:val="bar"/>
            </m:fPr>
            <m:num>
              <m:r>
                <m:t>H</m:t>
              </m:r>
            </m:num>
            <m:den>
              <m:r>
                <m:t>H</m:t>
              </m:r>
              <m:r>
                <m:rPr>
                  <m:sty m:val="p"/>
                </m:rPr>
                <m:t>+</m:t>
              </m:r>
              <m:r>
                <m:t>M</m:t>
              </m:r>
              <m:r>
                <m:rPr>
                  <m:sty m:val="p"/>
                </m:rPr>
                <m:t>+</m:t>
              </m:r>
              <m:r>
                <m:t>F</m:t>
              </m:r>
            </m:den>
          </m:f>
          <m:r>
            <m:rPr>
              <m:sty m:val="p"/>
            </m:rPr>
            <m:t>,</m:t>
          </m:r>
          <m:r>
            <m:t> </m:t>
          </m:r>
          <m:r>
            <m:rPr>
              <m:sty m:val="p"/>
            </m:rPr>
            <m:t>P</m:t>
          </m:r>
          <m:r>
            <m:rPr>
              <m:sty m:val="p"/>
            </m:rPr>
            <m:t>O</m:t>
          </m:r>
          <m:r>
            <m:rPr>
              <m:sty m:val="p"/>
            </m:rPr>
            <m:t>D</m:t>
          </m:r>
          <m:r>
            <m:rPr>
              <m:sty m:val="p"/>
            </m:rPr>
            <m:t>=</m:t>
          </m:r>
          <m:f>
            <m:fPr>
              <m:type m:val="bar"/>
            </m:fPr>
            <m:num>
              <m:r>
                <m:t>H</m:t>
              </m:r>
            </m:num>
            <m:den>
              <m:r>
                <m:t>H</m:t>
              </m:r>
              <m:r>
                <m:rPr>
                  <m:sty m:val="p"/>
                </m:rPr>
                <m:t>+</m:t>
              </m:r>
              <m:r>
                <m:t>M</m:t>
              </m:r>
            </m:den>
          </m:f>
          <m:r>
            <m:rPr>
              <m:sty m:val="p"/>
            </m:rPr>
            <m:t>,</m:t>
          </m:r>
          <m:r>
            <m:t> </m:t>
          </m:r>
          <m:r>
            <m:rPr>
              <m:sty m:val="p"/>
            </m:rPr>
            <m:t>F</m:t>
          </m:r>
          <m:r>
            <m:rPr>
              <m:sty m:val="p"/>
            </m:rPr>
            <m:t>A</m:t>
          </m:r>
          <m:r>
            <m:rPr>
              <m:sty m:val="p"/>
            </m:rPr>
            <m:t>R</m:t>
          </m:r>
          <m:r>
            <m:rPr>
              <m:sty m:val="p"/>
            </m:rPr>
            <m:t>=</m:t>
          </m:r>
          <m:f>
            <m:fPr>
              <m:type m:val="bar"/>
            </m:fPr>
            <m:num>
              <m:r>
                <m:t>F</m:t>
              </m:r>
            </m:num>
            <m:den>
              <m:r>
                <m:t>H</m:t>
              </m:r>
              <m:r>
                <m:rPr>
                  <m:sty m:val="p"/>
                </m:rPr>
                <m:t>+</m:t>
              </m:r>
              <m:r>
                <m:t>F</m:t>
              </m:r>
            </m:den>
          </m:f>
          <m:r>
            <m:rPr>
              <m:sty m:val="p"/>
            </m:rPr>
            <m:t>,</m:t>
          </m:r>
          <m:r>
            <m:t> </m:t>
          </m:r>
          <m:r>
            <m:rPr>
              <m:sty m:val="p"/>
            </m:rPr>
            <m:t>B</m:t>
          </m:r>
          <m:r>
            <m:rPr>
              <m:sty m:val="p"/>
            </m:rPr>
            <m:t>i</m:t>
          </m:r>
          <m:r>
            <m:rPr>
              <m:sty m:val="p"/>
            </m:rPr>
            <m:t>a</m:t>
          </m:r>
          <m:r>
            <m:rPr>
              <m:sty m:val="p"/>
            </m:rPr>
            <m:t>s</m:t>
          </m:r>
          <m:r>
            <m:rPr>
              <m:sty m:val="p"/>
            </m:rPr>
            <m:t>=</m:t>
          </m:r>
          <m:f>
            <m:fPr>
              <m:type m:val="bar"/>
            </m:fPr>
            <m:num>
              <m:r>
                <m:t>H</m:t>
              </m:r>
              <m:r>
                <m:rPr>
                  <m:sty m:val="p"/>
                </m:rPr>
                <m:t>+</m:t>
              </m:r>
              <m:r>
                <m:t>F</m:t>
              </m:r>
            </m:num>
            <m:den>
              <m:r>
                <m:t>H</m:t>
              </m:r>
              <m:r>
                <m:rPr>
                  <m:sty m:val="p"/>
                </m:rPr>
                <m:t>+</m:t>
              </m:r>
              <m:r>
                <m:t>M</m:t>
              </m:r>
            </m:den>
          </m:f>
          <m:r>
            <m:rPr>
              <m:sty m:val="p"/>
            </m:rPr>
            <m:t>.</m:t>
          </m:r>
        </m:oMath>
      </m:oMathPara>
    </w:p>
    <w:p>
      <w:pPr>
        <w:pStyle w:val="FirstParagraph"/>
      </w:pPr>
      <w:r>
        <w:t xml:space="preserve">식 (2).</w:t>
      </w:r>
    </w:p>
    <w:p>
      <w:pPr>
        <w:pStyle w:val="BodyText"/>
      </w:pPr>
      <w:r>
        <w:t xml:space="preserve">전체 공통 유효 표본을</w:t>
      </w:r>
      <w:r>
        <w:t xml:space="preserve"> </w:t>
      </w:r>
      <m:oMath>
        <m:r>
          <m:t>N</m:t>
        </m:r>
      </m:oMath>
      <w:r>
        <w:t xml:space="preserve">이라 하면 우연 적중 기대수와 ETS는</w:t>
      </w:r>
    </w:p>
    <w:p>
      <w:pPr>
        <w:pStyle w:val="BodyText"/>
      </w:pPr>
      <m:oMathPara>
        <m:oMathParaPr>
          <m:jc m:val="center"/>
        </m:oMathParaPr>
        <m:oMath>
          <m:sSub>
            <m:e>
              <m:r>
                <m:t>H</m:t>
              </m:r>
            </m:e>
            <m:sub>
              <m:r>
                <m:rPr>
                  <m:sty m:val="p"/>
                </m:rPr>
                <m:t>r</m:t>
              </m:r>
              <m:r>
                <m:rPr>
                  <m:sty m:val="p"/>
                </m:rPr>
                <m:t>a</m:t>
              </m:r>
              <m:r>
                <m:rPr>
                  <m:sty m:val="p"/>
                </m:rPr>
                <m:t>n</m:t>
              </m:r>
              <m:r>
                <m:rPr>
                  <m:sty m:val="p"/>
                </m:rPr>
                <m:t>d</m:t>
              </m:r>
            </m:sub>
          </m:sSub>
          <m:r>
            <m:rPr>
              <m:sty m:val="p"/>
            </m:rPr>
            <m:t>=</m:t>
          </m:r>
          <m:f>
            <m:fPr>
              <m:type m:val="bar"/>
            </m:fPr>
            <m:num>
              <m:r>
                <m:rPr>
                  <m:sty m:val="p"/>
                </m:rPr>
                <m:t>(</m:t>
              </m:r>
              <m:r>
                <m:t>H</m:t>
              </m:r>
              <m:r>
                <m:rPr>
                  <m:sty m:val="p"/>
                </m:rPr>
                <m:t>+</m:t>
              </m:r>
              <m:r>
                <m:t>M</m:t>
              </m:r>
              <m:r>
                <m:rPr>
                  <m:sty m:val="p"/>
                </m:rPr>
                <m:t>)</m:t>
              </m:r>
              <m:r>
                <m:rPr>
                  <m:sty m:val="p"/>
                </m:rPr>
                <m:t>(</m:t>
              </m:r>
              <m:r>
                <m:t>H</m:t>
              </m:r>
              <m:r>
                <m:rPr>
                  <m:sty m:val="p"/>
                </m:rPr>
                <m:t>+</m:t>
              </m:r>
              <m:r>
                <m:t>F</m:t>
              </m:r>
              <m:r>
                <m:rPr>
                  <m:sty m:val="p"/>
                </m:rPr>
                <m:t>)</m:t>
              </m:r>
            </m:num>
            <m:den>
              <m:r>
                <m:t>N</m:t>
              </m:r>
            </m:den>
          </m:f>
          <m:r>
            <m:rPr>
              <m:sty m:val="p"/>
            </m:rPr>
            <m:t>,</m:t>
          </m:r>
          <m:r>
            <m:t>  </m:t>
          </m:r>
          <m:r>
            <m:rPr>
              <m:sty m:val="p"/>
            </m:rPr>
            <m:t>E</m:t>
          </m:r>
          <m:r>
            <m:rPr>
              <m:sty m:val="p"/>
            </m:rPr>
            <m:t>T</m:t>
          </m:r>
          <m:r>
            <m:rPr>
              <m:sty m:val="p"/>
            </m:rPr>
            <m:t>S</m:t>
          </m:r>
          <m:r>
            <m:rPr>
              <m:sty m:val="p"/>
            </m:rPr>
            <m:t>=</m:t>
          </m:r>
          <m:f>
            <m:fPr>
              <m:type m:val="bar"/>
            </m:fPr>
            <m:num>
              <m:r>
                <m:t>H</m:t>
              </m:r>
              <m:r>
                <m:rPr>
                  <m:sty m:val="p"/>
                </m:rPr>
                <m:t>−</m:t>
              </m:r>
              <m:sSub>
                <m:e>
                  <m:r>
                    <m:t>H</m:t>
                  </m:r>
                </m:e>
                <m:sub>
                  <m:r>
                    <m:rPr>
                      <m:sty m:val="p"/>
                    </m:rPr>
                    <m:t>r</m:t>
                  </m:r>
                  <m:r>
                    <m:rPr>
                      <m:sty m:val="p"/>
                    </m:rPr>
                    <m:t>a</m:t>
                  </m:r>
                  <m:r>
                    <m:rPr>
                      <m:sty m:val="p"/>
                    </m:rPr>
                    <m:t>n</m:t>
                  </m:r>
                  <m:r>
                    <m:rPr>
                      <m:sty m:val="p"/>
                    </m:rPr>
                    <m:t>d</m:t>
                  </m:r>
                </m:sub>
              </m:sSub>
            </m:num>
            <m:den>
              <m:r>
                <m:t>H</m:t>
              </m:r>
              <m:r>
                <m:rPr>
                  <m:sty m:val="p"/>
                </m:rPr>
                <m:t>+</m:t>
              </m:r>
              <m:r>
                <m:t>M</m:t>
              </m:r>
              <m:r>
                <m:rPr>
                  <m:sty m:val="p"/>
                </m:rPr>
                <m:t>+</m:t>
              </m:r>
              <m:r>
                <m:t>F</m:t>
              </m:r>
              <m:r>
                <m:rPr>
                  <m:sty m:val="p"/>
                </m:rPr>
                <m:t>−</m:t>
              </m:r>
              <m:sSub>
                <m:e>
                  <m:r>
                    <m:t>H</m:t>
                  </m:r>
                </m:e>
                <m:sub>
                  <m:r>
                    <m:rPr>
                      <m:sty m:val="p"/>
                    </m:rPr>
                    <m:t>r</m:t>
                  </m:r>
                  <m:r>
                    <m:rPr>
                      <m:sty m:val="p"/>
                    </m:rPr>
                    <m:t>a</m:t>
                  </m:r>
                  <m:r>
                    <m:rPr>
                      <m:sty m:val="p"/>
                    </m:rPr>
                    <m:t>n</m:t>
                  </m:r>
                  <m:r>
                    <m:rPr>
                      <m:sty m:val="p"/>
                    </m:rPr>
                    <m:t>d</m:t>
                  </m:r>
                </m:sub>
              </m:sSub>
            </m:den>
          </m:f>
          <m:r>
            <m:rPr>
              <m:sty m:val="p"/>
            </m:rPr>
            <m:t>.</m:t>
          </m:r>
        </m:oMath>
      </m:oMathPara>
    </w:p>
    <w:p>
      <w:pPr>
        <w:pStyle w:val="FirstParagraph"/>
      </w:pPr>
      <w:r>
        <w:t xml:space="preserve">식 (3).</w:t>
      </w:r>
    </w:p>
    <w:p>
      <w:pPr>
        <w:pStyle w:val="BodyText"/>
      </w:pPr>
      <w:r>
        <w:t xml:space="preserve">연속 강수량에 대해서 모델 예측</w:t>
      </w:r>
      <w:r>
        <w:t xml:space="preserve"> </w:t>
      </w:r>
      <m:oMath>
        <m:sSub>
          <m:e>
            <m:r>
              <m:t>f</m:t>
            </m:r>
          </m:e>
          <m:sub>
            <m:r>
              <m:t>i</m:t>
            </m:r>
          </m:sub>
        </m:sSub>
      </m:oMath>
      <w:r>
        <w:t xml:space="preserve">, RN1 참조</w:t>
      </w:r>
      <w:r>
        <w:t xml:space="preserve"> </w:t>
      </w:r>
      <m:oMath>
        <m:sSub>
          <m:e>
            <m:r>
              <m:t>o</m:t>
            </m:r>
          </m:e>
          <m:sub>
            <m:r>
              <m:t>i</m:t>
            </m:r>
          </m:sub>
        </m:sSub>
      </m:oMath>
      <w:r>
        <w:t xml:space="preserve">의 오차</w:t>
      </w:r>
      <w:r>
        <w:t xml:space="preserve"> </w:t>
      </w:r>
      <m:oMath>
        <m:sSub>
          <m:e>
            <m:r>
              <m:t>e</m:t>
            </m:r>
          </m:e>
          <m:sub>
            <m:r>
              <m:t>i</m:t>
            </m:r>
          </m:sub>
        </m:sSub>
        <m:r>
          <m:rPr>
            <m:sty m:val="p"/>
          </m:rPr>
          <m:t>=</m:t>
        </m:r>
        <m:sSub>
          <m:e>
            <m:r>
              <m:t>f</m:t>
            </m:r>
          </m:e>
          <m:sub>
            <m:r>
              <m:t>i</m:t>
            </m:r>
          </m:sub>
        </m:sSub>
        <m:r>
          <m:rPr>
            <m:sty m:val="p"/>
          </m:rPr>
          <m:t>−</m:t>
        </m:r>
        <m:sSub>
          <m:e>
            <m:r>
              <m:t>o</m:t>
            </m:r>
          </m:e>
          <m:sub>
            <m:r>
              <m:t>i</m:t>
            </m:r>
          </m:sub>
        </m:sSub>
      </m:oMath>
      <w:r>
        <w:t xml:space="preserve">를 사용한다. 평균오차 ME, 평균절대오차 MAE, 평균제곱근오차 RMSE는</w:t>
      </w:r>
    </w:p>
    <w:p>
      <w:pPr>
        <w:pStyle w:val="BodyText"/>
      </w:pPr>
      <m:oMathPara>
        <m:oMathParaPr>
          <m:jc m:val="center"/>
        </m:oMathParaPr>
        <m:oMath>
          <m:r>
            <m:rPr>
              <m:sty m:val="p"/>
            </m:rPr>
            <m:t>M</m:t>
          </m:r>
          <m:r>
            <m:rPr>
              <m:sty m:val="p"/>
            </m:rPr>
            <m:t>E</m:t>
          </m:r>
          <m:r>
            <m:rPr>
              <m:sty m:val="p"/>
            </m:rPr>
            <m:t>=</m:t>
          </m:r>
          <m:f>
            <m:fPr>
              <m:type m:val="bar"/>
            </m:fPr>
            <m:num>
              <m:r>
                <m:t>1</m:t>
              </m:r>
            </m:num>
            <m:den>
              <m:r>
                <m:t>N</m:t>
              </m:r>
            </m:den>
          </m:f>
          <m:nary>
            <m:naryPr>
              <m:chr m:val="∑"/>
              <m:limLoc m:val="undOvr"/>
              <m:subHide m:val="off"/>
              <m:supHide m:val="on"/>
            </m:naryPr>
            <m:sub>
              <m:r>
                <m:t>i</m:t>
              </m:r>
            </m:sub>
            <m:sup>
              <m:r>
                <m:t>​</m:t>
              </m:r>
            </m:sup>
            <m:e>
              <m:sSub>
                <m:e>
                  <m:r>
                    <m:t>e</m:t>
                  </m:r>
                </m:e>
                <m:sub>
                  <m:r>
                    <m:t>i</m:t>
                  </m:r>
                </m:sub>
              </m:sSub>
            </m:e>
          </m:nary>
          <m:r>
            <m:rPr>
              <m:sty m:val="p"/>
            </m:rPr>
            <m:t>,</m:t>
          </m:r>
          <m:r>
            <m:t> </m:t>
          </m:r>
          <m:r>
            <m:rPr>
              <m:sty m:val="p"/>
            </m:rPr>
            <m:t>M</m:t>
          </m:r>
          <m:r>
            <m:rPr>
              <m:sty m:val="p"/>
            </m:rPr>
            <m:t>A</m:t>
          </m:r>
          <m:r>
            <m:rPr>
              <m:sty m:val="p"/>
            </m:rPr>
            <m:t>E</m:t>
          </m:r>
          <m:r>
            <m:rPr>
              <m:sty m:val="p"/>
            </m:rPr>
            <m:t>=</m:t>
          </m:r>
          <m:f>
            <m:fPr>
              <m:type m:val="bar"/>
            </m:fPr>
            <m:num>
              <m:r>
                <m:t>1</m:t>
              </m:r>
            </m:num>
            <m:den>
              <m:r>
                <m:t>N</m:t>
              </m:r>
            </m:den>
          </m:f>
          <m:nary>
            <m:naryPr>
              <m:chr m:val="∑"/>
              <m:limLoc m:val="undOvr"/>
              <m:subHide m:val="off"/>
              <m:supHide m:val="on"/>
            </m:naryPr>
            <m:sub>
              <m:r>
                <m:t>i</m:t>
              </m:r>
            </m:sub>
            <m:sup>
              <m:r>
                <m:t>​</m:t>
              </m:r>
            </m:sup>
            <m:e>
              <m:rad>
                <m:radPr>
                  <m:degHide m:val="on"/>
                </m:radPr>
                <m:deg/>
                <m:e>
                  <m:sSubSup>
                    <m:e>
                      <m:r>
                        <m:t>e</m:t>
                      </m:r>
                    </m:e>
                    <m:sub>
                      <m:r>
                        <m:t>i</m:t>
                      </m:r>
                    </m:sub>
                    <m:sup>
                      <m:r>
                        <m:t>2</m:t>
                      </m:r>
                    </m:sup>
                  </m:sSubSup>
                </m:e>
              </m:rad>
            </m:e>
          </m:nary>
          <m:r>
            <m:rPr>
              <m:sty m:val="p"/>
            </m:rPr>
            <m:t>,</m:t>
          </m:r>
          <m:r>
            <m:t> </m:t>
          </m:r>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sSubSup>
                    <m:e>
                      <m:r>
                        <m:t>e</m:t>
                      </m:r>
                    </m:e>
                    <m:sub>
                      <m:r>
                        <m:t>i</m:t>
                      </m:r>
                    </m:sub>
                    <m:sup>
                      <m:r>
                        <m:t>2</m:t>
                      </m:r>
                    </m:sup>
                  </m:sSubSup>
                </m:e>
              </m:nary>
            </m:e>
          </m:rad>
          <m:r>
            <m:rPr>
              <m:sty m:val="p"/>
            </m:rPr>
            <m:t>.</m:t>
          </m:r>
        </m:oMath>
      </m:oMathPara>
    </w:p>
    <w:p>
      <w:pPr>
        <w:pStyle w:val="FirstParagraph"/>
      </w:pPr>
      <w:r>
        <w:t xml:space="preserve">식 (4).</w:t>
      </w:r>
    </w:p>
    <w:p>
      <w:pPr>
        <w:pStyle w:val="BodyText"/>
      </w:pPr>
      <w:r>
        <w:t xml:space="preserve">이들은 1시간 누적 강수량의 오차이므로 단위는 mm이며, 1시간 평균 강수율로 환산하면 수치상 mm h⁻¹와 같다. 양의 ME는 평균 과대예측이다. 동일 평가점에서 후보의 적중 수 변화는 새 적중 수에서 소실 적중 수를 뺀 값, 오경보 수 변화는 새 오경보 수에서 제거 오경보 수를 뺀 값이다. 분모가 0이면 해당 지표는 미정의다. CSI는 사건의 위치 일치를 평가하고, POD와 FAR는 각각 관측 사건의 탐지 비율과 예측 사건 중 오경보 비율을 보여준다. 빈도편향이 1이어도 위치가 맞는다는 뜻은 아니다. POD·FAR·빈도편향의 병행은 WGNE의 추가 진단 권고 [3]와 부합한다. 다만 그 권고의 관측 지원 영역과 신뢰구간 요건은 이 사례에서 아직 충족되지 않았다.</w:t>
      </w:r>
    </w:p>
    <w:p>
      <w:pPr>
        <w:pStyle w:val="BodyText"/>
      </w:pPr>
      <w:r>
        <w:rPr>
          <w:b/>
          <w:bCs/>
        </w:rPr>
        <w:t xml:space="preserve">주 실험인 신규 네 예측:</w:t>
      </w:r>
      <w:r>
        <w:t xml:space="preserve"> </w:t>
      </w:r>
      <w:r>
        <w:t xml:space="preserve">ORIGINAL은 보관된 실제 OFF 초기장(초기장 SHA-256 접두</w:t>
      </w:r>
      <w:r>
        <w:t xml:space="preserve"> </w:t>
      </w:r>
      <w:r>
        <w:rPr>
          <w:rStyle w:val="VerbatimChar"/>
        </w:rPr>
        <w:t xml:space="preserve">5d6b</w:t>
      </w:r>
      <w:r>
        <w:t xml:space="preserve">)을 사용한다. CURRENT_OFF, CURRENT_HYDRO, CURRENT_LIQUID는 현행</w:t>
      </w:r>
      <w:r>
        <w:t xml:space="preserve"> </w:t>
      </w:r>
      <w:r>
        <w:rPr>
          <w:rStyle w:val="VerbatimChar"/>
        </w:rPr>
        <w:t xml:space="preserve">main</w:t>
      </w:r>
      <w:r>
        <w:t xml:space="preserve"> </w:t>
      </w:r>
      <w:r>
        <w:t xml:space="preserve">revision</w:t>
      </w:r>
      <w:r>
        <w:t xml:space="preserve"> </w:t>
      </w:r>
      <w:r>
        <w:rPr>
          <w:rStyle w:val="VerbatimChar"/>
        </w:rPr>
        <w:t xml:space="preserve">a63a802</w:t>
      </w:r>
      <w:r>
        <w:t xml:space="preserve">에서 pinned Intel O2 LAPSPREP으로 새 초기장을 생성한다. 네 적분은 동일한 보관 WRF 실행파일(SHA-256 접두</w:t>
      </w:r>
      <w:r>
        <w:t xml:space="preserve"> </w:t>
      </w:r>
      <w:r>
        <w:rPr>
          <w:rStyle w:val="VerbatimChar"/>
        </w:rPr>
        <w:t xml:space="preserve">de110a</w:t>
      </w:r>
      <w:r>
        <w:t xml:space="preserve">), 경계장, 20초 시간 간격, MPI 8 ranks 및 OpenMP 1 thread로 수행한다. 각 실험의 전체 해시, 입력 동일성, 실행 receipt 및 시간별 완주 상태는 실제 기록으로 확인한다. 동일한 WRF 실행 조건이라도 초기장의 작성 경로와 값은 실험 정의에 따라 다르므로 이 네 군의 비교는 각 변경의 단독 효과를 자동으로 분리하지 않는다. 네 예측은 18 UTC까지 완주했다. CURRENT_OFF의 첫 시도는 실행 중 wrapper 변경으로 WRF 반환 코드가 포착되지 않아 실패 시도로 보존하고, 고정 wrapper와 별도 staging의 OFF_RETRY를 정식 결과로 사용했다.</w:t>
      </w:r>
      <w:r>
        <w:t xml:space="preserve"> </w:t>
      </w:r>
      <w:hyperlink r:id="rId16">
        <w:r>
          <w:rPr>
            <w:rStyle w:val="Hyperlink"/>
          </w:rPr>
          <w:t xml:space="preserve">실행 계보</w:t>
        </w:r>
      </w:hyperlink>
      <w:r>
        <w:t xml:space="preserve">. 과거 CP02와 미완료 C2는 별도다.</w:t>
      </w:r>
    </w:p>
    <w:p>
      <w:pPr>
        <w:pStyle w:val="BodyText"/>
      </w:pPr>
      <w:r>
        <w:t xml:space="preserve">네 적분의 고정 namelist는 수평 격자 간격 5 km, mass 격자 234 × 282 × 39층 (</w:t>
      </w:r>
      <w:r>
        <w:rPr>
          <w:rStyle w:val="VerbatimChar"/>
        </w:rPr>
        <w:t xml:space="preserve">e_we=235</w:t>
      </w:r>
      <w:r>
        <w:t xml:space="preserve">,</w:t>
      </w:r>
      <w:r>
        <w:t xml:space="preserve"> </w:t>
      </w:r>
      <w:r>
        <w:rPr>
          <w:rStyle w:val="VerbatimChar"/>
        </w:rPr>
        <w:t xml:space="preserve">e_sn=283</w:t>
      </w:r>
      <w:r>
        <w:t xml:space="preserve">,</w:t>
      </w:r>
      <w:r>
        <w:t xml:space="preserve"> </w:t>
      </w:r>
      <w:r>
        <w:rPr>
          <w:rStyle w:val="VerbatimChar"/>
        </w:rPr>
        <w:t xml:space="preserve">e_vert=40</w:t>
      </w:r>
      <w:r>
        <w:t xml:space="preserve">), 시간 간격 20초다. 물리 옵션의 코드 값은</w:t>
      </w:r>
      <w:r>
        <w:t xml:space="preserve"> </w:t>
      </w:r>
      <w:r>
        <w:rPr>
          <w:rStyle w:val="VerbatimChar"/>
        </w:rPr>
        <w:t xml:space="preserve">mp_physics=37</w:t>
      </w:r>
      <w:r>
        <w:t xml:space="preserve">,</w:t>
      </w:r>
      <w:r>
        <w:t xml:space="preserve"> </w:t>
      </w:r>
      <w:r>
        <w:rPr>
          <w:rStyle w:val="VerbatimChar"/>
        </w:rPr>
        <w:t xml:space="preserve">cu_physics=37</w:t>
      </w:r>
      <w:r>
        <w:t xml:space="preserve">, 장파·단파 복사 각각 4,</w:t>
      </w:r>
      <w:r>
        <w:t xml:space="preserve"> </w:t>
      </w:r>
      <w:r>
        <w:rPr>
          <w:rStyle w:val="VerbatimChar"/>
        </w:rPr>
        <w:t xml:space="preserve">sf_sfclay_physics=1</w:t>
      </w:r>
      <w:r>
        <w:t xml:space="preserve">,</w:t>
      </w:r>
      <w:r>
        <w:t xml:space="preserve"> </w:t>
      </w:r>
      <w:r>
        <w:rPr>
          <w:rStyle w:val="VerbatimChar"/>
        </w:rPr>
        <w:t xml:space="preserve">sf_surface_physics=2</w:t>
      </w:r>
      <w:r>
        <w:t xml:space="preserve">,</w:t>
      </w:r>
      <w:r>
        <w:t xml:space="preserve"> </w:t>
      </w:r>
      <w:r>
        <w:rPr>
          <w:rStyle w:val="VerbatimChar"/>
        </w:rPr>
        <w:t xml:space="preserve">bl_pbl_physics=11</w:t>
      </w:r>
      <w:r>
        <w:t xml:space="preserve">,</w:t>
      </w:r>
      <w:r>
        <w:t xml:space="preserve"> </w:t>
      </w:r>
      <w:r>
        <w:rPr>
          <w:rStyle w:val="VerbatimChar"/>
        </w:rPr>
        <w:t xml:space="preserve">shcu_physics=0</w:t>
      </w:r>
      <w:r>
        <w:t xml:space="preserve">이다. 이 값에 공식 배포판의 스킴 이름을 임의로 결부하지 않는다. 검증 강수</w:t>
      </w:r>
      <w:r>
        <w:t xml:space="preserve"> </w:t>
      </w:r>
      <w:r>
        <w:rPr>
          <w:rStyle w:val="VerbatimChar"/>
        </w:rPr>
        <w:t xml:space="preserve">RAINC+RAINNC</w:t>
      </w:r>
      <w:r>
        <w:t xml:space="preserve">는 적운 모수화와 격자 규모 강수의 누적을 함께 포함하므로 KDM6 단독 강수 flux가 아니다.</w:t>
      </w:r>
      <w:r>
        <w:t xml:space="preserve"> </w:t>
      </w:r>
      <w:hyperlink r:id="rId16">
        <w:r>
          <w:rPr>
            <w:rStyle w:val="Hyperlink"/>
          </w:rPr>
          <w:t xml:space="preserve">실행 계보</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새 예측</w:t>
            </w:r>
          </w:p>
        </w:tc>
        <w:tc>
          <w:tcPr/>
          <w:p>
            <w:pPr>
              <w:pStyle w:val="Compact"/>
            </w:pPr>
            <w:r>
              <w:t xml:space="preserve">초기장 계보</w:t>
            </w:r>
          </w:p>
        </w:tc>
        <w:tc>
          <w:tcPr/>
          <w:p>
            <w:pPr>
              <w:pStyle w:val="Compact"/>
            </w:pPr>
            <w:r>
              <w:t xml:space="preserve">비교의 의미</w:t>
            </w:r>
          </w:p>
        </w:tc>
      </w:tr>
      <w:tr>
        <w:tc>
          <w:tcPr/>
          <w:p>
            <w:pPr>
              <w:pStyle w:val="Compact"/>
            </w:pPr>
            <w:r>
              <w:t xml:space="preserve">ORIGINAL</w:t>
            </w:r>
          </w:p>
        </w:tc>
        <w:tc>
          <w:tcPr/>
          <w:p>
            <w:pPr>
              <w:pStyle w:val="Compact"/>
            </w:pPr>
            <w:r>
              <w:t xml:space="preserve">보관 전체 235개 레코드 OFF WPS (</w:t>
            </w:r>
            <w:r>
              <w:rPr>
                <w:rStyle w:val="VerbatimChar"/>
              </w:rPr>
              <w:t xml:space="preserve">3c82af</w:t>
            </w:r>
            <w:r>
              <w:t xml:space="preserve">)와</w:t>
            </w:r>
            <w:r>
              <w:t xml:space="preserve"> </w:t>
            </w:r>
            <w:r>
              <w:rPr>
                <w:rStyle w:val="VerbatimChar"/>
              </w:rPr>
              <w:t xml:space="preserve">real.exe</w:t>
            </w:r>
            <w:r>
              <w:t xml:space="preserve"> </w:t>
            </w:r>
            <w:r>
              <w:t xml:space="preserve">(</w:t>
            </w:r>
            <w:r>
              <w:rPr>
                <w:rStyle w:val="VerbatimChar"/>
              </w:rPr>
              <w:t xml:space="preserve">5e94804f</w:t>
            </w:r>
            <w:r>
              <w:t xml:space="preserve">)로 생성한 실제 초기장</w:t>
            </w:r>
          </w:p>
        </w:tc>
        <w:tc>
          <w:tcPr/>
          <w:p>
            <w:pPr>
              <w:pStyle w:val="Compact"/>
            </w:pPr>
            <w:r>
              <w:t xml:space="preserve">현행 전처리와 원본 초기장의 전체 차이를 포함하는 기준</w:t>
            </w:r>
          </w:p>
        </w:tc>
      </w:tr>
      <w:tr>
        <w:tc>
          <w:tcPr/>
          <w:p>
            <w:pPr>
              <w:pStyle w:val="Compact"/>
            </w:pPr>
            <w:r>
              <w:t xml:space="preserve">CURRENT_OFF</w:t>
            </w:r>
          </w:p>
        </w:tc>
        <w:tc>
          <w:tcPr/>
          <w:p>
            <w:pPr>
              <w:pStyle w:val="Compact"/>
            </w:pPr>
            <w:r>
              <w:t xml:space="preserve">현행 소스의 적은 레코드 vapor/OFF WPS (</w:t>
            </w:r>
            <w:r>
              <w:rPr>
                <w:rStyle w:val="VerbatimChar"/>
              </w:rPr>
              <w:t xml:space="preserve">2d52d</w:t>
            </w:r>
            <w:r>
              <w:t xml:space="preserve">)와</w:t>
            </w:r>
            <w:r>
              <w:t xml:space="preserve"> </w:t>
            </w:r>
            <w:r>
              <w:rPr>
                <w:rStyle w:val="VerbatimChar"/>
              </w:rPr>
              <w:t xml:space="preserve">real.exe</w:t>
            </w:r>
            <w:r>
              <w:t xml:space="preserve"> </w:t>
            </w:r>
            <w:r>
              <w:t xml:space="preserve">(</w:t>
            </w:r>
            <w:r>
              <w:rPr>
                <w:rStyle w:val="VerbatimChar"/>
              </w:rPr>
              <w:t xml:space="preserve">58118b30</w:t>
            </w:r>
            <w:r>
              <w:t xml:space="preserve">)로 새로 생성</w:t>
            </w:r>
          </w:p>
        </w:tc>
        <w:tc>
          <w:tcPr/>
          <w:p>
            <w:pPr>
              <w:pStyle w:val="Compact"/>
            </w:pPr>
            <w:r>
              <w:t xml:space="preserve">현행 HYDRO·LIQUID 분기 비교의 대응 대조군</w:t>
            </w:r>
          </w:p>
        </w:tc>
      </w:tr>
      <w:tr>
        <w:tc>
          <w:tcPr/>
          <w:p>
            <w:pPr>
              <w:pStyle w:val="Compact"/>
            </w:pPr>
            <w:r>
              <w:t xml:space="preserve">CURRENT_HYDRO</w:t>
            </w:r>
          </w:p>
        </w:tc>
        <w:tc>
          <w:tcPr/>
          <w:p>
            <w:pPr>
              <w:pStyle w:val="Compact"/>
            </w:pPr>
            <w:r>
              <w:t xml:space="preserve">현행 HYDRO WPS 및 같은 현행</w:t>
            </w:r>
            <w:r>
              <w:t xml:space="preserve"> </w:t>
            </w:r>
            <w:r>
              <w:rPr>
                <w:rStyle w:val="VerbatimChar"/>
              </w:rPr>
              <w:t xml:space="preserve">real.exe</w:t>
            </w:r>
            <w:r>
              <w:t xml:space="preserve"> </w:t>
            </w:r>
            <w:r>
              <w:t xml:space="preserve">(</w:t>
            </w:r>
            <w:r>
              <w:rPr>
                <w:rStyle w:val="VerbatimChar"/>
              </w:rPr>
              <w:t xml:space="preserve">58118b30</w:t>
            </w:r>
            <w:r>
              <w:t xml:space="preserve">)로 새로 생성</w:t>
            </w:r>
          </w:p>
        </w:tc>
        <w:tc>
          <w:tcPr/>
          <w:p>
            <w:pPr>
              <w:pStyle w:val="Compact"/>
            </w:pPr>
            <w:r>
              <w:t xml:space="preserve">CURRENT_OFF 대비 후보 모드 비교</w:t>
            </w:r>
          </w:p>
        </w:tc>
      </w:tr>
      <w:tr>
        <w:tc>
          <w:tcPr/>
          <w:p>
            <w:pPr>
              <w:pStyle w:val="Compact"/>
            </w:pPr>
            <w:r>
              <w:t xml:space="preserve">CURRENT_LIQUID</w:t>
            </w:r>
          </w:p>
        </w:tc>
        <w:tc>
          <w:tcPr/>
          <w:p>
            <w:pPr>
              <w:pStyle w:val="Compact"/>
            </w:pPr>
            <w:r>
              <w:t xml:space="preserve">현행 LIQUID WPS 및 같은 현행</w:t>
            </w:r>
            <w:r>
              <w:t xml:space="preserve"> </w:t>
            </w:r>
            <w:r>
              <w:rPr>
                <w:rStyle w:val="VerbatimChar"/>
              </w:rPr>
              <w:t xml:space="preserve">real.exe</w:t>
            </w:r>
            <w:r>
              <w:t xml:space="preserve"> </w:t>
            </w:r>
            <w:r>
              <w:t xml:space="preserve">(</w:t>
            </w:r>
            <w:r>
              <w:rPr>
                <w:rStyle w:val="VerbatimChar"/>
              </w:rPr>
              <w:t xml:space="preserve">58118b30</w:t>
            </w:r>
            <w:r>
              <w:t xml:space="preserve">)로 새로 생성</w:t>
            </w:r>
          </w:p>
        </w:tc>
        <w:tc>
          <w:tcPr/>
          <w:p>
            <w:pPr>
              <w:pStyle w:val="Compact"/>
            </w:pPr>
            <w:r>
              <w:t xml:space="preserve">CURRENT_OFF 대비 후보 모드 비교</w:t>
            </w:r>
          </w:p>
        </w:tc>
      </w:tr>
    </w:tbl>
    <w:p>
      <w:pPr>
        <w:pStyle w:val="BodyText"/>
      </w:pPr>
      <w:r>
        <w:t xml:space="preserve">ORIGINAL과 CURRENT_OFF의 비교에서는 수증기, 구름물, 비, 압력, 온위, MU 및 수평 바람 등 주요 초기장 값이 서로 다르며, 공통 격자 보조장과 명시적으로 확인한 수농도 필드는 일치한다. 따라서 ORIGINAL 대비 차이는 WPS writer와</w:t>
      </w:r>
      <w:r>
        <w:t xml:space="preserve"> </w:t>
      </w:r>
      <w:r>
        <w:rPr>
          <w:rStyle w:val="VerbatimChar"/>
        </w:rPr>
        <w:t xml:space="preserve">real.exe</w:t>
      </w:r>
      <w:r>
        <w:t xml:space="preserve">를 포함한 전처리 전체 변화의 결합 효과다. 현행 HYDRO 또는 LIQUID는 대응 기준 CURRENT_OFF와 비교하지만, 모드별 writer의 수상체 레코드 차이도 포함하므로 개별 물리 매개변수만의 효과로 분리하지 않는다. 소스만 바꾸는 별도의 절제 실험은 없다. 세 CURRENT 초기장은 각각 과거에 보관된 대응 후보 초기장과 바이트 동일하다. 이는 최신 PR이 이 초기장에 새로운 물리적 차이를 만들었다는 증거가 아니며, 그 PR들의 진단 기능이나 예측의 일반 성능을 독립적으로 평가한 결과도 아니다.</w:t>
      </w:r>
      <w:r>
        <w:t xml:space="preserve"> </w:t>
      </w:r>
      <w:hyperlink r:id="rId17">
        <w:r>
          <w:rPr>
            <w:rStyle w:val="Hyperlink"/>
          </w:rPr>
          <w:t xml:space="preserve">초기장 비교</w:t>
        </w:r>
      </w:hyperlink>
      <w:r>
        <w:t xml:space="preserve">.</w:t>
      </w:r>
    </w:p>
    <w:p>
      <w:pPr>
        <w:pStyle w:val="BodyText"/>
      </w:pPr>
      <w:r>
        <w:t xml:space="preserve">전처리의 실행 전후 입력 목록은 사설 복사본의</w:t>
      </w:r>
      <w:r>
        <w:t xml:space="preserve"> </w:t>
      </w:r>
      <w:r>
        <w:rPr>
          <w:rStyle w:val="VerbatimChar"/>
        </w:rPr>
        <w:t xml:space="preserve">static/</w:t>
      </w:r>
      <w:r>
        <w:t xml:space="preserve">과</w:t>
      </w:r>
      <w:r>
        <w:t xml:space="preserve"> </w:t>
      </w:r>
      <w:r>
        <w:rPr>
          <w:rStyle w:val="VerbatimChar"/>
        </w:rPr>
        <w:t xml:space="preserve">lapsprd/</w:t>
      </w:r>
      <w:r>
        <w:t xml:space="preserve">에 한정되며</w:t>
      </w:r>
      <w:r>
        <w:t xml:space="preserve"> </w:t>
      </w:r>
      <w:r>
        <w:rPr>
          <w:rStyle w:val="VerbatimChar"/>
        </w:rPr>
        <w:t xml:space="preserve">payload.nc</w:t>
      </w:r>
      <w:r>
        <w:t xml:space="preserve">,</w:t>
      </w:r>
      <w:r>
        <w:t xml:space="preserve"> </w:t>
      </w:r>
      <w:r>
        <w:rPr>
          <w:rStyle w:val="VerbatimChar"/>
        </w:rPr>
        <w:t xml:space="preserve">cdl/</w:t>
      </w:r>
      <w:r>
        <w:t xml:space="preserve">,</w:t>
      </w:r>
      <w:r>
        <w:t xml:space="preserve"> </w:t>
      </w:r>
      <w:r>
        <w:rPr>
          <w:rStyle w:val="VerbatimChar"/>
        </w:rPr>
        <w:t xml:space="preserve">time/</w:t>
      </w:r>
      <w:r>
        <w:t xml:space="preserve"> </w:t>
      </w:r>
      <w:r>
        <w:t xml:space="preserve">등을 포함한 전처리 입력 전체의 실행 전 봉인을 입증하지 않는다. WRF 후보 예측의 별도 실행 전 목록과 혼동하지 않는다. 최종 실행 및 입력 영수증에서 확인된 범위만 재현성 근거로 사용한다.</w:t>
      </w:r>
    </w:p>
    <w:bookmarkEnd w:id="18"/>
    <w:bookmarkStart w:id="20" w:name="선택-지점의-물리-진단"/>
    <w:p>
      <w:pPr>
        <w:pStyle w:val="Heading3"/>
      </w:pPr>
      <w:r>
        <w:t xml:space="preserve">2.3 선택 지점의 물리 진단</w:t>
      </w:r>
    </w:p>
    <w:p>
      <w:pPr>
        <w:pStyle w:val="FirstParagraph"/>
      </w:pPr>
      <w:r>
        <w:t xml:space="preserve">첫 시간 5 mm 사건에서 사후 선택한 적중 소실·유지, 오경보 제거 및 약한 강수 지점의 네 모델 모서리와 39층을 사용하여 초기 상태와 보관 KDM6 실행파일의 호출 경계를 추적했다. 이들은 탐색 표본으로, 독립적인 전체 예측 검증 표본이 아니다. 두 호출의 실제 인자는</w:t>
      </w:r>
      <w:r>
        <w:t xml:space="preserve"> </w:t>
      </w:r>
      <m:oMath>
        <m:r>
          <m:t>i</m:t>
        </m:r>
        <m:r>
          <m:t>t</m:t>
        </m:r>
        <m:r>
          <m:t>i</m:t>
        </m:r>
        <m:r>
          <m:t>m</m:t>
        </m:r>
        <m:r>
          <m:t>e</m:t>
        </m:r>
        <m:r>
          <m:t>s</m:t>
        </m:r>
        <m:r>
          <m:t>t</m:t>
        </m:r>
        <m:r>
          <m:t>e</m:t>
        </m:r>
        <m:r>
          <m:t>p</m:t>
        </m:r>
        <m:r>
          <m:rPr>
            <m:sty m:val="p"/>
          </m:rPr>
          <m:t>=</m:t>
        </m:r>
        <m:r>
          <m:t>1</m:t>
        </m:r>
        <m:r>
          <m:rPr>
            <m:sty m:val="p"/>
          </m:rPr>
          <m:t>,</m:t>
        </m:r>
        <m:r>
          <m:t>2</m:t>
        </m:r>
      </m:oMath>
      <w:r>
        <w:t xml:space="preserve">,</w:t>
      </w:r>
      <w:r>
        <w:t xml:space="preserve"> </w:t>
      </w:r>
      <m:oMath>
        <m:r>
          <m:t>d</m:t>
        </m:r>
        <m:r>
          <m:t>e</m:t>
        </m:r>
        <m:r>
          <m:t>l</m:t>
        </m:r>
        <m:r>
          <m:t>t</m:t>
        </m:r>
        <m:r>
          <m:rPr>
            <m:sty m:val="p"/>
          </m:rPr>
          <m:t>=</m:t>
        </m:r>
        <m:r>
          <m:t>20</m:t>
        </m:r>
      </m:oMath>
      <w:r>
        <w:t xml:space="preserve"> </w:t>
      </w:r>
      <w:r>
        <w:t xml:space="preserve">s이나 직접 판독한 모델 시계 또는 RK 단계는 아니다. 디버그 정보가 없는 바이너리에서 인접 소스 기반 배열 이름은 후보 이름으로 취급한다.</w:t>
      </w:r>
      <w:r>
        <w:t xml:space="preserve"> </w:t>
      </w:r>
      <w:hyperlink r:id="rId19">
        <w:r>
          <w:rPr>
            <w:rStyle w:val="Hyperlink"/>
          </w:rPr>
          <w:t xml:space="preserve">호출 비교</w:t>
        </w:r>
      </w:hyperlink>
    </w:p>
    <w:bookmarkEnd w:id="20"/>
    <w:bookmarkEnd w:id="21"/>
    <w:bookmarkStart w:id="45" w:name="결과"/>
    <w:p>
      <w:pPr>
        <w:pStyle w:val="Heading2"/>
      </w:pPr>
      <w:r>
        <w:t xml:space="preserve">3. 결과</w:t>
      </w:r>
    </w:p>
    <w:bookmarkStart w:id="39" w:name="신규-현행-대-원본-예측"/>
    <w:p>
      <w:pPr>
        <w:pStyle w:val="Heading3"/>
      </w:pPr>
      <w:r>
        <w:t xml:space="preserve">3.1 신규 현행 대 원본 예측</w:t>
      </w:r>
    </w:p>
    <w:p>
      <w:pPr>
        <w:pStyle w:val="FirstParagraph"/>
      </w:pPr>
      <w:r>
        <w:t xml:space="preserve">ORIGINAL과 CURRENT_OFF 초기장의 전체 격자·층 비가중 평균 혼합비를 표 1에 제시한다. 다섯 수상체가 CURRENT_OFF에서도 모두 양의 값을 가진 격자를 포함한다. 서로 다른 수종의 변화 방향은 일정하지 않으며 이 값은 건조공기 질량이나 격자 부피로 가중한 총 물량이 아니다. WPS 레코드가 생략되었다는 사실만으로 native 초기 수상체가 0이라고 판단할 수 없다.</w:t>
      </w:r>
      <w:r>
        <w:t xml:space="preserve"> </w:t>
      </w:r>
      <w:hyperlink r:id="rId17">
        <w:r>
          <w:rPr>
            <w:rStyle w:val="Hyperlink"/>
          </w:rPr>
          <w:t xml:space="preserve">원시 초기장 비교</w:t>
        </w:r>
      </w:hyperlink>
    </w:p>
    <w:p>
      <w:pPr>
        <w:pStyle w:val="BodyText"/>
      </w:pPr>
      <w:r>
        <w:rPr>
          <w:b/>
          <w:bCs/>
        </w:rPr>
        <w:t xml:space="preserve">표 1. 초기 수상체 격자·층 비가중 평균 혼합비 (kg kg⁻¹).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수종</w:t>
            </w:r>
          </w:p>
        </w:tc>
        <w:tc>
          <w:tcPr/>
          <w:p>
            <w:pPr>
              <w:pStyle w:val="Compact"/>
              <w:jc w:val="right"/>
            </w:pPr>
            <w:r>
              <w:t xml:space="preserve">ORIGINAL</w:t>
            </w:r>
          </w:p>
        </w:tc>
        <w:tc>
          <w:tcPr/>
          <w:p>
            <w:pPr>
              <w:pStyle w:val="Compact"/>
              <w:jc w:val="right"/>
            </w:pPr>
            <w:r>
              <w:t xml:space="preserve">CURRENT_OFF</w:t>
            </w:r>
          </w:p>
        </w:tc>
      </w:tr>
      <w:tr>
        <w:tc>
          <w:tcPr/>
          <w:p>
            <w:pPr>
              <w:pStyle w:val="Compact"/>
            </w:pPr>
            <w:r>
              <w:t xml:space="preserve">구름물 QC</w:t>
            </w:r>
          </w:p>
        </w:tc>
        <w:tc>
          <w:tcPr/>
          <w:p>
            <w:pPr>
              <w:pStyle w:val="Compact"/>
              <w:jc w:val="right"/>
            </w:pPr>
            <w:r>
              <w:t xml:space="preserve">7.1654×10⁻⁵</w:t>
            </w:r>
          </w:p>
        </w:tc>
        <w:tc>
          <w:tcPr/>
          <w:p>
            <w:pPr>
              <w:pStyle w:val="Compact"/>
              <w:jc w:val="right"/>
            </w:pPr>
            <w:r>
              <w:t xml:space="preserve">8.4663×10⁻⁶</w:t>
            </w:r>
          </w:p>
        </w:tc>
      </w:tr>
      <w:tr>
        <w:tc>
          <w:tcPr/>
          <w:p>
            <w:pPr>
              <w:pStyle w:val="Compact"/>
            </w:pPr>
            <w:r>
              <w:t xml:space="preserve">비 QR</w:t>
            </w:r>
          </w:p>
        </w:tc>
        <w:tc>
          <w:tcPr/>
          <w:p>
            <w:pPr>
              <w:pStyle w:val="Compact"/>
              <w:jc w:val="right"/>
            </w:pPr>
            <w:r>
              <w:t xml:space="preserve">5.9637×10⁻⁶</w:t>
            </w:r>
          </w:p>
        </w:tc>
        <w:tc>
          <w:tcPr/>
          <w:p>
            <w:pPr>
              <w:pStyle w:val="Compact"/>
              <w:jc w:val="right"/>
            </w:pPr>
            <w:r>
              <w:t xml:space="preserve">9.8534×10⁻⁶</w:t>
            </w:r>
          </w:p>
        </w:tc>
      </w:tr>
      <w:tr>
        <w:tc>
          <w:tcPr/>
          <w:p>
            <w:pPr>
              <w:pStyle w:val="Compact"/>
            </w:pPr>
            <w:r>
              <w:t xml:space="preserve">구름얼음 QI</w:t>
            </w:r>
          </w:p>
        </w:tc>
        <w:tc>
          <w:tcPr/>
          <w:p>
            <w:pPr>
              <w:pStyle w:val="Compact"/>
              <w:jc w:val="right"/>
            </w:pPr>
            <w:r>
              <w:t xml:space="preserve">4.0671×10⁻⁵</w:t>
            </w:r>
          </w:p>
        </w:tc>
        <w:tc>
          <w:tcPr/>
          <w:p>
            <w:pPr>
              <w:pStyle w:val="Compact"/>
              <w:jc w:val="right"/>
            </w:pPr>
            <w:r>
              <w:t xml:space="preserve">1.9392×10⁻⁸</w:t>
            </w:r>
          </w:p>
        </w:tc>
      </w:tr>
      <w:tr>
        <w:tc>
          <w:tcPr/>
          <w:p>
            <w:pPr>
              <w:pStyle w:val="Compact"/>
            </w:pPr>
            <w:r>
              <w:t xml:space="preserve">눈 QS</w:t>
            </w:r>
          </w:p>
        </w:tc>
        <w:tc>
          <w:tcPr/>
          <w:p>
            <w:pPr>
              <w:pStyle w:val="Compact"/>
              <w:jc w:val="right"/>
            </w:pPr>
            <w:r>
              <w:t xml:space="preserve">1.5128×10⁻⁵</w:t>
            </w:r>
          </w:p>
        </w:tc>
        <w:tc>
          <w:tcPr/>
          <w:p>
            <w:pPr>
              <w:pStyle w:val="Compact"/>
              <w:jc w:val="right"/>
            </w:pPr>
            <w:r>
              <w:t xml:space="preserve">1.1385×10⁻⁵</w:t>
            </w:r>
          </w:p>
        </w:tc>
      </w:tr>
      <w:tr>
        <w:tc>
          <w:tcPr/>
          <w:p>
            <w:pPr>
              <w:pStyle w:val="Compact"/>
            </w:pPr>
            <w:r>
              <w:t xml:space="preserve">싸락눈 QG</w:t>
            </w:r>
          </w:p>
        </w:tc>
        <w:tc>
          <w:tcPr/>
          <w:p>
            <w:pPr>
              <w:pStyle w:val="Compact"/>
              <w:jc w:val="right"/>
            </w:pPr>
            <w:r>
              <w:t xml:space="preserve">6.4173×10⁻⁷</w:t>
            </w:r>
          </w:p>
        </w:tc>
        <w:tc>
          <w:tcPr/>
          <w:p>
            <w:pPr>
              <w:pStyle w:val="Compact"/>
              <w:jc w:val="right"/>
            </w:pPr>
            <w:r>
              <w:t xml:space="preserve">8.3992×10⁻⁷</w:t>
            </w:r>
          </w:p>
        </w:tc>
      </w:tr>
    </w:tbl>
    <w:p>
      <w:pPr>
        <w:pStyle w:val="BodyText"/>
      </w:pPr>
      <w:r>
        <w:rPr>
          <w:b/>
          <w:bCs/>
        </w:rPr>
        <w:t xml:space="preserve">표 2. 신규 네 재예보의 1시간 누적 5 mm 이상 CSI. OFF·HYDRO·LIQUID는 모두 CURRENT 군이다.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예보시간 (h)</w:t>
            </w:r>
          </w:p>
        </w:tc>
        <w:tc>
          <w:tcPr/>
          <w:p>
            <w:pPr>
              <w:pStyle w:val="Compact"/>
              <w:jc w:val="right"/>
            </w:pPr>
            <w:r>
              <w:t xml:space="preserve">ORIGINAL</w:t>
            </w:r>
          </w:p>
        </w:tc>
        <w:tc>
          <w:tcPr/>
          <w:p>
            <w:pPr>
              <w:pStyle w:val="Compact"/>
              <w:jc w:val="right"/>
            </w:pPr>
            <w:r>
              <w:t xml:space="preserve">OFF</w:t>
            </w:r>
          </w:p>
        </w:tc>
        <w:tc>
          <w:tcPr/>
          <w:p>
            <w:pPr>
              <w:pStyle w:val="Compact"/>
              <w:jc w:val="right"/>
            </w:pPr>
            <w:r>
              <w:t xml:space="preserve">HYDRO</w:t>
            </w:r>
          </w:p>
        </w:tc>
        <w:tc>
          <w:tcPr/>
          <w:p>
            <w:pPr>
              <w:pStyle w:val="Compact"/>
              <w:jc w:val="right"/>
            </w:pPr>
            <w:r>
              <w:t xml:space="preserve">LIQUID</w:t>
            </w:r>
          </w:p>
        </w:tc>
      </w:tr>
      <w:tr>
        <w:tc>
          <w:tcPr/>
          <w:p>
            <w:pPr>
              <w:pStyle w:val="Compact"/>
              <w:jc w:val="right"/>
            </w:pPr>
            <w:r>
              <w:t xml:space="preserve">1</w:t>
            </w:r>
          </w:p>
        </w:tc>
        <w:tc>
          <w:tcPr/>
          <w:p>
            <w:pPr>
              <w:pStyle w:val="Compact"/>
              <w:jc w:val="right"/>
            </w:pPr>
            <w:r>
              <w:t xml:space="preserve">0.2751</w:t>
            </w:r>
          </w:p>
        </w:tc>
        <w:tc>
          <w:tcPr/>
          <w:p>
            <w:pPr>
              <w:pStyle w:val="Compact"/>
              <w:jc w:val="right"/>
            </w:pPr>
            <w:r>
              <w:t xml:space="preserve">0.1414</w:t>
            </w:r>
          </w:p>
        </w:tc>
        <w:tc>
          <w:tcPr/>
          <w:p>
            <w:pPr>
              <w:pStyle w:val="Compact"/>
              <w:jc w:val="right"/>
            </w:pPr>
            <w:r>
              <w:t xml:space="preserve">0.2140</w:t>
            </w:r>
          </w:p>
        </w:tc>
        <w:tc>
          <w:tcPr/>
          <w:p>
            <w:pPr>
              <w:pStyle w:val="Compact"/>
              <w:jc w:val="right"/>
            </w:pPr>
            <w:r>
              <w:t xml:space="preserve">0.2174</w:t>
            </w:r>
          </w:p>
        </w:tc>
      </w:tr>
      <w:tr>
        <w:tc>
          <w:tcPr/>
          <w:p>
            <w:pPr>
              <w:pStyle w:val="Compact"/>
              <w:jc w:val="right"/>
            </w:pPr>
            <w:r>
              <w:t xml:space="preserve">2</w:t>
            </w:r>
          </w:p>
        </w:tc>
        <w:tc>
          <w:tcPr/>
          <w:p>
            <w:pPr>
              <w:pStyle w:val="Compact"/>
              <w:jc w:val="right"/>
            </w:pPr>
            <w:r>
              <w:t xml:space="preserve">0.1815</w:t>
            </w:r>
          </w:p>
        </w:tc>
        <w:tc>
          <w:tcPr/>
          <w:p>
            <w:pPr>
              <w:pStyle w:val="Compact"/>
              <w:jc w:val="right"/>
            </w:pPr>
            <w:r>
              <w:t xml:space="preserve">0.1987</w:t>
            </w:r>
          </w:p>
        </w:tc>
        <w:tc>
          <w:tcPr/>
          <w:p>
            <w:pPr>
              <w:pStyle w:val="Compact"/>
              <w:jc w:val="right"/>
            </w:pPr>
            <w:r>
              <w:t xml:space="preserve">0.1796</w:t>
            </w:r>
          </w:p>
        </w:tc>
        <w:tc>
          <w:tcPr/>
          <w:p>
            <w:pPr>
              <w:pStyle w:val="Compact"/>
              <w:jc w:val="right"/>
            </w:pPr>
            <w:r>
              <w:t xml:space="preserve">0.1815</w:t>
            </w:r>
          </w:p>
        </w:tc>
      </w:tr>
      <w:tr>
        <w:tc>
          <w:tcPr/>
          <w:p>
            <w:pPr>
              <w:pStyle w:val="Compact"/>
              <w:jc w:val="right"/>
            </w:pPr>
            <w:r>
              <w:t xml:space="preserve">3</w:t>
            </w:r>
          </w:p>
        </w:tc>
        <w:tc>
          <w:tcPr/>
          <w:p>
            <w:pPr>
              <w:pStyle w:val="Compact"/>
              <w:jc w:val="right"/>
            </w:pPr>
            <w:r>
              <w:t xml:space="preserve">0.1622</w:t>
            </w:r>
          </w:p>
        </w:tc>
        <w:tc>
          <w:tcPr/>
          <w:p>
            <w:pPr>
              <w:pStyle w:val="Compact"/>
              <w:jc w:val="right"/>
            </w:pPr>
            <w:r>
              <w:t xml:space="preserve">0.1643</w:t>
            </w:r>
          </w:p>
        </w:tc>
        <w:tc>
          <w:tcPr/>
          <w:p>
            <w:pPr>
              <w:pStyle w:val="Compact"/>
              <w:jc w:val="right"/>
            </w:pPr>
            <w:r>
              <w:t xml:space="preserve">0.1618</w:t>
            </w:r>
          </w:p>
        </w:tc>
        <w:tc>
          <w:tcPr/>
          <w:p>
            <w:pPr>
              <w:pStyle w:val="Compact"/>
              <w:jc w:val="right"/>
            </w:pPr>
            <w:r>
              <w:t xml:space="preserve">0.1686</w:t>
            </w:r>
          </w:p>
        </w:tc>
      </w:tr>
      <w:tr>
        <w:tc>
          <w:tcPr/>
          <w:p>
            <w:pPr>
              <w:pStyle w:val="Compact"/>
              <w:jc w:val="right"/>
            </w:pPr>
            <w:r>
              <w:t xml:space="preserve">4</w:t>
            </w:r>
          </w:p>
        </w:tc>
        <w:tc>
          <w:tcPr/>
          <w:p>
            <w:pPr>
              <w:pStyle w:val="Compact"/>
              <w:jc w:val="right"/>
            </w:pPr>
            <w:r>
              <w:t xml:space="preserve">0.1148</w:t>
            </w:r>
          </w:p>
        </w:tc>
        <w:tc>
          <w:tcPr/>
          <w:p>
            <w:pPr>
              <w:pStyle w:val="Compact"/>
              <w:jc w:val="right"/>
            </w:pPr>
            <w:r>
              <w:t xml:space="preserve">0.0944</w:t>
            </w:r>
          </w:p>
        </w:tc>
        <w:tc>
          <w:tcPr/>
          <w:p>
            <w:pPr>
              <w:pStyle w:val="Compact"/>
              <w:jc w:val="right"/>
            </w:pPr>
            <w:r>
              <w:t xml:space="preserve">0.1199</w:t>
            </w:r>
          </w:p>
        </w:tc>
        <w:tc>
          <w:tcPr/>
          <w:p>
            <w:pPr>
              <w:pStyle w:val="Compact"/>
              <w:jc w:val="right"/>
            </w:pPr>
            <w:r>
              <w:t xml:space="preserve">0.1167</w:t>
            </w:r>
          </w:p>
        </w:tc>
      </w:tr>
      <w:tr>
        <w:tc>
          <w:tcPr/>
          <w:p>
            <w:pPr>
              <w:pStyle w:val="Compact"/>
              <w:jc w:val="right"/>
            </w:pPr>
            <w:r>
              <w:t xml:space="preserve">5</w:t>
            </w:r>
          </w:p>
        </w:tc>
        <w:tc>
          <w:tcPr/>
          <w:p>
            <w:pPr>
              <w:pStyle w:val="Compact"/>
              <w:jc w:val="right"/>
            </w:pPr>
            <w:r>
              <w:t xml:space="preserve">0.1831</w:t>
            </w:r>
          </w:p>
        </w:tc>
        <w:tc>
          <w:tcPr/>
          <w:p>
            <w:pPr>
              <w:pStyle w:val="Compact"/>
              <w:jc w:val="right"/>
            </w:pPr>
            <w:r>
              <w:t xml:space="preserve">0.0960</w:t>
            </w:r>
          </w:p>
        </w:tc>
        <w:tc>
          <w:tcPr/>
          <w:p>
            <w:pPr>
              <w:pStyle w:val="Compact"/>
              <w:jc w:val="right"/>
            </w:pPr>
            <w:r>
              <w:t xml:space="preserve">0.1652</w:t>
            </w:r>
          </w:p>
        </w:tc>
        <w:tc>
          <w:tcPr/>
          <w:p>
            <w:pPr>
              <w:pStyle w:val="Compact"/>
              <w:jc w:val="right"/>
            </w:pPr>
            <w:r>
              <w:t xml:space="preserve">0.1632</w:t>
            </w:r>
          </w:p>
        </w:tc>
      </w:tr>
      <w:tr>
        <w:tc>
          <w:tcPr/>
          <w:p>
            <w:pPr>
              <w:pStyle w:val="Compact"/>
              <w:jc w:val="right"/>
            </w:pPr>
            <w:r>
              <w:t xml:space="preserve">6</w:t>
            </w:r>
          </w:p>
        </w:tc>
        <w:tc>
          <w:tcPr/>
          <w:p>
            <w:pPr>
              <w:pStyle w:val="Compact"/>
              <w:jc w:val="right"/>
            </w:pPr>
            <w:r>
              <w:t xml:space="preserve">0.2623</w:t>
            </w:r>
          </w:p>
        </w:tc>
        <w:tc>
          <w:tcPr/>
          <w:p>
            <w:pPr>
              <w:pStyle w:val="Compact"/>
              <w:jc w:val="right"/>
            </w:pPr>
            <w:r>
              <w:t xml:space="preserve">0.2253</w:t>
            </w:r>
          </w:p>
        </w:tc>
        <w:tc>
          <w:tcPr/>
          <w:p>
            <w:pPr>
              <w:pStyle w:val="Compact"/>
              <w:jc w:val="right"/>
            </w:pPr>
            <w:r>
              <w:t xml:space="preserve">0.2786</w:t>
            </w:r>
          </w:p>
        </w:tc>
        <w:tc>
          <w:tcPr/>
          <w:p>
            <w:pPr>
              <w:pStyle w:val="Compact"/>
              <w:jc w:val="right"/>
            </w:pPr>
            <w:r>
              <w:t xml:space="preserve">0.2838</w:t>
            </w:r>
          </w:p>
        </w:tc>
      </w:tr>
    </w:tbl>
    <w:p>
      <w:pPr>
        <w:pStyle w:val="BodyText"/>
      </w:pPr>
      <w:r>
        <w:rPr>
          <w:b/>
          <w:bCs/>
        </w:rPr>
        <w:t xml:space="preserve">표 3. 신규 네 재예보의 1시간 누적 강수량 MAE / RMSE (mm). OFF·HYDRO·LIQUID는 모두 CURRENT 군이다.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예보시간 (h)</w:t>
            </w:r>
          </w:p>
        </w:tc>
        <w:tc>
          <w:tcPr/>
          <w:p>
            <w:pPr>
              <w:pStyle w:val="Compact"/>
              <w:jc w:val="right"/>
            </w:pPr>
            <w:r>
              <w:t xml:space="preserve">ORIGINAL</w:t>
            </w:r>
          </w:p>
        </w:tc>
        <w:tc>
          <w:tcPr/>
          <w:p>
            <w:pPr>
              <w:pStyle w:val="Compact"/>
              <w:jc w:val="right"/>
            </w:pPr>
            <w:r>
              <w:t xml:space="preserve">OFF</w:t>
            </w:r>
          </w:p>
        </w:tc>
        <w:tc>
          <w:tcPr/>
          <w:p>
            <w:pPr>
              <w:pStyle w:val="Compact"/>
              <w:jc w:val="right"/>
            </w:pPr>
            <w:r>
              <w:t xml:space="preserve">HYDRO</w:t>
            </w:r>
          </w:p>
        </w:tc>
        <w:tc>
          <w:tcPr/>
          <w:p>
            <w:pPr>
              <w:pStyle w:val="Compact"/>
              <w:jc w:val="right"/>
            </w:pPr>
            <w:r>
              <w:t xml:space="preserve">LIQUID</w:t>
            </w:r>
          </w:p>
        </w:tc>
      </w:tr>
      <w:tr>
        <w:tc>
          <w:tcPr/>
          <w:p>
            <w:pPr>
              <w:pStyle w:val="Compact"/>
              <w:jc w:val="right"/>
            </w:pPr>
            <w:r>
              <w:t xml:space="preserve">1</w:t>
            </w:r>
          </w:p>
        </w:tc>
        <w:tc>
          <w:tcPr/>
          <w:p>
            <w:pPr>
              <w:pStyle w:val="Compact"/>
              <w:jc w:val="right"/>
            </w:pPr>
            <w:r>
              <w:t xml:space="preserve">1.114 / 4.062</w:t>
            </w:r>
          </w:p>
        </w:tc>
        <w:tc>
          <w:tcPr/>
          <w:p>
            <w:pPr>
              <w:pStyle w:val="Compact"/>
              <w:jc w:val="right"/>
            </w:pPr>
            <w:r>
              <w:t xml:space="preserve">1.380 / 4.910</w:t>
            </w:r>
          </w:p>
        </w:tc>
        <w:tc>
          <w:tcPr/>
          <w:p>
            <w:pPr>
              <w:pStyle w:val="Compact"/>
              <w:jc w:val="right"/>
            </w:pPr>
            <w:r>
              <w:t xml:space="preserve">1.133 / 4.110</w:t>
            </w:r>
          </w:p>
        </w:tc>
        <w:tc>
          <w:tcPr/>
          <w:p>
            <w:pPr>
              <w:pStyle w:val="Compact"/>
              <w:jc w:val="right"/>
            </w:pPr>
            <w:r>
              <w:t xml:space="preserve">1.127 / 4.085</w:t>
            </w:r>
          </w:p>
        </w:tc>
      </w:tr>
      <w:tr>
        <w:tc>
          <w:tcPr/>
          <w:p>
            <w:pPr>
              <w:pStyle w:val="Compact"/>
              <w:jc w:val="right"/>
            </w:pPr>
            <w:r>
              <w:t xml:space="preserve">2</w:t>
            </w:r>
          </w:p>
        </w:tc>
        <w:tc>
          <w:tcPr/>
          <w:p>
            <w:pPr>
              <w:pStyle w:val="Compact"/>
              <w:jc w:val="right"/>
            </w:pPr>
            <w:r>
              <w:t xml:space="preserve">1.423 / 4.674</w:t>
            </w:r>
          </w:p>
        </w:tc>
        <w:tc>
          <w:tcPr/>
          <w:p>
            <w:pPr>
              <w:pStyle w:val="Compact"/>
              <w:jc w:val="right"/>
            </w:pPr>
            <w:r>
              <w:t xml:space="preserve">1.368 / 4.353</w:t>
            </w:r>
          </w:p>
        </w:tc>
        <w:tc>
          <w:tcPr/>
          <w:p>
            <w:pPr>
              <w:pStyle w:val="Compact"/>
              <w:jc w:val="right"/>
            </w:pPr>
            <w:r>
              <w:t xml:space="preserve">1.402 / 4.620</w:t>
            </w:r>
          </w:p>
        </w:tc>
        <w:tc>
          <w:tcPr/>
          <w:p>
            <w:pPr>
              <w:pStyle w:val="Compact"/>
              <w:jc w:val="right"/>
            </w:pPr>
            <w:r>
              <w:t xml:space="preserve">1.393 / 4.575</w:t>
            </w:r>
          </w:p>
        </w:tc>
      </w:tr>
      <w:tr>
        <w:tc>
          <w:tcPr/>
          <w:p>
            <w:pPr>
              <w:pStyle w:val="Compact"/>
              <w:jc w:val="right"/>
            </w:pPr>
            <w:r>
              <w:t xml:space="preserve">3</w:t>
            </w:r>
          </w:p>
        </w:tc>
        <w:tc>
          <w:tcPr/>
          <w:p>
            <w:pPr>
              <w:pStyle w:val="Compact"/>
              <w:jc w:val="right"/>
            </w:pPr>
            <w:r>
              <w:t xml:space="preserve">1.788 / 4.126</w:t>
            </w:r>
          </w:p>
        </w:tc>
        <w:tc>
          <w:tcPr/>
          <w:p>
            <w:pPr>
              <w:pStyle w:val="Compact"/>
              <w:jc w:val="right"/>
            </w:pPr>
            <w:r>
              <w:t xml:space="preserve">1.730 / 4.157</w:t>
            </w:r>
          </w:p>
        </w:tc>
        <w:tc>
          <w:tcPr/>
          <w:p>
            <w:pPr>
              <w:pStyle w:val="Compact"/>
              <w:jc w:val="right"/>
            </w:pPr>
            <w:r>
              <w:t xml:space="preserve">1.793 / 4.115</w:t>
            </w:r>
          </w:p>
        </w:tc>
        <w:tc>
          <w:tcPr/>
          <w:p>
            <w:pPr>
              <w:pStyle w:val="Compact"/>
              <w:jc w:val="right"/>
            </w:pPr>
            <w:r>
              <w:t xml:space="preserve">1.790 / 4.109</w:t>
            </w:r>
          </w:p>
        </w:tc>
      </w:tr>
      <w:tr>
        <w:tc>
          <w:tcPr/>
          <w:p>
            <w:pPr>
              <w:pStyle w:val="Compact"/>
              <w:jc w:val="right"/>
            </w:pPr>
            <w:r>
              <w:t xml:space="preserve">4</w:t>
            </w:r>
          </w:p>
        </w:tc>
        <w:tc>
          <w:tcPr/>
          <w:p>
            <w:pPr>
              <w:pStyle w:val="Compact"/>
              <w:jc w:val="right"/>
            </w:pPr>
            <w:r>
              <w:t xml:space="preserve">2.372 / 5.972</w:t>
            </w:r>
          </w:p>
        </w:tc>
        <w:tc>
          <w:tcPr/>
          <w:p>
            <w:pPr>
              <w:pStyle w:val="Compact"/>
              <w:jc w:val="right"/>
            </w:pPr>
            <w:r>
              <w:t xml:space="preserve">2.436 / 6.233</w:t>
            </w:r>
          </w:p>
        </w:tc>
        <w:tc>
          <w:tcPr/>
          <w:p>
            <w:pPr>
              <w:pStyle w:val="Compact"/>
              <w:jc w:val="right"/>
            </w:pPr>
            <w:r>
              <w:t xml:space="preserve">2.342 / 5.923</w:t>
            </w:r>
          </w:p>
        </w:tc>
        <w:tc>
          <w:tcPr/>
          <w:p>
            <w:pPr>
              <w:pStyle w:val="Compact"/>
              <w:jc w:val="right"/>
            </w:pPr>
            <w:r>
              <w:t xml:space="preserve">2.376 / 5.986</w:t>
            </w:r>
          </w:p>
        </w:tc>
      </w:tr>
      <w:tr>
        <w:tc>
          <w:tcPr/>
          <w:p>
            <w:pPr>
              <w:pStyle w:val="Compact"/>
              <w:jc w:val="right"/>
            </w:pPr>
            <w:r>
              <w:t xml:space="preserve">5</w:t>
            </w:r>
          </w:p>
        </w:tc>
        <w:tc>
          <w:tcPr/>
          <w:p>
            <w:pPr>
              <w:pStyle w:val="Compact"/>
              <w:jc w:val="right"/>
            </w:pPr>
            <w:r>
              <w:t xml:space="preserve">2.148 / 5.371</w:t>
            </w:r>
          </w:p>
        </w:tc>
        <w:tc>
          <w:tcPr/>
          <w:p>
            <w:pPr>
              <w:pStyle w:val="Compact"/>
              <w:jc w:val="right"/>
            </w:pPr>
            <w:r>
              <w:t xml:space="preserve">2.071 / 5.347</w:t>
            </w:r>
          </w:p>
        </w:tc>
        <w:tc>
          <w:tcPr/>
          <w:p>
            <w:pPr>
              <w:pStyle w:val="Compact"/>
              <w:jc w:val="right"/>
            </w:pPr>
            <w:r>
              <w:t xml:space="preserve">2.136 / 5.630</w:t>
            </w:r>
          </w:p>
        </w:tc>
        <w:tc>
          <w:tcPr/>
          <w:p>
            <w:pPr>
              <w:pStyle w:val="Compact"/>
              <w:jc w:val="right"/>
            </w:pPr>
            <w:r>
              <w:t xml:space="preserve">2.203 / 5.766</w:t>
            </w:r>
          </w:p>
        </w:tc>
      </w:tr>
      <w:tr>
        <w:tc>
          <w:tcPr/>
          <w:p>
            <w:pPr>
              <w:pStyle w:val="Compact"/>
              <w:jc w:val="right"/>
            </w:pPr>
            <w:r>
              <w:t xml:space="preserve">6</w:t>
            </w:r>
          </w:p>
        </w:tc>
        <w:tc>
          <w:tcPr/>
          <w:p>
            <w:pPr>
              <w:pStyle w:val="Compact"/>
              <w:jc w:val="right"/>
            </w:pPr>
            <w:r>
              <w:t xml:space="preserve">2.366 / 7.106</w:t>
            </w:r>
          </w:p>
        </w:tc>
        <w:tc>
          <w:tcPr/>
          <w:p>
            <w:pPr>
              <w:pStyle w:val="Compact"/>
              <w:jc w:val="right"/>
            </w:pPr>
            <w:r>
              <w:t xml:space="preserve">2.404 / 7.041</w:t>
            </w:r>
          </w:p>
        </w:tc>
        <w:tc>
          <w:tcPr/>
          <w:p>
            <w:pPr>
              <w:pStyle w:val="Compact"/>
              <w:jc w:val="right"/>
            </w:pPr>
            <w:r>
              <w:t xml:space="preserve">2.297 / 6.973</w:t>
            </w:r>
          </w:p>
        </w:tc>
        <w:tc>
          <w:tcPr/>
          <w:p>
            <w:pPr>
              <w:pStyle w:val="Compact"/>
              <w:jc w:val="right"/>
            </w:pPr>
            <w:r>
              <w:t xml:space="preserve">2.335 / 7.011</w:t>
            </w:r>
          </w:p>
        </w:tc>
      </w:tr>
    </w:tbl>
    <w:p>
      <w:pPr>
        <w:pStyle w:val="BodyText"/>
      </w:pPr>
      <w:r>
        <w:rPr>
          <w:b/>
          <w:bCs/>
        </w:rPr>
        <w:t xml:space="preserve">표 4. 첫 시간 5 mm 이상, CURRENT_OFF와의 대응 전이. 후보는 CURRENT 군이다.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후보</w:t>
            </w:r>
          </w:p>
        </w:tc>
        <w:tc>
          <w:tcPr/>
          <w:p>
            <w:pPr>
              <w:pStyle w:val="Compact"/>
              <w:jc w:val="right"/>
            </w:pPr>
            <w:r>
              <w:t xml:space="preserve">새 적중</w:t>
            </w:r>
          </w:p>
        </w:tc>
        <w:tc>
          <w:tcPr/>
          <w:p>
            <w:pPr>
              <w:pStyle w:val="Compact"/>
              <w:jc w:val="right"/>
            </w:pPr>
            <w:r>
              <w:t xml:space="preserve">소실 적중</w:t>
            </w:r>
          </w:p>
        </w:tc>
        <w:tc>
          <w:tcPr/>
          <w:p>
            <w:pPr>
              <w:pStyle w:val="Compact"/>
              <w:jc w:val="right"/>
            </w:pPr>
            <w:r>
              <w:t xml:space="preserve">새 오경보</w:t>
            </w:r>
          </w:p>
        </w:tc>
        <w:tc>
          <w:tcPr/>
          <w:p>
            <w:pPr>
              <w:pStyle w:val="Compact"/>
              <w:jc w:val="right"/>
            </w:pPr>
            <w:r>
              <w:t xml:space="preserve">제거 오경보</w:t>
            </w:r>
          </w:p>
        </w:tc>
      </w:tr>
      <w:tr>
        <w:tc>
          <w:tcPr/>
          <w:p>
            <w:pPr>
              <w:pStyle w:val="Compact"/>
            </w:pPr>
            <w:r>
              <w:t xml:space="preserve">HYDRO</w:t>
            </w:r>
          </w:p>
        </w:tc>
        <w:tc>
          <w:tcPr/>
          <w:p>
            <w:pPr>
              <w:pStyle w:val="Compact"/>
              <w:jc w:val="right"/>
            </w:pPr>
            <w:r>
              <w:t xml:space="preserve">30</w:t>
            </w:r>
          </w:p>
        </w:tc>
        <w:tc>
          <w:tcPr/>
          <w:p>
            <w:pPr>
              <w:pStyle w:val="Compact"/>
              <w:jc w:val="right"/>
            </w:pPr>
            <w:r>
              <w:t xml:space="preserve">16</w:t>
            </w:r>
          </w:p>
        </w:tc>
        <w:tc>
          <w:tcPr/>
          <w:p>
            <w:pPr>
              <w:pStyle w:val="Compact"/>
              <w:jc w:val="right"/>
            </w:pPr>
            <w:r>
              <w:t xml:space="preserve">8</w:t>
            </w:r>
          </w:p>
        </w:tc>
        <w:tc>
          <w:tcPr/>
          <w:p>
            <w:pPr>
              <w:pStyle w:val="Compact"/>
              <w:jc w:val="right"/>
            </w:pPr>
            <w:r>
              <w:t xml:space="preserve">41</w:t>
            </w:r>
          </w:p>
        </w:tc>
      </w:tr>
      <w:tr>
        <w:tc>
          <w:tcPr/>
          <w:p>
            <w:pPr>
              <w:pStyle w:val="Compact"/>
            </w:pPr>
            <w:r>
              <w:t xml:space="preserve">LIQUID</w:t>
            </w:r>
          </w:p>
        </w:tc>
        <w:tc>
          <w:tcPr/>
          <w:p>
            <w:pPr>
              <w:pStyle w:val="Compact"/>
              <w:jc w:val="right"/>
            </w:pPr>
            <w:r>
              <w:t xml:space="preserve">31</w:t>
            </w:r>
          </w:p>
        </w:tc>
        <w:tc>
          <w:tcPr/>
          <w:p>
            <w:pPr>
              <w:pStyle w:val="Compact"/>
              <w:jc w:val="right"/>
            </w:pPr>
            <w:r>
              <w:t xml:space="preserve">17</w:t>
            </w:r>
          </w:p>
        </w:tc>
        <w:tc>
          <w:tcPr/>
          <w:p>
            <w:pPr>
              <w:pStyle w:val="Compact"/>
              <w:jc w:val="right"/>
            </w:pPr>
            <w:r>
              <w:t xml:space="preserve">7</w:t>
            </w:r>
          </w:p>
        </w:tc>
        <w:tc>
          <w:tcPr/>
          <w:p>
            <w:pPr>
              <w:pStyle w:val="Compact"/>
              <w:jc w:val="right"/>
            </w:pPr>
            <w:r>
              <w:t xml:space="preserve">44</w:t>
            </w:r>
          </w:p>
        </w:tc>
      </w:tr>
    </w:tbl>
    <w:p>
      <w:pPr>
        <w:pStyle w:val="BodyText"/>
      </w:pPr>
      <w:r>
        <w:t xml:space="preserve">첫 시간의 CURRENT_OFF 적중/미탐지/오경보는 41/113/136이고 HYDRO는 55/99/103, LIQUID는 55/99/99다. 두 후보가 현행 OFF에 비해 적중을 순 14개 늘리고 오경보를 각각 순 33개와 37개 줄였지만, ORIGINAL의 74/80/115와 비교하면 적중은 두 후보 모두 19개 적다. 비교 기준이 다르면 해석도 달라진다. +6시간의 CSI는 ORIGINAL 0.2623, CURRENT_OFF 0.2253, HYDRO 0.2786, LIQUID 0.2838이다. 전 예보시간·임계값에서 지속적인 우위는 주장할 수 없다.</w:t>
      </w:r>
    </w:p>
    <w:p>
      <w:pPr>
        <w:pStyle w:val="BodyText"/>
      </w:pPr>
      <w:hyperlink r:id="rId22">
        <w:r>
          <w:rPr>
            <w:rStyle w:val="Hyperlink"/>
          </w:rPr>
          <w:t xml:space="preserve">전체 144개 범주 점수와 counts</w:t>
        </w:r>
      </w:hyperlink>
      <w:r>
        <w:t xml:space="preserve"> </w:t>
      </w:r>
      <w:r>
        <w:t xml:space="preserve">·</w:t>
      </w:r>
      <w:r>
        <w:t xml:space="preserve"> </w:t>
      </w:r>
      <w:hyperlink r:id="rId23">
        <w:r>
          <w:rPr>
            <w:rStyle w:val="Hyperlink"/>
          </w:rPr>
          <w:t xml:space="preserve">24개 연속 점수</w:t>
        </w:r>
      </w:hyperlink>
      <w:r>
        <w:t xml:space="preserve"> </w:t>
      </w:r>
      <w:r>
        <w:t xml:space="preserve">·</w:t>
      </w:r>
      <w:r>
        <w:t xml:space="preserve"> </w:t>
      </w:r>
      <w:hyperlink r:id="rId24">
        <w:r>
          <w:rPr>
            <w:rStyle w:val="Hyperlink"/>
          </w:rPr>
          <w:t xml:space="preserve">180개 대응 전이</w:t>
        </w:r>
      </w:hyperlink>
      <w:r>
        <w:t xml:space="preserve"> </w:t>
      </w:r>
      <w:r>
        <w:t xml:space="preserve">·</w:t>
      </w:r>
      <w:r>
        <w:t xml:space="preserve"> </w:t>
      </w:r>
      <w:hyperlink r:id="rId25">
        <w:r>
          <w:rPr>
            <w:rStyle w:val="Hyperlink"/>
          </w:rPr>
          <w:t xml:space="preserve">독립 스칼라 검산</w:t>
        </w:r>
      </w:hyperlink>
      <w:r>
        <w:t xml:space="preserve"> </w:t>
      </w:r>
      <w:r>
        <w:t xml:space="preserve">·</w:t>
      </w:r>
      <w:r>
        <w:t xml:space="preserve"> </w:t>
      </w:r>
      <w:hyperlink r:id="rId26">
        <w:r>
          <w:rPr>
            <w:rStyle w:val="Hyperlink"/>
          </w:rPr>
          <w:t xml:space="preserve">실행과 점수 자료의 해시 연결</w:t>
        </w:r>
      </w:hyperlink>
      <w:r>
        <w:t xml:space="preserve">.</w:t>
      </w:r>
    </w:p>
    <w:p>
      <w:pPr>
        <w:pStyle w:val="CaptionedFigure"/>
      </w:pPr>
      <w:r>
        <w:drawing>
          <wp:inline>
            <wp:extent cx="5334000" cy="4951552"/>
            <wp:effectExtent b="0" l="0" r="0" t="0"/>
            <wp:docPr descr="신규 네 재예보의 +1시간 강수와 RN1" title="" id="28" name="Picture"/>
            <a:graphic>
              <a:graphicData uri="http://schemas.openxmlformats.org/drawingml/2006/picture">
                <pic:pic>
                  <pic:nvPicPr>
                    <pic:cNvPr descr="evidence/current_forecast_paper_20261029/figures_publication/hour_13_paired_precipitation.png" id="29" name="Picture"/>
                    <pic:cNvPicPr>
                      <a:picLocks noChangeArrowheads="1" noChangeAspect="1"/>
                    </pic:cNvPicPr>
                  </pic:nvPicPr>
                  <pic:blipFill>
                    <a:blip r:embed="rId27"/>
                    <a:stretch>
                      <a:fillRect/>
                    </a:stretch>
                  </pic:blipFill>
                  <pic:spPr bwMode="auto">
                    <a:xfrm>
                      <a:off x="0" y="0"/>
                      <a:ext cx="5334000" cy="4951552"/>
                    </a:xfrm>
                    <a:prstGeom prst="rect">
                      <a:avLst/>
                    </a:prstGeom>
                    <a:noFill/>
                    <a:ln w="9525">
                      <a:noFill/>
                      <a:headEnd/>
                      <a:tailEnd/>
                    </a:ln>
                  </pic:spPr>
                </pic:pic>
              </a:graphicData>
            </a:graphic>
          </wp:inline>
        </w:drawing>
      </w:r>
    </w:p>
    <w:p>
      <w:pPr>
        <w:pStyle w:val="ImageCaption"/>
      </w:pPr>
      <w:r>
        <w:t xml:space="preserve">신규 네 재예보의 +1시간 강수와 RN1</w:t>
      </w:r>
    </w:p>
    <w:p>
      <w:pPr>
        <w:pStyle w:val="BodyText"/>
      </w:pPr>
      <w:r>
        <w:t xml:space="preserve">그림 1. 12–13 UTC 1시간 누적 강수량(mm). 참조와 네 재예보는 같은 색 구간으로 표시한다. 점은 평가점이며 관측 footprint를 뜻하지 않는다.</w:t>
      </w:r>
    </w:p>
    <w:p>
      <w:pPr>
        <w:pStyle w:val="CaptionedFigure"/>
      </w:pPr>
      <w:r>
        <w:drawing>
          <wp:inline>
            <wp:extent cx="5334000" cy="4951552"/>
            <wp:effectExtent b="0" l="0" r="0" t="0"/>
            <wp:docPr descr="신규 네 재예보의 +6시간 강수와 RN1" title="" id="31" name="Picture"/>
            <a:graphic>
              <a:graphicData uri="http://schemas.openxmlformats.org/drawingml/2006/picture">
                <pic:pic>
                  <pic:nvPicPr>
                    <pic:cNvPr descr="evidence/current_forecast_paper_20261029/figures_publication/hour_18_paired_precipitation.png" id="32" name="Picture"/>
                    <pic:cNvPicPr>
                      <a:picLocks noChangeArrowheads="1" noChangeAspect="1"/>
                    </pic:cNvPicPr>
                  </pic:nvPicPr>
                  <pic:blipFill>
                    <a:blip r:embed="rId30"/>
                    <a:stretch>
                      <a:fillRect/>
                    </a:stretch>
                  </pic:blipFill>
                  <pic:spPr bwMode="auto">
                    <a:xfrm>
                      <a:off x="0" y="0"/>
                      <a:ext cx="5334000" cy="4951552"/>
                    </a:xfrm>
                    <a:prstGeom prst="rect">
                      <a:avLst/>
                    </a:prstGeom>
                    <a:noFill/>
                    <a:ln w="9525">
                      <a:noFill/>
                      <a:headEnd/>
                      <a:tailEnd/>
                    </a:ln>
                  </pic:spPr>
                </pic:pic>
              </a:graphicData>
            </a:graphic>
          </wp:inline>
        </w:drawing>
      </w:r>
    </w:p>
    <w:p>
      <w:pPr>
        <w:pStyle w:val="ImageCaption"/>
      </w:pPr>
      <w:r>
        <w:t xml:space="preserve">신규 네 재예보의 +6시간 강수와 RN1</w:t>
      </w:r>
    </w:p>
    <w:p>
      <w:pPr>
        <w:pStyle w:val="BodyText"/>
      </w:pPr>
      <w:r>
        <w:t xml:space="preserve">그림 2. 17–18 UTC 1시간 누적 강수량(mm). 그림 1과 같은 해석상 제약이 적용된다.</w:t>
      </w:r>
    </w:p>
    <w:p>
      <w:pPr>
        <w:pStyle w:val="CaptionedFigure"/>
      </w:pPr>
      <w:r>
        <w:drawing>
          <wp:inline>
            <wp:extent cx="5334000" cy="3948358"/>
            <wp:effectExtent b="0" l="0" r="0" t="0"/>
            <wp:docPr descr="여섯 임계값의 시간별 CSI" title="" id="34" name="Picture"/>
            <a:graphic>
              <a:graphicData uri="http://schemas.openxmlformats.org/drawingml/2006/picture">
                <pic:pic>
                  <pic:nvPicPr>
                    <pic:cNvPr descr="evidence/current_forecast_paper_20261029/figures_publication/hourly_csi.png" id="35" name="Picture"/>
                    <pic:cNvPicPr>
                      <a:picLocks noChangeArrowheads="1" noChangeAspect="1"/>
                    </pic:cNvPicPr>
                  </pic:nvPicPr>
                  <pic:blipFill>
                    <a:blip r:embed="rId33"/>
                    <a:stretch>
                      <a:fillRect/>
                    </a:stretch>
                  </pic:blipFill>
                  <pic:spPr bwMode="auto">
                    <a:xfrm>
                      <a:off x="0" y="0"/>
                      <a:ext cx="5334000" cy="3948358"/>
                    </a:xfrm>
                    <a:prstGeom prst="rect">
                      <a:avLst/>
                    </a:prstGeom>
                    <a:noFill/>
                    <a:ln w="9525">
                      <a:noFill/>
                      <a:headEnd/>
                      <a:tailEnd/>
                    </a:ln>
                  </pic:spPr>
                </pic:pic>
              </a:graphicData>
            </a:graphic>
          </wp:inline>
        </w:drawing>
      </w:r>
    </w:p>
    <w:p>
      <w:pPr>
        <w:pStyle w:val="ImageCaption"/>
      </w:pPr>
      <w:r>
        <w:t xml:space="preserve">여섯 임계값의 시간별 CSI</w:t>
      </w:r>
    </w:p>
    <w:p>
      <w:pPr>
        <w:pStyle w:val="BodyText"/>
      </w:pPr>
      <w:r>
        <w:t xml:space="preserve">그림 3. 여섯 임계값에서의 시간별 CSI.</w:t>
      </w:r>
      <w:r>
        <w:t xml:space="preserve"> </w:t>
      </w:r>
      <w:hyperlink r:id="rId36">
        <w:r>
          <w:rPr>
            <w:rStyle w:val="Hyperlink"/>
          </w:rPr>
          <w:t xml:space="preserve">ETS</w:t>
        </w:r>
      </w:hyperlink>
      <w:r>
        <w:t xml:space="preserve">,</w:t>
      </w:r>
      <w:r>
        <w:t xml:space="preserve"> </w:t>
      </w:r>
      <w:hyperlink r:id="rId37">
        <w:r>
          <w:rPr>
            <w:rStyle w:val="Hyperlink"/>
          </w:rPr>
          <w:t xml:space="preserve">연속형 점수</w:t>
        </w:r>
      </w:hyperlink>
      <w:r>
        <w:t xml:space="preserve">,</w:t>
      </w:r>
      <w:r>
        <w:t xml:space="preserve"> </w:t>
      </w:r>
      <w:hyperlink r:id="rId38">
        <w:r>
          <w:rPr>
            <w:rStyle w:val="Hyperlink"/>
          </w:rPr>
          <w:t xml:space="preserve">5 mm 대응 전이</w:t>
        </w:r>
      </w:hyperlink>
      <w:r>
        <w:t xml:space="preserve">도 함께 보존한다.</w:t>
      </w:r>
    </w:p>
    <w:bookmarkEnd w:id="39"/>
    <w:bookmarkStart w:id="41" w:name="보관-cp02와의-재현성-대조"/>
    <w:p>
      <w:pPr>
        <w:pStyle w:val="Heading3"/>
      </w:pPr>
      <w:r>
        <w:t xml:space="preserve">3.2 보관 CP02와의 재현성 대조</w:t>
      </w:r>
    </w:p>
    <w:p>
      <w:pPr>
        <w:pStyle w:val="FirstParagraph"/>
      </w:pPr>
      <w:r>
        <w:t xml:space="preserve">이번 ORIGINAL·CURRENT_HYDRO·CURRENT_LIQUID의 각 +1~+6시간 평가점 예측 배열은 각각의 보관 CP02 OFF·HYDRO·LIQUID 배열과 66,384개 값 모두 비트 단위로 같다. 이는 이 표본 예측값의 재현이며 모든 모델 상태나 독립적 새 기상 사례의 증거는 아니다. CURRENT_OFF는 새 대응 대조군이고 과거 OFF와 같은 것으로 취급하지 않는다.</w:t>
      </w:r>
      <w:r>
        <w:t xml:space="preserve"> </w:t>
      </w:r>
      <w:hyperlink r:id="rId40">
        <w:r>
          <w:rPr>
            <w:rStyle w:val="Hyperlink"/>
          </w:rPr>
          <w:t xml:space="preserve">비교 기록</w:t>
        </w:r>
      </w:hyperlink>
    </w:p>
    <w:bookmarkEnd w:id="41"/>
    <w:bookmarkStart w:id="44" w:name="보관-cp02의-초기-수상체와-첫-호출-관측"/>
    <w:p>
      <w:pPr>
        <w:pStyle w:val="Heading3"/>
      </w:pPr>
      <w:r>
        <w:t xml:space="preserve">3.3 보관 CP02의 초기 수상체와 첫 호출 관측</w:t>
      </w:r>
    </w:p>
    <w:p>
      <w:pPr>
        <w:pStyle w:val="FirstParagraph"/>
      </w:pPr>
      <w:r>
        <w:t xml:space="preserve">사후 선정한 20점 × 22개 저장 기압층 중 레이더 진단 관측 마스크가 참인 190개 위치에서 선형 반사도와 진단 수종을 추적했다. rain+snow+graupel은 포착된 총량과 일치했다. 이 선택 표본의 일치는 전 영역 물수지나 강수 결과의 원인 증명이 아니다.</w:t>
      </w:r>
      <w:r>
        <w:t xml:space="preserve"> </w:t>
      </w:r>
      <w:hyperlink r:id="rId42">
        <w:r>
          <w:rPr>
            <w:rStyle w:val="Hyperlink"/>
          </w:rPr>
          <w:t xml:space="preserve">반사도 입력 추적</w:t>
        </w:r>
      </w:hyperlink>
    </w:p>
    <w:p>
      <w:pPr>
        <w:pStyle w:val="BodyText"/>
      </w:pPr>
      <w:r>
        <w:t xml:space="preserve">선택된 624개 모델 소유 표본에서 첫 KDM6 호출 전 nc·nr·ni 보조 후보는 세 실험 각각 624개 모두 0이고, 호출 후 양의 값이 나타났다. 이 공통 변화는 HYDRO만의 현상으로 볼 수 없다. 후보 배열의 정확한 빌드 소스와 단위, 호출 내부 생성 과정 및 호출 사이 수송·물리 기여는 미확정이다.</w:t>
      </w:r>
      <w:r>
        <w:t xml:space="preserve"> </w:t>
      </w:r>
      <w:hyperlink r:id="rId19">
        <w:r>
          <w:rPr>
            <w:rStyle w:val="Hyperlink"/>
          </w:rPr>
          <w:t xml:space="preserve">동일 경계 비교</w:t>
        </w:r>
      </w:hyperlink>
    </w:p>
    <w:p>
      <w:pPr>
        <w:pStyle w:val="BodyText"/>
      </w:pPr>
      <w:r>
        <w:t xml:space="preserve">또 다른 선택 셀의 보관 바이너리 분석은 유한 후보</w:t>
      </w:r>
      <w:r>
        <w:t xml:space="preserve"> </w:t>
      </w:r>
      <m:oMath>
        <m:r>
          <m:t>C</m:t>
        </m:r>
      </m:oMath>
      <w:r>
        <w:t xml:space="preserve">가 양수 또는 부호 있는 0이면</w:t>
      </w:r>
      <w:r>
        <w:t xml:space="preserve"> </w:t>
      </w:r>
      <w:r>
        <w:rPr>
          <w:rStyle w:val="VerbatimChar"/>
        </w:rPr>
        <w:t xml:space="preserve">min</w:t>
      </w:r>
      <w:r>
        <w:t xml:space="preserve"> </w:t>
      </w:r>
      <w:r>
        <w:t xml:space="preserve">경로, 음수이면</w:t>
      </w:r>
      <w:r>
        <w:t xml:space="preserve"> </w:t>
      </w:r>
      <w:r>
        <w:rPr>
          <w:rStyle w:val="VerbatimChar"/>
        </w:rPr>
        <w:t xml:space="preserve">max</w:t>
      </w:r>
      <w:r>
        <w:t xml:space="preserve"> </w:t>
      </w:r>
      <w:r>
        <w:t xml:space="preserve">경로를 따름을 보여준다. 해당 여섯 포착 사례의</w:t>
      </w:r>
      <w:r>
        <w:t xml:space="preserve"> </w:t>
      </w:r>
      <m:oMath>
        <m:r>
          <m:t>C</m:t>
        </m:r>
      </m:oMath>
      <w:r>
        <w:t xml:space="preserve">는 음의 0이었다. 이것은 기계어 수준의 조건부 분기 관찰이며, 인접 소스의 물리 변수와 일치한다고 입증되지 않았다. 특히 동적 배열 B의 물리 의미·단위는 미확인이다. 0 입력의 생성 원인과 분기 변화가 지상 강수에 미치는 영향도 미확인이다.</w:t>
      </w:r>
      <w:r>
        <w:t xml:space="preserve"> </w:t>
      </w:r>
      <w:hyperlink r:id="rId43">
        <w:r>
          <w:rPr>
            <w:rStyle w:val="Hyperlink"/>
          </w:rPr>
          <w:t xml:space="preserve">원시 비트와 분기</w:t>
        </w:r>
      </w:hyperlink>
    </w:p>
    <w:bookmarkEnd w:id="44"/>
    <w:bookmarkEnd w:id="45"/>
    <w:bookmarkStart w:id="47" w:name="토의"/>
    <w:p>
      <w:pPr>
        <w:pStyle w:val="Heading2"/>
      </w:pPr>
      <w:r>
        <w:t xml:space="preserve">4. 토의</w:t>
      </w:r>
    </w:p>
    <w:p>
      <w:pPr>
        <w:pStyle w:val="FirstParagraph"/>
      </w:pPr>
      <w:r>
        <w:t xml:space="preserve">보관 CP02 첫 시간의 근접한 전체 평균 강수량은 공간적 일치와 다르다. RN1과 보관 OFF의 평균은 각각 0.8735와 0.8832 mm였으나 0.1 mm 이상 지점은 각각 1,593개와 696개였다. 모델의 강수 면적과 강도 분포 및 위치 차이를 함께 보아야 한다. RN1은 상류 1 km 강수장의 5×5 최대값 집계와 AWS·구름·mask 처리를 포함하며, 보간된 모델 격자값과 관측 footprint가 같지 않다. 상류 입력의 시간별 최신성 및 coverage/QC는 미확인이고 유한한 0을 관측 가능 영역의 확정적 무강수로 단정할 수 없다.</w:t>
      </w:r>
      <w:r>
        <w:t xml:space="preserve"> </w:t>
      </w:r>
      <w:hyperlink r:id="rId46">
        <w:r>
          <w:rPr>
            <w:rStyle w:val="Hyperlink"/>
          </w:rPr>
          <w:t xml:space="preserve">RN1 평가</w:t>
        </w:r>
      </w:hyperlink>
    </w:p>
    <w:p>
      <w:pPr>
        <w:pStyle w:val="BodyText"/>
      </w:pPr>
      <w:r>
        <w:t xml:space="preserve">본 결과는 한 초기화 사례이며 3,688개 지점과 시간은 공간·시간적으로 상관된다. 이 점들을 독립 사례로 취급한 유의성이나 다른 강수 체계에 대한 일반화를 주장하지 않는다. 사후 선택된 소실 지점은 가설 생성에 유용하나 편향이 있으므로 적중 유지·오경보 제거 지점과 사전 지정된 다수 사례를 함께 비교해야 한다. 관측과 모델의 대응 규모 및 자료 계보가 확인된 독립 관측으로 재검증할 필요가 있다.</w:t>
      </w:r>
    </w:p>
    <w:p>
      <w:pPr>
        <w:pStyle w:val="BodyText"/>
      </w:pPr>
      <w:r>
        <w:t xml:space="preserve">초기 구름과 강수의 재조정은 응결·증발·상변화에 수반되는 잠열 교환을 통해 온도와 수증기를 바꾸고, 이후 포화도와 부력 및 강수 발달에 영향을 줄 수 있다. 첫 시간은 초기 수상체와 모델 물리의 조정이 특히 눈에 띌 수 있지만, 관측된 차이만으로 이 가능성의 크기나 방향을 확정할 수 없다. WRF 호출의 PRE/POST 차이는 여러 미세물리 과정의 합이며, 지상 강수의 변화에는 수송·역학도 기여할 수 있다. 같은 시점의 건조공기 질량과 과정별 물·에너지 수지, 강수 flux가 확보되기 전에는 특정 증발·상변화·침강 또는 바이너리 분기 하나를 원인으로 지정할 수 없다. 보관 CP02 진단 실행은 의도적으로 중단된 호출 계측이다. 별도의 최신 C2 T39 및 H/A/N 1시간 완료 여부는 이 결과로 대신할 수 없다.</w:t>
      </w:r>
    </w:p>
    <w:bookmarkEnd w:id="47"/>
    <w:bookmarkStart w:id="48" w:name="결론"/>
    <w:p>
      <w:pPr>
        <w:pStyle w:val="Heading2"/>
      </w:pPr>
      <w:r>
        <w:t xml:space="preserve">5. 결론</w:t>
      </w:r>
    </w:p>
    <w:p>
      <w:pPr>
        <w:pStyle w:val="FirstParagraph"/>
      </w:pPr>
      <w:r>
        <w:t xml:space="preserve">네 단일 사례 재예보는 6시간을 완주했다. 첫 시간 5 mm CSI에서 현행 후보는 CURRENT_OFF보다 높았으나 ORIGINAL보다 낮았고, 후속 시간과 임계값의 결과는 혼합적이었다. 기준군과 전처리 계보를 명시해야 하며 일반적인 성능 향상은 입증되지 않았다. 레이더 수상체 진단의 농도–건조공기 밀도 변환과 질량·입자수 상태의 동시 추적은 물리적 해석에 필수적이다. 기존 경계 계측은 가설을 좁히지만 전체 수지와 강수 변화의 인과관계를 닫지 못한다.</w:t>
      </w:r>
    </w:p>
    <w:bookmarkEnd w:id="48"/>
    <w:bookmarkStart w:id="49" w:name="참고문헌"/>
    <w:p>
      <w:pPr>
        <w:pStyle w:val="Heading2"/>
      </w:pPr>
      <w:r>
        <w:t xml:space="preserve">참고문헌</w:t>
      </w:r>
    </w:p>
    <w:p>
      <w:pPr>
        <w:numPr>
          <w:ilvl w:val="0"/>
          <w:numId w:val="1001"/>
        </w:numPr>
      </w:pPr>
      <w:r>
        <w:t xml:space="preserve">Sun, J., and H. Wang (2013), “WRF-ARW Variational Storm-Scale Data Assimilation: Current Capabilities and Future Developments,”</w:t>
      </w:r>
      <w:r>
        <w:t xml:space="preserve"> </w:t>
      </w:r>
      <w:r>
        <w:rPr>
          <w:i/>
          <w:iCs/>
        </w:rPr>
        <w:t xml:space="preserve">Advances in Meteorology</w:t>
      </w:r>
      <w:r>
        <w:t xml:space="preserve">, 2013, 815910. https://doi.org/10.1155/2013/815910</w:t>
      </w:r>
    </w:p>
    <w:p>
      <w:pPr>
        <w:numPr>
          <w:ilvl w:val="0"/>
          <w:numId w:val="1001"/>
        </w:numPr>
      </w:pPr>
      <w:r>
        <w:t xml:space="preserve">National Center for Atmospheric Research,</w:t>
      </w:r>
      <w:r>
        <w:t xml:space="preserve"> </w:t>
      </w:r>
      <w:r>
        <w:rPr>
          <w:i/>
          <w:iCs/>
        </w:rPr>
        <w:t xml:space="preserve">Technical Description of the Advanced Research WRF Model (WRF-ARW)</w:t>
      </w:r>
      <w:r>
        <w:t xml:space="preserve">. https://www2.mmm.ucar.edu/wrf/site/documentation/technote.html (확인: 2026-10-29).</w:t>
      </w:r>
    </w:p>
    <w:p>
      <w:pPr>
        <w:numPr>
          <w:ilvl w:val="0"/>
          <w:numId w:val="1001"/>
        </w:numPr>
      </w:pPr>
      <w:r>
        <w:t xml:space="preserve">Working Group on Numerical Experimentation (WGNE),</w:t>
      </w:r>
      <w:r>
        <w:t xml:space="preserve"> </w:t>
      </w:r>
      <w:r>
        <w:rPr>
          <w:i/>
          <w:iCs/>
        </w:rPr>
        <w:t xml:space="preserve">Suggested methods for the verification of precipitation forecasts against high resolution limited area observations</w:t>
      </w:r>
      <w:r>
        <w:t xml:space="preserve">. https://wgne.net/publications/suggested-methods-for-precipitation-verification/ (확인: 2026-10-29).</w:t>
      </w:r>
    </w:p>
    <w:p>
      <w:pPr>
        <w:numPr>
          <w:ilvl w:val="0"/>
          <w:numId w:val="1001"/>
        </w:numPr>
      </w:pPr>
      <w:r>
        <w:t xml:space="preserve">Morrison, H., J. A. Curry, and V. I. Khvorostyanov (2005), “A New Double-Moment Microphysics Parameterization for Application in Cloud and Climate Models. Part I: Description,”</w:t>
      </w:r>
      <w:r>
        <w:t xml:space="preserve"> </w:t>
      </w:r>
      <w:r>
        <w:rPr>
          <w:i/>
          <w:iCs/>
        </w:rPr>
        <w:t xml:space="preserve">Journal of the Atmospheric Sciences</w:t>
      </w:r>
      <w:r>
        <w:t xml:space="preserve">, 62, 1665–1677. https://doi.org/10.1175/JAS3446.1</w:t>
      </w:r>
    </w:p>
    <w:bookmarkEnd w:id="49"/>
    <w:bookmarkEnd w:id="50"/>
    <w:sectPr>
      <w:footnotePr>
        <w:numRestart w:val="eachSect"/>
      </w:footnotePr>
      <w:pgSz w:w="11906" w:h="16838"/>
      <w:pgMar w:top="1247" w:bottom="1247"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anumMyeongjo" w:hAnsi="NanumMyeongjo" w:eastAsia="NanumMyeongjo" w:cs="NanumMyeongjo"/>
      <w:sz w:val="20"/>
    </w:rPr>
  </w:style>
  <w:style w:styleId="BodyText" w:type="paragraph">
    <w:name w:val="Body Text"/>
    <w:basedOn w:val="Normal"/>
    <w:link w:val="BodyTextChar"/>
    <w:qFormat/>
    <w:pPr>
      <w:spacing w:after="180" w:before="180"/>
    </w:pPr>
    <w:rPr>
      <w:rFonts w:ascii="NanumMyeongjo" w:hAnsi="NanumMyeongjo" w:eastAsia="NanumMyeongjo" w:cs="NanumMyeongjo"/>
      <w:sz w:val="20"/>
    </w:rPr>
  </w:style>
  <w:style w:customStyle="1" w:styleId="FirstParagraph" w:type="paragraph">
    <w:name w:val="First Paragraph"/>
    <w:basedOn w:val="BodyText"/>
    <w:next w:val="BodyText"/>
    <w:qFormat/>
    <w:rPr>
      <w:rFonts w:ascii="NanumMyeongjo" w:hAnsi="NanumMyeongjo" w:eastAsia="NanumMyeongjo" w:cs="NanumMyeongjo"/>
      <w:sz w:val="20"/>
    </w:rPr>
  </w:style>
  <w:style w:customStyle="1" w:styleId="Compact" w:type="paragraph">
    <w:name w:val="Compact"/>
    <w:basedOn w:val="BodyText"/>
    <w:qFormat/>
    <w:pPr>
      <w:spacing w:after="36" w:before="36"/>
    </w:pPr>
    <w:rPr>
      <w:rFonts w:ascii="NanumMyeongjo" w:hAnsi="NanumMyeongjo" w:eastAsia="NanumMyeongjo" w:cs="NanumMyeongjo"/>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NanumMyeongjo" w:hAnsi="NanumMyeongjo" w:eastAsia="NanumMyeongjo" w:cs="NanumMyeongjo"/>
      <w:sz w:val="2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NanumMyeongjo" w:hAnsi="NanumMyeongjo" w:eastAsia="NanumMyeongjo" w:cs="NanumMyeongjo"/>
      <w:spacing w:val="15"/>
      <w:sz w:val="2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NanumMyeongjo" w:hAnsi="NanumMyeongjo" w:eastAsia="NanumMyeongjo" w:cs="NanumMyeongjo"/>
      <w:sz w:val="20"/>
      <w:szCs w:val="24"/>
    </w:rPr>
  </w:style>
  <w:style w:styleId="Date" w:type="paragraph">
    <w:name w:val="Date"/>
    <w:basedOn w:val="Title"/>
    <w:next w:val="BodyText"/>
    <w:qFormat/>
    <w:pPr>
      <w:keepNext/>
      <w:keepLines/>
    </w:pPr>
    <w:rPr>
      <w:rFonts w:ascii="NanumMyeongjo" w:hAnsi="NanumMyeongjo" w:eastAsia="NanumMyeongjo" w:cs="NanumMyeongjo"/>
      <w:sz w:val="20"/>
      <w:szCs w:val="24"/>
    </w:rPr>
  </w:style>
  <w:style w:customStyle="1" w:styleId="AbstractTitle" w:type="paragraph">
    <w:name w:val="Abstract Title"/>
    <w:basedOn w:val="Normal"/>
    <w:next w:val="Abstract"/>
    <w:qFormat/>
    <w:pPr>
      <w:keepNext/>
      <w:keepLines/>
      <w:spacing w:after="0" w:before="300"/>
      <w:jc w:val="center"/>
    </w:pPr>
    <w:rPr>
      <w:rFonts w:ascii="NanumMyeongjo" w:hAnsi="NanumMyeongjo" w:eastAsia="NanumMyeongjo" w:cs="NanumMyeongjo"/>
      <w:b/>
      <w:sz w:val="20"/>
      <w:szCs w:val="20"/>
    </w:rPr>
  </w:style>
  <w:style w:customStyle="1" w:styleId="Abstract" w:type="paragraph">
    <w:name w:val="Abstract"/>
    <w:basedOn w:val="Normal"/>
    <w:next w:val="BodyText"/>
    <w:qFormat/>
    <w:pPr>
      <w:keepNext/>
      <w:keepLines/>
      <w:spacing w:after="300" w:before="100"/>
    </w:pPr>
    <w:rPr>
      <w:rFonts w:ascii="NanumMyeongjo" w:hAnsi="NanumMyeongjo" w:eastAsia="NanumMyeongjo" w:cs="NanumMyeongjo"/>
      <w:sz w:val="20"/>
      <w:szCs w:val="20"/>
    </w:rPr>
  </w:style>
  <w:style w:styleId="Bibliography" w:type="paragraph">
    <w:name w:val="Bibliography"/>
    <w:basedOn w:val="Normal"/>
    <w:next w:val="Bibliography"/>
    <w:qFormat/>
    <w:pPr/>
    <w:rPr>
      <w:rFonts w:ascii="NanumMyeongjo" w:hAnsi="NanumMyeongjo" w:eastAsia="NanumMyeongjo" w:cs="NanumMyeongjo"/>
      <w:sz w:val="2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NanumMyeongjo" w:hAnsi="NanumMyeongjo" w:eastAsia="NanumMyeongjo" w:cs="NanumMyeongjo"/>
      <w:color w:themeColor="accent1" w:themeShade="BF" w:val="0F4761"/>
      <w:sz w:val="2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NanumMyeongjo" w:hAnsi="NanumMyeongjo" w:eastAsia="NanumMyeongjo" w:cs="NanumMyeongjo"/>
      <w:color w:themeColor="accent1" w:themeShade="BF" w:val="0F4761"/>
      <w:sz w:val="2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NanumMyeongjo" w:hAnsi="NanumMyeongjo" w:eastAsia="NanumMyeongjo" w:cs="NanumMyeongjo"/>
      <w:color w:themeColor="accent1" w:themeShade="BF" w:val="0F4761"/>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NanumMyeongjo" w:hAnsi="NanumMyeongjo" w:eastAsia="NanumMyeongjo" w:cs="NanumMyeongjo"/>
      <w:i/>
      <w:iCs/>
      <w:color w:themeColor="accent1" w:themeShade="BF" w:val="0F4761"/>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NanumMyeongjo" w:hAnsi="NanumMyeongjo" w:eastAsia="NanumMyeongjo" w:cs="NanumMyeongjo"/>
      <w:color w:themeColor="accent1" w:themeShade="BF" w:val="0F4761"/>
      <w:sz w:val="2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NanumMyeongjo" w:hAnsi="NanumMyeongjo" w:eastAsia="NanumMyeongjo" w:cs="NanumMyeongjo"/>
      <w:i/>
      <w:iCs/>
      <w:color w:themeColor="text1" w:themeTint="A6" w:val="595959"/>
      <w:sz w:val="2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NanumMyeongjo" w:hAnsi="NanumMyeongjo" w:eastAsia="NanumMyeongjo" w:cs="NanumMyeongjo"/>
      <w:color w:themeColor="text1" w:themeTint="A6" w:val="595959"/>
      <w:sz w:val="2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NanumMyeongjo" w:hAnsi="NanumMyeongjo" w:eastAsia="NanumMyeongjo" w:cs="NanumMyeongjo"/>
      <w:i/>
      <w:iCs/>
      <w:color w:themeColor="text1" w:themeTint="D8" w:val="272727"/>
      <w:sz w:val="2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NanumMyeongjo" w:hAnsi="NanumMyeongjo" w:eastAsia="NanumMyeongjo" w:cs="NanumMyeongjo"/>
      <w:color w:themeColor="text1" w:themeTint="D8" w:val="272727"/>
      <w:sz w:val="2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NanumMyeongjo" w:hAnsi="NanumMyeongjo" w:eastAsia="NanumMyeongjo" w:cs="NanumMyeongjo"/>
      <w:sz w:val="20"/>
    </w:rPr>
  </w:style>
  <w:style w:styleId="FootnoteText" w:type="paragraph">
    <w:name w:val="Footnote Text"/>
    <w:basedOn w:val="Normal"/>
    <w:next w:val="FootnoteText"/>
    <w:uiPriority w:val="9"/>
    <w:unhideWhenUsed/>
    <w:qFormat/>
    <w:rPr>
      <w:rFonts w:ascii="NanumMyeongjo" w:hAnsi="NanumMyeongjo" w:eastAsia="NanumMyeongjo" w:cs="NanumMyeongjo"/>
      <w:sz w:val="20"/>
    </w:rPr>
  </w:style>
  <w:style w:styleId="FootnoteBlockText" w:type="paragraph">
    <w:name w:val="Footnote Block Text"/>
    <w:basedOn w:val="FootnoteText"/>
    <w:next w:val="FootnoteText"/>
    <w:uiPriority w:val="9"/>
    <w:unhideWhenUsed/>
    <w:qFormat/>
    <w:pPr>
      <w:spacing w:after="100" w:before="100"/>
      <w:ind w:firstLine="0" w:left="480" w:right="480"/>
    </w:pPr>
    <w:rPr>
      <w:rFonts w:ascii="NanumMyeongjo" w:hAnsi="NanumMyeongjo" w:eastAsia="NanumMyeongjo" w:cs="NanumMyeongjo"/>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NanumMyeongjo" w:hAnsi="NanumMyeongjo" w:eastAsia="NanumMyeongjo" w:cs="NanumMyeongjo"/>
      <w:b/>
      <w:sz w:val="20"/>
    </w:rPr>
  </w:style>
  <w:style w:customStyle="1" w:styleId="Definition" w:type="paragraph">
    <w:name w:val="Definition"/>
    <w:basedOn w:val="Normal"/>
    <w:rPr>
      <w:rFonts w:ascii="NanumMyeongjo" w:hAnsi="NanumMyeongjo" w:eastAsia="NanumMyeongjo" w:cs="NanumMyeongjo"/>
      <w:sz w:val="20"/>
    </w:rPr>
  </w:style>
  <w:style w:styleId="Caption" w:type="paragraph">
    <w:name w:val="Caption"/>
    <w:basedOn w:val="Normal"/>
    <w:link w:val="BodyTextChar"/>
    <w:pPr>
      <w:spacing w:after="120" w:before="0"/>
    </w:pPr>
    <w:rPr>
      <w:rFonts w:ascii="NanumMyeongjo" w:hAnsi="NanumMyeongjo" w:eastAsia="NanumMyeongjo" w:cs="NanumMyeongjo"/>
      <w:i/>
      <w:sz w:val="20"/>
    </w:rPr>
  </w:style>
  <w:style w:customStyle="1" w:styleId="TableCaption" w:type="paragraph">
    <w:name w:val="Table Caption"/>
    <w:basedOn w:val="Caption"/>
    <w:pPr>
      <w:keepNext/>
    </w:pPr>
    <w:rPr>
      <w:rFonts w:ascii="NanumMyeongjo" w:hAnsi="NanumMyeongjo" w:eastAsia="NanumMyeongjo" w:cs="NanumMyeongjo"/>
      <w:sz w:val="20"/>
    </w:rPr>
  </w:style>
  <w:style w:customStyle="1" w:styleId="ImageCaption" w:type="paragraph">
    <w:name w:val="Image Caption"/>
    <w:basedOn w:val="Caption"/>
    <w:rPr>
      <w:rFonts w:ascii="NanumMyeongjo" w:hAnsi="NanumMyeongjo" w:eastAsia="NanumMyeongjo" w:cs="NanumMyeongjo"/>
      <w:sz w:val="20"/>
    </w:rPr>
  </w:style>
  <w:style w:customStyle="1" w:styleId="Figure" w:type="paragraph">
    <w:name w:val="Figure"/>
    <w:basedOn w:val="Normal"/>
    <w:rPr>
      <w:rFonts w:ascii="NanumMyeongjo" w:hAnsi="NanumMyeongjo" w:eastAsia="NanumMyeongjo" w:cs="NanumMyeongjo"/>
      <w:sz w:val="20"/>
    </w:rPr>
  </w:style>
  <w:style w:customStyle="1" w:styleId="CaptionedFigure" w:type="paragraph">
    <w:name w:val="Captioned Figure"/>
    <w:basedOn w:val="Figure"/>
    <w:pPr>
      <w:keepNext/>
    </w:pPr>
    <w:rPr>
      <w:rFonts w:ascii="NanumMyeongjo" w:hAnsi="NanumMyeongjo" w:eastAsia="NanumMyeongjo" w:cs="NanumMyeongjo"/>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NanumMyeongjo" w:hAnsi="NanumMyeongjo" w:eastAsia="NanumMyeongjo" w:cs="NanumMyeongjo"/>
      <w:b w:val="0"/>
      <w:bCs w:val="0"/>
      <w:color w:themeColor="accent1" w:themeShade="BF" w:val="365F91"/>
      <w:sz w:val="20"/>
    </w:rPr>
  </w:style>
  <w:style w:type="paragraph" w:customStyle="1" w:styleId="SourceCode">
    <w:name w:val="Source Code"/>
    <w:basedOn w:val="Normal"/>
    <w:link w:val="VerbatimChar"/>
    <w:pPr>
      <w:wordWrap w:val="off"/>
    </w:pPr>
    <w:rPr>
      <w:rFonts w:ascii="NanumMyeongjo" w:hAnsi="NanumMyeongjo" w:eastAsia="NanumMyeongjo" w:cs="NanumMyeongjo"/>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30" Type="http://schemas.openxmlformats.org/officeDocument/2006/relationships/image" Target="media/rId30.png"/><Relationship Id="rId33" Type="http://schemas.openxmlformats.org/officeDocument/2006/relationships/image" Target="media/rId33.png"/><Relationship Id="rId12" Type="http://schemas.openxmlformats.org/officeDocument/2006/relationships/hyperlink" Target="../src/common/cloud_bal_column_physics.f90" TargetMode="External"/><Relationship Id="rId13" Type="http://schemas.openxmlformats.org/officeDocument/2006/relationships/hyperlink" Target="../src/common/cloud_bal_state.f90" TargetMode="External"/><Relationship Id="rId19" Type="http://schemas.openxmlformats.org/officeDocument/2006/relationships/hyperlink" Target="CP02_KDM6_CONTROLS_20261029.md" TargetMode="External"/><Relationship Id="rId42" Type="http://schemas.openxmlformats.org/officeDocument/2006/relationships/hyperlink" Target="CP02_RADAR_INPUTS_20261028.md" TargetMode="External"/><Relationship Id="rId46" Type="http://schemas.openxmlformats.org/officeDocument/2006/relationships/hyperlink" Target="CP02_RN1_REPRESENTATIVENESS_20261027.md" TargetMode="External"/><Relationship Id="rId43" Type="http://schemas.openxmlformats.org/officeDocument/2006/relationships/hyperlink" Target="CP02_ZERO_CANDIDATE_20261029.md" TargetMode="External"/><Relationship Id="rId15" Type="http://schemas.openxmlformats.org/officeDocument/2006/relationships/hyperlink" Target="PRECIP_HOURLY_VERIFICATION_20261027.md" TargetMode="External"/><Relationship Id="rId37" Type="http://schemas.openxmlformats.org/officeDocument/2006/relationships/hyperlink" Target="evidence/current_forecast_paper_20261029/figures/hourly_continuous.png" TargetMode="External"/><Relationship Id="rId36" Type="http://schemas.openxmlformats.org/officeDocument/2006/relationships/hyperlink" Target="evidence/current_forecast_paper_20261029/figures/hourly_ets.png" TargetMode="External"/><Relationship Id="rId38" Type="http://schemas.openxmlformats.org/officeDocument/2006/relationships/hyperlink" Target="evidence/current_forecast_paper_20261029/figures/hourly_transitions_ge5.png" TargetMode="External"/><Relationship Id="rId17" Type="http://schemas.openxmlformats.org/officeDocument/2006/relationships/hyperlink" Target="evidence/current_forecast_paper_20261029/initial_original_vs_current_off.json" TargetMode="External"/><Relationship Id="rId16" Type="http://schemas.openxmlformats.org/officeDocument/2006/relationships/hyperlink" Target="evidence/current_forecast_paper_20261029/runtime/README.md" TargetMode="External"/><Relationship Id="rId22" Type="http://schemas.openxmlformats.org/officeDocument/2006/relationships/hyperlink" Target="evidence/current_forecast_paper_20261029/scores/categorical_scores.csv" TargetMode="External"/><Relationship Id="rId23" Type="http://schemas.openxmlformats.org/officeDocument/2006/relationships/hyperlink" Target="evidence/current_forecast_paper_20261029/scores/continuous_scores.csv" TargetMode="External"/><Relationship Id="rId24" Type="http://schemas.openxmlformats.org/officeDocument/2006/relationships/hyperlink" Target="evidence/current_forecast_paper_20261029/scores/transitions.csv" TargetMode="External"/><Relationship Id="rId26" Type="http://schemas.openxmlformats.org/officeDocument/2006/relationships/hyperlink" Target="evidence/current_forecast_paper_20261029/validation/forecast_score_binding.json" TargetMode="External"/><Relationship Id="rId40" Type="http://schemas.openxmlformats.org/officeDocument/2006/relationships/hyperlink" Target="evidence/current_forecast_paper_20261029/validation/fresh_vs_archived.json" TargetMode="External"/><Relationship Id="rId25" Type="http://schemas.openxmlformats.org/officeDocument/2006/relationships/hyperlink" Target="evidence/current_forecast_paper_20261029/validation/independent_scores.js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src/common/cloud_bal_column_physics.f90" TargetMode="External"/><Relationship Id="rId13" Type="http://schemas.openxmlformats.org/officeDocument/2006/relationships/hyperlink" Target="../src/common/cloud_bal_state.f90" TargetMode="External"/><Relationship Id="rId19" Type="http://schemas.openxmlformats.org/officeDocument/2006/relationships/hyperlink" Target="CP02_KDM6_CONTROLS_20261029.md" TargetMode="External"/><Relationship Id="rId42" Type="http://schemas.openxmlformats.org/officeDocument/2006/relationships/hyperlink" Target="CP02_RADAR_INPUTS_20261028.md" TargetMode="External"/><Relationship Id="rId46" Type="http://schemas.openxmlformats.org/officeDocument/2006/relationships/hyperlink" Target="CP02_RN1_REPRESENTATIVENESS_20261027.md" TargetMode="External"/><Relationship Id="rId43" Type="http://schemas.openxmlformats.org/officeDocument/2006/relationships/hyperlink" Target="CP02_ZERO_CANDIDATE_20261029.md" TargetMode="External"/><Relationship Id="rId15" Type="http://schemas.openxmlformats.org/officeDocument/2006/relationships/hyperlink" Target="PRECIP_HOURLY_VERIFICATION_20261027.md" TargetMode="External"/><Relationship Id="rId37" Type="http://schemas.openxmlformats.org/officeDocument/2006/relationships/hyperlink" Target="evidence/current_forecast_paper_20261029/figures/hourly_continuous.png" TargetMode="External"/><Relationship Id="rId36" Type="http://schemas.openxmlformats.org/officeDocument/2006/relationships/hyperlink" Target="evidence/current_forecast_paper_20261029/figures/hourly_ets.png" TargetMode="External"/><Relationship Id="rId38" Type="http://schemas.openxmlformats.org/officeDocument/2006/relationships/hyperlink" Target="evidence/current_forecast_paper_20261029/figures/hourly_transitions_ge5.png" TargetMode="External"/><Relationship Id="rId17" Type="http://schemas.openxmlformats.org/officeDocument/2006/relationships/hyperlink" Target="evidence/current_forecast_paper_20261029/initial_original_vs_current_off.json" TargetMode="External"/><Relationship Id="rId16" Type="http://schemas.openxmlformats.org/officeDocument/2006/relationships/hyperlink" Target="evidence/current_forecast_paper_20261029/runtime/README.md" TargetMode="External"/><Relationship Id="rId22" Type="http://schemas.openxmlformats.org/officeDocument/2006/relationships/hyperlink" Target="evidence/current_forecast_paper_20261029/scores/categorical_scores.csv" TargetMode="External"/><Relationship Id="rId23" Type="http://schemas.openxmlformats.org/officeDocument/2006/relationships/hyperlink" Target="evidence/current_forecast_paper_20261029/scores/continuous_scores.csv" TargetMode="External"/><Relationship Id="rId24" Type="http://schemas.openxmlformats.org/officeDocument/2006/relationships/hyperlink" Target="evidence/current_forecast_paper_20261029/scores/transitions.csv" TargetMode="External"/><Relationship Id="rId26" Type="http://schemas.openxmlformats.org/officeDocument/2006/relationships/hyperlink" Target="evidence/current_forecast_paper_20261029/validation/forecast_score_binding.json" TargetMode="External"/><Relationship Id="rId40" Type="http://schemas.openxmlformats.org/officeDocument/2006/relationships/hyperlink" Target="evidence/current_forecast_paper_20261029/validation/fresh_vs_archived.json" TargetMode="External"/><Relationship Id="rId25" Type="http://schemas.openxmlformats.org/officeDocument/2006/relationships/hyperlink" Target="evidence/current_forecast_paper_20261029/validation/independent_scores.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2026-10-29T13:56:07Z</dcterms:created>
  <dcterms:modified xsi:type="dcterms:W3CDTF">2026-10-29T13:56:07Z</dcterms:modified>
</cp:coreProperties>
</file>

<file path=docProps/custom.xml><?xml version="1.0" encoding="utf-8"?>
<Properties xmlns="http://schemas.openxmlformats.org/officeDocument/2006/custom-properties" xmlns:vt="http://schemas.openxmlformats.org/officeDocument/2006/docPropsVTypes"/>
</file>