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440"/>
        <w:gridCol w:w="5440"/>
      </w:tblGrid>
      <w:tr>
        <w:tc>
          <w:tcPr>
            <w:tcW w:type="dxa" w:w="6800"/>
            <w:tcBorders>
              <w:top w:val="nil"/>
              <w:bottom w:val="nil"/>
              <w:left w:val="nil"/>
              <w:right w:val="nil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>
            <w:pPr>
              <w:spacing w:before="0" w:after="20"/>
            </w:pPr>
            <w:r>
              <w:rPr>
                <w:rFonts w:ascii="Calibri" w:hAnsi="Calibri" w:cs="Calibri"/>
                <w:b w:val="0"/>
                <w:i w:val="0"/>
                <w:color w:val="9BBB59"/>
                <w:sz w:val="16"/>
              </w:rPr>
              <w:t xml:space="preserve">●  </w:t>
            </w:r>
            <w:r>
              <w:rPr>
                <w:rFonts w:ascii="Calibri" w:hAnsi="Calibri" w:cs="Calibri"/>
                <w:b/>
                <w:i w:val="0"/>
                <w:color w:val="444444"/>
                <w:sz w:val="18"/>
              </w:rPr>
              <w:t>LIBAX AUTOMATE</w:t>
            </w:r>
          </w:p>
          <w:p>
            <w:pPr>
              <w:spacing w:before="0" w:after="20"/>
            </w:pPr>
            <w:r>
              <w:rPr>
                <w:rFonts w:ascii="Calibri" w:hAnsi="Calibri" w:cs="Calibri"/>
                <w:b/>
                <w:i w:val="0"/>
                <w:color w:val="6D9D30"/>
                <w:sz w:val="15"/>
              </w:rPr>
              <w:t>CATÁLOGO DE MODELOS · 2026</w:t>
            </w:r>
          </w:p>
        </w:tc>
        <w:tc>
          <w:tcPr>
            <w:tcW w:type="dxa" w:w="2800"/>
            <w:tcBorders>
              <w:top w:val="nil"/>
              <w:bottom w:val="nil"/>
              <w:left w:val="nil"/>
              <w:right w:val="nil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>
            <w:pPr>
              <w:jc w:val="right"/>
              <w:spacing w:before="0" w:after="10"/>
            </w:pPr>
            <w:r>
              <w:rPr>
                <w:rFonts w:ascii="Calibri" w:hAnsi="Calibri" w:cs="Calibri"/>
                <w:b w:val="0"/>
                <w:i w:val="0"/>
                <w:color w:val="666666"/>
                <w:sz w:val="15"/>
              </w:rPr>
              <w:t>Versão 1.0</w:t>
            </w:r>
          </w:p>
          <w:p>
            <w:pPr>
              <w:jc w:val="right"/>
              <w:spacing w:before="0" w:after="10"/>
            </w:pPr>
            <w:r>
              <w:rPr>
                <w:rFonts w:ascii="Calibri" w:hAnsi="Calibri" w:cs="Calibri"/>
                <w:b w:val="0"/>
                <w:i w:val="0"/>
                <w:color w:val="666666"/>
                <w:sz w:val="15"/>
              </w:rPr>
              <w:t>Lucca Gontijo</w:t>
            </w:r>
          </w:p>
          <w:p>
            <w:pPr>
              <w:jc w:val="right"/>
              <w:spacing w:before="0" w:after="10"/>
            </w:pPr>
            <w:r>
              <w:rPr>
                <w:rFonts w:ascii="Calibri" w:hAnsi="Calibri" w:cs="Calibri"/>
                <w:b/>
                <w:i w:val="0"/>
                <w:color w:val="488500"/>
                <w:sz w:val="15"/>
              </w:rPr>
              <w:t>EM PRODUÇÃO</w:t>
            </w:r>
          </w:p>
        </w:tc>
      </w:tr>
    </w:tbl>
    <w:p>
      <w:pPr>
        <w:spacing w:before="120" w:after="20" w:line="240" w:lineRule="auto"/>
      </w:pPr>
      <w:r>
        <w:rPr>
          <w:rFonts w:ascii="Calibri" w:hAnsi="Calibri" w:cs="Calibri"/>
          <w:b w:val="0"/>
          <w:i w:val="0"/>
          <w:color w:val="000000"/>
          <w:sz w:val="44"/>
        </w:rPr>
        <w:t>24 automações para</w:t>
      </w:r>
    </w:p>
    <w:p>
      <w:pPr>
        <w:spacing w:before="0" w:after="40" w:line="240" w:lineRule="auto"/>
      </w:pPr>
      <w:r>
        <w:rPr>
          <w:rFonts w:ascii="Calibri" w:hAnsi="Calibri" w:cs="Calibri"/>
          <w:b w:val="0"/>
          <w:i w:val="0"/>
          <w:color w:val="000000"/>
          <w:sz w:val="44"/>
        </w:rPr>
        <w:t xml:space="preserve">mediadores de </w:t>
      </w:r>
      <w:r>
        <w:rPr>
          <w:rFonts w:ascii="Calibri" w:hAnsi="Calibri" w:cs="Calibri"/>
          <w:b w:val="0"/>
          <w:i/>
          <w:color w:val="6D9D30"/>
          <w:sz w:val="44"/>
        </w:rPr>
        <w:t>seguros</w:t>
      </w:r>
    </w:p>
    <w:p>
      <w:pPr>
        <w:spacing w:before="0" w:after="80" w:line="240" w:lineRule="auto"/>
      </w:pPr>
      <w:r>
        <w:rPr>
          <w:rFonts w:ascii="Calibri" w:hAnsi="Calibri" w:cs="Calibri"/>
          <w:b w:val="0"/>
          <w:i w:val="0"/>
          <w:color w:val="444444"/>
          <w:sz w:val="18"/>
        </w:rPr>
        <w:t>24 modelos prontos a automatizar — cobrem o ciclo de vida do cliente, tarefas, apólices, recibos, campanhas e conformidade.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27"/>
        <w:gridCol w:w="3627"/>
        <w:gridCol w:w="3627"/>
      </w:tblGrid>
      <w:tr>
        <w:tc>
          <w:tcPr>
            <w:tcW w:type="dxa" w:w="3100"/>
            <w:tcBorders>
              <w:top w:val="nil"/>
              <w:bottom w:val="nil"/>
              <w:left w:val="single" w:sz="18" w:color="6d9d30"/>
              <w:right w:val="nil"/>
            </w:tcBorders>
            <w:tcMar>
              <w:top w:w="60" w:type="dxa"/>
              <w:left w:w="180" w:type="dxa"/>
              <w:bottom w:w="60" w:type="dxa"/>
              <w:right w:w="80" w:type="dxa"/>
            </w:tcMar>
            <w:vAlign w:val="top"/>
          </w:tcPr>
          <w:p>
            <w:pPr>
              <w:spacing w:before="0" w:after="10" w:line="220" w:lineRule="auto"/>
            </w:pPr>
            <w:r>
              <w:rPr>
                <w:rFonts w:ascii="Calibri" w:hAnsi="Calibri" w:cs="Calibri"/>
                <w:b w:val="0"/>
                <w:i/>
                <w:color w:val="9BBB59"/>
                <w:sz w:val="28"/>
              </w:rPr>
              <w:t>01</w:t>
            </w:r>
          </w:p>
          <w:p>
            <w:pPr>
              <w:spacing w:before="0" w:after="20" w:line="220" w:lineRule="auto"/>
            </w:pPr>
            <w:r>
              <w:rPr>
                <w:rFonts w:ascii="Calibri" w:hAnsi="Calibri" w:cs="Calibri"/>
                <w:b/>
                <w:i w:val="0"/>
                <w:color w:val="000000"/>
                <w:sz w:val="18"/>
              </w:rPr>
              <w:t>Boas-vindas a novos clientes</w:t>
            </w:r>
          </w:p>
          <w:p>
            <w:pPr>
              <w:spacing w:before="0" w:after="0" w:line="220" w:lineRule="auto"/>
            </w:pPr>
            <w:r>
              <w:rPr>
                <w:rFonts w:ascii="Calibri" w:hAnsi="Calibri" w:cs="Calibri"/>
                <w:b w:val="0"/>
                <w:i w:val="0"/>
                <w:color w:val="444444"/>
                <w:sz w:val="15"/>
              </w:rPr>
              <w:t>Envia automaticamente uma mensagem de boas-vindas sempre que um novo cliente entra na base de dados. Pode ser em tempo real (no momento do registo) ou diário (todos os clientes do dia anterior).</w:t>
            </w:r>
          </w:p>
        </w:tc>
        <w:tc>
          <w:tcPr>
            <w:tcW w:type="dxa" w:w="3100"/>
            <w:tcBorders>
              <w:top w:val="nil"/>
              <w:bottom w:val="nil"/>
              <w:left w:val="single" w:sz="18" w:color="6d9d30"/>
              <w:right w:val="nil"/>
            </w:tcBorders>
            <w:tcMar>
              <w:top w:w="60" w:type="dxa"/>
              <w:left w:w="180" w:type="dxa"/>
              <w:bottom w:w="60" w:type="dxa"/>
              <w:right w:w="80" w:type="dxa"/>
            </w:tcMar>
            <w:vAlign w:val="top"/>
          </w:tcPr>
          <w:p>
            <w:pPr>
              <w:spacing w:before="0" w:after="10" w:line="220" w:lineRule="auto"/>
            </w:pPr>
            <w:r>
              <w:rPr>
                <w:rFonts w:ascii="Calibri" w:hAnsi="Calibri" w:cs="Calibri"/>
                <w:b w:val="0"/>
                <w:i/>
                <w:color w:val="9BBB59"/>
                <w:sz w:val="28"/>
              </w:rPr>
              <w:t>02</w:t>
            </w:r>
          </w:p>
          <w:p>
            <w:pPr>
              <w:spacing w:before="0" w:after="20" w:line="220" w:lineRule="auto"/>
            </w:pPr>
            <w:r>
              <w:rPr>
                <w:rFonts w:ascii="Calibri" w:hAnsi="Calibri" w:cs="Calibri"/>
                <w:b/>
                <w:i w:val="0"/>
                <w:color w:val="000000"/>
                <w:sz w:val="18"/>
              </w:rPr>
              <w:t>Aniversários</w:t>
            </w:r>
          </w:p>
          <w:p>
            <w:pPr>
              <w:spacing w:before="0" w:after="0" w:line="220" w:lineRule="auto"/>
            </w:pPr>
            <w:r>
              <w:rPr>
                <w:rFonts w:ascii="Calibri" w:hAnsi="Calibri" w:cs="Calibri"/>
                <w:b w:val="0"/>
                <w:i w:val="0"/>
                <w:color w:val="444444"/>
                <w:sz w:val="15"/>
              </w:rPr>
              <w:t>Envia uma mensagem de parabéns no dia de aniversário dos clientes ativos. Uma forma simples de manter a relação com o cliente sem esforço manual.</w:t>
            </w:r>
          </w:p>
        </w:tc>
        <w:tc>
          <w:tcPr>
            <w:tcW w:type="dxa" w:w="3100"/>
            <w:tcBorders>
              <w:top w:val="nil"/>
              <w:bottom w:val="nil"/>
              <w:left w:val="single" w:sz="18" w:color="6d9d30"/>
              <w:right w:val="nil"/>
            </w:tcBorders>
            <w:tcMar>
              <w:top w:w="60" w:type="dxa"/>
              <w:left w:w="180" w:type="dxa"/>
              <w:bottom w:w="60" w:type="dxa"/>
              <w:right w:w="80" w:type="dxa"/>
            </w:tcMar>
            <w:vAlign w:val="top"/>
          </w:tcPr>
          <w:p>
            <w:pPr>
              <w:spacing w:before="0" w:after="10" w:line="220" w:lineRule="auto"/>
            </w:pPr>
            <w:r>
              <w:rPr>
                <w:rFonts w:ascii="Calibri" w:hAnsi="Calibri" w:cs="Calibri"/>
                <w:b w:val="0"/>
                <w:i/>
                <w:color w:val="9BBB59"/>
                <w:sz w:val="28"/>
              </w:rPr>
              <w:t>03</w:t>
            </w:r>
          </w:p>
          <w:p>
            <w:pPr>
              <w:spacing w:before="0" w:after="20" w:line="220" w:lineRule="auto"/>
            </w:pPr>
            <w:r>
              <w:rPr>
                <w:rFonts w:ascii="Calibri" w:hAnsi="Calibri" w:cs="Calibri"/>
                <w:b/>
                <w:i w:val="0"/>
                <w:color w:val="000000"/>
                <w:sz w:val="18"/>
              </w:rPr>
              <w:t>Pedido RGPD</w:t>
            </w:r>
          </w:p>
          <w:p>
            <w:pPr>
              <w:spacing w:before="0" w:after="0" w:line="220" w:lineRule="auto"/>
            </w:pPr>
            <w:r>
              <w:rPr>
                <w:rFonts w:ascii="Calibri" w:hAnsi="Calibri" w:cs="Calibri"/>
                <w:b w:val="0"/>
                <w:i w:val="0"/>
                <w:color w:val="444444"/>
                <w:sz w:val="15"/>
              </w:rPr>
              <w:t>Identifica clientes que ainda não assinaram a autorização de tratamento de dados (RGPD) e envia-lhes o pedido automaticamente. Essencial para cumprir a lei.</w:t>
            </w:r>
          </w:p>
        </w:tc>
      </w:tr>
      <w:tr>
        <w:tc>
          <w:tcPr>
            <w:tcW w:type="dxa" w:w="3100"/>
            <w:tcBorders>
              <w:top w:val="nil"/>
              <w:bottom w:val="nil"/>
              <w:left w:val="single" w:sz="18" w:color="6d9d30"/>
              <w:right w:val="nil"/>
            </w:tcBorders>
            <w:tcMar>
              <w:top w:w="60" w:type="dxa"/>
              <w:left w:w="180" w:type="dxa"/>
              <w:bottom w:w="60" w:type="dxa"/>
              <w:right w:w="80" w:type="dxa"/>
            </w:tcMar>
            <w:vAlign w:val="top"/>
          </w:tcPr>
          <w:p>
            <w:pPr>
              <w:spacing w:before="0" w:after="10" w:line="220" w:lineRule="auto"/>
            </w:pPr>
            <w:r>
              <w:rPr>
                <w:rFonts w:ascii="Calibri" w:hAnsi="Calibri" w:cs="Calibri"/>
                <w:b w:val="0"/>
                <w:i/>
                <w:color w:val="9BBB59"/>
                <w:sz w:val="28"/>
              </w:rPr>
              <w:t>04</w:t>
            </w:r>
          </w:p>
          <w:p>
            <w:pPr>
              <w:spacing w:before="0" w:after="20" w:line="220" w:lineRule="auto"/>
            </w:pPr>
            <w:r>
              <w:rPr>
                <w:rFonts w:ascii="Calibri" w:hAnsi="Calibri" w:cs="Calibri"/>
                <w:b/>
                <w:i w:val="0"/>
                <w:color w:val="000000"/>
                <w:sz w:val="18"/>
              </w:rPr>
              <w:t>Novas tarefas</w:t>
            </w:r>
          </w:p>
          <w:p>
            <w:pPr>
              <w:spacing w:before="0" w:after="0" w:line="220" w:lineRule="auto"/>
            </w:pPr>
            <w:r>
              <w:rPr>
                <w:rFonts w:ascii="Calibri" w:hAnsi="Calibri" w:cs="Calibri"/>
                <w:b w:val="0"/>
                <w:i w:val="0"/>
                <w:color w:val="444444"/>
                <w:sz w:val="15"/>
              </w:rPr>
              <w:t>Avisa automaticamente a pessoa responsável sempre que é criada uma nova tarefa no sistema, para que nada fique esquecido.</w:t>
            </w:r>
          </w:p>
        </w:tc>
        <w:tc>
          <w:tcPr>
            <w:tcW w:type="dxa" w:w="3100"/>
            <w:tcBorders>
              <w:top w:val="nil"/>
              <w:bottom w:val="nil"/>
              <w:left w:val="single" w:sz="18" w:color="6d9d30"/>
              <w:right w:val="nil"/>
            </w:tcBorders>
            <w:tcMar>
              <w:top w:w="60" w:type="dxa"/>
              <w:left w:w="180" w:type="dxa"/>
              <w:bottom w:w="60" w:type="dxa"/>
              <w:right w:w="80" w:type="dxa"/>
            </w:tcMar>
            <w:vAlign w:val="top"/>
          </w:tcPr>
          <w:p>
            <w:pPr>
              <w:spacing w:before="0" w:after="10" w:line="220" w:lineRule="auto"/>
            </w:pPr>
            <w:r>
              <w:rPr>
                <w:rFonts w:ascii="Calibri" w:hAnsi="Calibri" w:cs="Calibri"/>
                <w:b w:val="0"/>
                <w:i/>
                <w:color w:val="9BBB59"/>
                <w:sz w:val="28"/>
              </w:rPr>
              <w:t>05</w:t>
            </w:r>
          </w:p>
          <w:p>
            <w:pPr>
              <w:spacing w:before="0" w:after="20" w:line="220" w:lineRule="auto"/>
            </w:pPr>
            <w:r>
              <w:rPr>
                <w:rFonts w:ascii="Calibri" w:hAnsi="Calibri" w:cs="Calibri"/>
                <w:b/>
                <w:i w:val="0"/>
                <w:color w:val="000000"/>
                <w:sz w:val="18"/>
              </w:rPr>
              <w:t>Vencimento de tarefas</w:t>
            </w:r>
          </w:p>
          <w:p>
            <w:pPr>
              <w:spacing w:before="0" w:after="0" w:line="220" w:lineRule="auto"/>
            </w:pPr>
            <w:r>
              <w:rPr>
                <w:rFonts w:ascii="Calibri" w:hAnsi="Calibri" w:cs="Calibri"/>
                <w:b w:val="0"/>
                <w:i w:val="0"/>
                <w:color w:val="444444"/>
                <w:sz w:val="15"/>
              </w:rPr>
              <w:t>Avisa quando uma tarefa está a chegar ao prazo limite, para que o responsável ou criador não deixe nada passar.</w:t>
            </w:r>
          </w:p>
        </w:tc>
        <w:tc>
          <w:tcPr>
            <w:tcW w:type="dxa" w:w="3100"/>
            <w:tcBorders>
              <w:top w:val="nil"/>
              <w:bottom w:val="nil"/>
              <w:left w:val="single" w:sz="18" w:color="6d9d30"/>
              <w:right w:val="nil"/>
            </w:tcBorders>
            <w:tcMar>
              <w:top w:w="60" w:type="dxa"/>
              <w:left w:w="180" w:type="dxa"/>
              <w:bottom w:w="60" w:type="dxa"/>
              <w:right w:w="80" w:type="dxa"/>
            </w:tcMar>
            <w:vAlign w:val="top"/>
          </w:tcPr>
          <w:p>
            <w:pPr>
              <w:spacing w:before="0" w:after="10" w:line="220" w:lineRule="auto"/>
            </w:pPr>
            <w:r>
              <w:rPr>
                <w:rFonts w:ascii="Calibri" w:hAnsi="Calibri" w:cs="Calibri"/>
                <w:b w:val="0"/>
                <w:i/>
                <w:color w:val="9BBB59"/>
                <w:sz w:val="28"/>
              </w:rPr>
              <w:t>06</w:t>
            </w:r>
          </w:p>
          <w:p>
            <w:pPr>
              <w:spacing w:before="0" w:after="20" w:line="220" w:lineRule="auto"/>
            </w:pPr>
            <w:r>
              <w:rPr>
                <w:rFonts w:ascii="Calibri" w:hAnsi="Calibri" w:cs="Calibri"/>
                <w:b/>
                <w:i w:val="0"/>
                <w:color w:val="000000"/>
                <w:sz w:val="18"/>
              </w:rPr>
              <w:t>Mensagem a vulso entidade</w:t>
            </w:r>
          </w:p>
          <w:p>
            <w:pPr>
              <w:spacing w:before="0" w:after="0" w:line="220" w:lineRule="auto"/>
            </w:pPr>
            <w:r>
              <w:rPr>
                <w:rFonts w:ascii="Calibri" w:hAnsi="Calibri" w:cs="Calibri"/>
                <w:b w:val="0"/>
                <w:i w:val="0"/>
                <w:color w:val="444444"/>
                <w:sz w:val="15"/>
              </w:rPr>
              <w:t>Permite enviar uma mensagem pontual a um cliente específico quando precisar, sem precisar de criar um modelo permanente. Útil para ocasiões únicas.</w:t>
            </w:r>
          </w:p>
        </w:tc>
      </w:tr>
      <w:tr>
        <w:tc>
          <w:tcPr>
            <w:tcW w:type="dxa" w:w="3100"/>
            <w:tcBorders>
              <w:top w:val="nil"/>
              <w:bottom w:val="nil"/>
              <w:left w:val="single" w:sz="18" w:color="6d9d30"/>
              <w:right w:val="nil"/>
            </w:tcBorders>
            <w:tcMar>
              <w:top w:w="60" w:type="dxa"/>
              <w:left w:w="180" w:type="dxa"/>
              <w:bottom w:w="60" w:type="dxa"/>
              <w:right w:w="80" w:type="dxa"/>
            </w:tcMar>
            <w:vAlign w:val="top"/>
          </w:tcPr>
          <w:p>
            <w:pPr>
              <w:spacing w:before="0" w:after="10" w:line="220" w:lineRule="auto"/>
            </w:pPr>
            <w:r>
              <w:rPr>
                <w:rFonts w:ascii="Calibri" w:hAnsi="Calibri" w:cs="Calibri"/>
                <w:b w:val="0"/>
                <w:i/>
                <w:color w:val="9BBB59"/>
                <w:sz w:val="28"/>
              </w:rPr>
              <w:t>07</w:t>
            </w:r>
          </w:p>
          <w:p>
            <w:pPr>
              <w:spacing w:before="0" w:after="20" w:line="220" w:lineRule="auto"/>
            </w:pPr>
            <w:r>
              <w:rPr>
                <w:rFonts w:ascii="Calibri" w:hAnsi="Calibri" w:cs="Calibri"/>
                <w:b/>
                <w:i w:val="0"/>
                <w:color w:val="000000"/>
                <w:sz w:val="18"/>
              </w:rPr>
              <w:t>Emissão avisos</w:t>
            </w:r>
          </w:p>
          <w:p>
            <w:pPr>
              <w:spacing w:before="0" w:after="0" w:line="220" w:lineRule="auto"/>
            </w:pPr>
            <w:r>
              <w:rPr>
                <w:rFonts w:ascii="Calibri" w:hAnsi="Calibri" w:cs="Calibri"/>
                <w:b w:val="0"/>
                <w:i w:val="0"/>
                <w:color w:val="444444"/>
                <w:sz w:val="15"/>
              </w:rPr>
              <w:t>Envia automaticamente emails ou SMS aos clientes com recibos por pagar. Pode criar diferentes mensagens conforme o estado do recibo (pendente, fora de prazo, cobrança falhada). Inclui geração de referências multibanco para facilitar o pagamento.</w:t>
            </w:r>
          </w:p>
        </w:tc>
        <w:tc>
          <w:tcPr>
            <w:tcW w:type="dxa" w:w="3100"/>
            <w:tcBorders>
              <w:top w:val="nil"/>
              <w:bottom w:val="nil"/>
              <w:left w:val="single" w:sz="18" w:color="6d9d30"/>
              <w:right w:val="nil"/>
            </w:tcBorders>
            <w:tcMar>
              <w:top w:w="60" w:type="dxa"/>
              <w:left w:w="180" w:type="dxa"/>
              <w:bottom w:w="60" w:type="dxa"/>
              <w:right w:w="80" w:type="dxa"/>
            </w:tcMar>
            <w:vAlign w:val="top"/>
          </w:tcPr>
          <w:p>
            <w:pPr>
              <w:spacing w:before="0" w:after="10" w:line="220" w:lineRule="auto"/>
            </w:pPr>
            <w:r>
              <w:rPr>
                <w:rFonts w:ascii="Calibri" w:hAnsi="Calibri" w:cs="Calibri"/>
                <w:b w:val="0"/>
                <w:i/>
                <w:color w:val="9BBB59"/>
                <w:sz w:val="28"/>
              </w:rPr>
              <w:t>08</w:t>
            </w:r>
          </w:p>
          <w:p>
            <w:pPr>
              <w:spacing w:before="0" w:after="20" w:line="220" w:lineRule="auto"/>
            </w:pPr>
            <w:r>
              <w:rPr>
                <w:rFonts w:ascii="Calibri" w:hAnsi="Calibri" w:cs="Calibri"/>
                <w:b/>
                <w:i w:val="0"/>
                <w:color w:val="000000"/>
                <w:sz w:val="18"/>
              </w:rPr>
              <w:t>Alteração de participação</w:t>
            </w:r>
          </w:p>
          <w:p>
            <w:pPr>
              <w:spacing w:before="0" w:after="0" w:line="220" w:lineRule="auto"/>
            </w:pPr>
            <w:r>
              <w:rPr>
                <w:rFonts w:ascii="Calibri" w:hAnsi="Calibri" w:cs="Calibri"/>
                <w:b w:val="0"/>
                <w:i w:val="0"/>
                <w:color w:val="444444"/>
                <w:sz w:val="15"/>
              </w:rPr>
              <w:t>Avisa quando há alterações numa participação de sinistro. Mantém toda a equipa actualizada sobre mudanças nos processos de sinistros.</w:t>
            </w:r>
          </w:p>
        </w:tc>
        <w:tc>
          <w:tcPr>
            <w:tcW w:type="dxa" w:w="3100"/>
            <w:tcBorders>
              <w:top w:val="nil"/>
              <w:bottom w:val="nil"/>
              <w:left w:val="single" w:sz="18" w:color="6d9d30"/>
              <w:right w:val="nil"/>
            </w:tcBorders>
            <w:tcMar>
              <w:top w:w="60" w:type="dxa"/>
              <w:left w:w="180" w:type="dxa"/>
              <w:bottom w:w="60" w:type="dxa"/>
              <w:right w:w="80" w:type="dxa"/>
            </w:tcMar>
            <w:vAlign w:val="top"/>
          </w:tcPr>
          <w:p>
            <w:pPr>
              <w:spacing w:before="0" w:after="10" w:line="220" w:lineRule="auto"/>
            </w:pPr>
            <w:r>
              <w:rPr>
                <w:rFonts w:ascii="Calibri" w:hAnsi="Calibri" w:cs="Calibri"/>
                <w:b w:val="0"/>
                <w:i/>
                <w:color w:val="9BBB59"/>
                <w:sz w:val="28"/>
              </w:rPr>
              <w:t>09</w:t>
            </w:r>
          </w:p>
          <w:p>
            <w:pPr>
              <w:spacing w:before="0" w:after="20" w:line="220" w:lineRule="auto"/>
            </w:pPr>
            <w:r>
              <w:rPr>
                <w:rFonts w:ascii="Calibri" w:hAnsi="Calibri" w:cs="Calibri"/>
                <w:b/>
                <w:i w:val="0"/>
                <w:color w:val="000000"/>
                <w:sz w:val="18"/>
              </w:rPr>
              <w:t>Alterar situação entidades</w:t>
            </w:r>
          </w:p>
          <w:p>
            <w:pPr>
              <w:spacing w:before="0" w:after="0" w:line="220" w:lineRule="auto"/>
            </w:pPr>
            <w:r>
              <w:rPr>
                <w:rFonts w:ascii="Calibri" w:hAnsi="Calibri" w:cs="Calibri"/>
                <w:b w:val="0"/>
                <w:i w:val="0"/>
                <w:color w:val="444444"/>
                <w:sz w:val="15"/>
              </w:rPr>
              <w:t>Actualiza automaticamente o estado dos clientes (activo/inactivo) conforme as apólices que têm. Um cliente sem apólices válidas passa a inactivo automaticamente, mantendo a base de dados limpa.</w:t>
            </w:r>
          </w:p>
        </w:tc>
      </w:tr>
      <w:tr>
        <w:tc>
          <w:tcPr>
            <w:tcW w:type="dxa" w:w="3100"/>
            <w:tcBorders>
              <w:top w:val="nil"/>
              <w:bottom w:val="nil"/>
              <w:left w:val="single" w:sz="18" w:color="6d9d30"/>
              <w:right w:val="nil"/>
            </w:tcBorders>
            <w:tcMar>
              <w:top w:w="60" w:type="dxa"/>
              <w:left w:w="180" w:type="dxa"/>
              <w:bottom w:w="60" w:type="dxa"/>
              <w:right w:w="80" w:type="dxa"/>
            </w:tcMar>
            <w:vAlign w:val="top"/>
          </w:tcPr>
          <w:p>
            <w:pPr>
              <w:spacing w:before="0" w:after="10" w:line="220" w:lineRule="auto"/>
            </w:pPr>
            <w:r>
              <w:rPr>
                <w:rFonts w:ascii="Calibri" w:hAnsi="Calibri" w:cs="Calibri"/>
                <w:b w:val="0"/>
                <w:i/>
                <w:color w:val="9BBB59"/>
                <w:sz w:val="28"/>
              </w:rPr>
              <w:t>10</w:t>
            </w:r>
          </w:p>
          <w:p>
            <w:pPr>
              <w:spacing w:before="0" w:after="20" w:line="220" w:lineRule="auto"/>
            </w:pPr>
            <w:r>
              <w:rPr>
                <w:rFonts w:ascii="Calibri" w:hAnsi="Calibri" w:cs="Calibri"/>
                <w:b/>
                <w:i w:val="0"/>
                <w:color w:val="000000"/>
                <w:sz w:val="18"/>
              </w:rPr>
              <w:t>Boas-vindas por nova apólice</w:t>
            </w:r>
          </w:p>
          <w:p>
            <w:pPr>
              <w:spacing w:before="0" w:after="0" w:line="220" w:lineRule="auto"/>
            </w:pPr>
            <w:r>
              <w:rPr>
                <w:rFonts w:ascii="Calibri" w:hAnsi="Calibri" w:cs="Calibri"/>
                <w:b w:val="0"/>
                <w:i w:val="0"/>
                <w:color w:val="444444"/>
                <w:sz w:val="15"/>
              </w:rPr>
              <w:t>Envia uma mensagem de boas-vindas quando é emitida uma nova apólice para um cliente, dando-lhe as boas-vindas como segurado.</w:t>
            </w:r>
          </w:p>
        </w:tc>
        <w:tc>
          <w:tcPr>
            <w:tcW w:type="dxa" w:w="3100"/>
            <w:tcBorders>
              <w:top w:val="nil"/>
              <w:bottom w:val="nil"/>
              <w:left w:val="single" w:sz="18" w:color="6d9d30"/>
              <w:right w:val="nil"/>
            </w:tcBorders>
            <w:tcMar>
              <w:top w:w="60" w:type="dxa"/>
              <w:left w:w="180" w:type="dxa"/>
              <w:bottom w:w="60" w:type="dxa"/>
              <w:right w:w="80" w:type="dxa"/>
            </w:tcMar>
            <w:vAlign w:val="top"/>
          </w:tcPr>
          <w:p>
            <w:pPr>
              <w:spacing w:before="0" w:after="10" w:line="220" w:lineRule="auto"/>
            </w:pPr>
            <w:r>
              <w:rPr>
                <w:rFonts w:ascii="Calibri" w:hAnsi="Calibri" w:cs="Calibri"/>
                <w:b w:val="0"/>
                <w:i/>
                <w:color w:val="9BBB59"/>
                <w:sz w:val="28"/>
              </w:rPr>
              <w:t>11</w:t>
            </w:r>
          </w:p>
          <w:p>
            <w:pPr>
              <w:spacing w:before="0" w:after="20" w:line="220" w:lineRule="auto"/>
            </w:pPr>
            <w:r>
              <w:rPr>
                <w:rFonts w:ascii="Calibri" w:hAnsi="Calibri" w:cs="Calibri"/>
                <w:b/>
                <w:i w:val="0"/>
                <w:color w:val="000000"/>
                <w:sz w:val="18"/>
              </w:rPr>
              <w:t>Apólices anuladas por falta de pagamento</w:t>
            </w:r>
          </w:p>
          <w:p>
            <w:pPr>
              <w:spacing w:before="0" w:after="0" w:line="220" w:lineRule="auto"/>
            </w:pPr>
            <w:r>
              <w:rPr>
                <w:rFonts w:ascii="Calibri" w:hAnsi="Calibri" w:cs="Calibri"/>
                <w:b w:val="0"/>
                <w:i w:val="0"/>
                <w:color w:val="444444"/>
                <w:sz w:val="15"/>
              </w:rPr>
              <w:t>Avisa automaticamente o cliente quando a sua apólice é cancelada por falta de pagamento, para que saiba que ficou sem cobertura.</w:t>
            </w:r>
          </w:p>
        </w:tc>
        <w:tc>
          <w:tcPr>
            <w:tcW w:type="dxa" w:w="3100"/>
            <w:tcBorders>
              <w:top w:val="nil"/>
              <w:bottom w:val="nil"/>
              <w:left w:val="single" w:sz="18" w:color="6d9d30"/>
              <w:right w:val="nil"/>
            </w:tcBorders>
            <w:tcMar>
              <w:top w:w="60" w:type="dxa"/>
              <w:left w:w="180" w:type="dxa"/>
              <w:bottom w:w="60" w:type="dxa"/>
              <w:right w:w="80" w:type="dxa"/>
            </w:tcMar>
            <w:vAlign w:val="top"/>
          </w:tcPr>
          <w:p>
            <w:pPr>
              <w:spacing w:before="0" w:after="10" w:line="220" w:lineRule="auto"/>
            </w:pPr>
            <w:r>
              <w:rPr>
                <w:rFonts w:ascii="Calibri" w:hAnsi="Calibri" w:cs="Calibri"/>
                <w:b w:val="0"/>
                <w:i/>
                <w:color w:val="9BBB59"/>
                <w:sz w:val="28"/>
              </w:rPr>
              <w:t>12</w:t>
            </w:r>
          </w:p>
          <w:p>
            <w:pPr>
              <w:spacing w:before="0" w:after="20" w:line="220" w:lineRule="auto"/>
            </w:pPr>
            <w:r>
              <w:rPr>
                <w:rFonts w:ascii="Calibri" w:hAnsi="Calibri" w:cs="Calibri"/>
                <w:b/>
                <w:i w:val="0"/>
                <w:color w:val="000000"/>
                <w:sz w:val="18"/>
              </w:rPr>
              <w:t>Reformular comissões</w:t>
            </w:r>
          </w:p>
          <w:p>
            <w:pPr>
              <w:spacing w:before="0" w:after="0" w:line="220" w:lineRule="auto"/>
            </w:pPr>
            <w:r>
              <w:rPr>
                <w:rFonts w:ascii="Calibri" w:hAnsi="Calibri" w:cs="Calibri"/>
                <w:b w:val="0"/>
                <w:i w:val="0"/>
                <w:color w:val="444444"/>
                <w:sz w:val="15"/>
              </w:rPr>
              <w:t>Recalcula e corrige automaticamente as comissões devidas a cada parceiro/mediador, garantindo que os valores estão sempre certos.</w:t>
            </w:r>
          </w:p>
        </w:tc>
      </w:tr>
      <w:tr>
        <w:tc>
          <w:tcPr>
            <w:tcW w:type="dxa" w:w="3100"/>
            <w:tcBorders>
              <w:top w:val="nil"/>
              <w:bottom w:val="nil"/>
              <w:left w:val="single" w:sz="18" w:color="6d9d30"/>
              <w:right w:val="nil"/>
            </w:tcBorders>
            <w:tcMar>
              <w:top w:w="60" w:type="dxa"/>
              <w:left w:w="180" w:type="dxa"/>
              <w:bottom w:w="60" w:type="dxa"/>
              <w:right w:w="80" w:type="dxa"/>
            </w:tcMar>
            <w:vAlign w:val="top"/>
          </w:tcPr>
          <w:p>
            <w:pPr>
              <w:spacing w:before="0" w:after="10" w:line="220" w:lineRule="auto"/>
            </w:pPr>
            <w:r>
              <w:rPr>
                <w:rFonts w:ascii="Calibri" w:hAnsi="Calibri" w:cs="Calibri"/>
                <w:b w:val="0"/>
                <w:i/>
                <w:color w:val="9BBB59"/>
                <w:sz w:val="28"/>
              </w:rPr>
              <w:t>13</w:t>
            </w:r>
          </w:p>
          <w:p>
            <w:pPr>
              <w:spacing w:before="0" w:after="20" w:line="220" w:lineRule="auto"/>
            </w:pPr>
            <w:r>
              <w:rPr>
                <w:rFonts w:ascii="Calibri" w:hAnsi="Calibri" w:cs="Calibri"/>
                <w:b/>
                <w:i w:val="0"/>
                <w:color w:val="000000"/>
                <w:sz w:val="18"/>
              </w:rPr>
              <w:t>Emissão de notas de pagamento</w:t>
            </w:r>
          </w:p>
          <w:p>
            <w:pPr>
              <w:spacing w:before="0" w:after="0" w:line="220" w:lineRule="auto"/>
            </w:pPr>
            <w:r>
              <w:rPr>
                <w:rFonts w:ascii="Calibri" w:hAnsi="Calibri" w:cs="Calibri"/>
                <w:b w:val="0"/>
                <w:i w:val="0"/>
                <w:color w:val="444444"/>
                <w:sz w:val="15"/>
              </w:rPr>
              <w:t>Gera automaticamente as notas de pagamento para parceiros. Pode enviar primeiro um extracto provisório para o parceiro confirmar os valores antes do fecho definitivo.</w:t>
            </w:r>
          </w:p>
        </w:tc>
        <w:tc>
          <w:tcPr>
            <w:tcW w:type="dxa" w:w="3100"/>
            <w:tcBorders>
              <w:top w:val="nil"/>
              <w:bottom w:val="nil"/>
              <w:left w:val="single" w:sz="18" w:color="6d9d30"/>
              <w:right w:val="nil"/>
            </w:tcBorders>
            <w:tcMar>
              <w:top w:w="60" w:type="dxa"/>
              <w:left w:w="180" w:type="dxa"/>
              <w:bottom w:w="60" w:type="dxa"/>
              <w:right w:w="80" w:type="dxa"/>
            </w:tcMar>
            <w:vAlign w:val="top"/>
          </w:tcPr>
          <w:p>
            <w:pPr>
              <w:spacing w:before="0" w:after="10" w:line="220" w:lineRule="auto"/>
            </w:pPr>
            <w:r>
              <w:rPr>
                <w:rFonts w:ascii="Calibri" w:hAnsi="Calibri" w:cs="Calibri"/>
                <w:b w:val="0"/>
                <w:i/>
                <w:color w:val="9BBB59"/>
                <w:sz w:val="28"/>
              </w:rPr>
              <w:t>14</w:t>
            </w:r>
          </w:p>
          <w:p>
            <w:pPr>
              <w:spacing w:before="0" w:after="20" w:line="220" w:lineRule="auto"/>
            </w:pPr>
            <w:r>
              <w:rPr>
                <w:rFonts w:ascii="Calibri" w:hAnsi="Calibri" w:cs="Calibri"/>
                <w:b/>
                <w:i w:val="0"/>
                <w:color w:val="000000"/>
                <w:sz w:val="18"/>
              </w:rPr>
              <w:t>Segmentação automática</w:t>
            </w:r>
          </w:p>
          <w:p>
            <w:pPr>
              <w:spacing w:before="0" w:after="0" w:line="220" w:lineRule="auto"/>
            </w:pPr>
            <w:r>
              <w:rPr>
                <w:rFonts w:ascii="Calibri" w:hAnsi="Calibri" w:cs="Calibri"/>
                <w:b w:val="0"/>
                <w:i w:val="0"/>
                <w:color w:val="444444"/>
                <w:sz w:val="15"/>
              </w:rPr>
              <w:t>Organiza os clientes em grupos automaticamente (ex: por tipo de seguro, valor de prémio, idade), facilitando campanhas定向 e análises de carteira.</w:t>
            </w:r>
          </w:p>
        </w:tc>
        <w:tc>
          <w:tcPr>
            <w:tcW w:type="dxa" w:w="3100"/>
            <w:tcBorders>
              <w:top w:val="nil"/>
              <w:bottom w:val="nil"/>
              <w:left w:val="single" w:sz="18" w:color="6d9d30"/>
              <w:right w:val="nil"/>
            </w:tcBorders>
            <w:tcMar>
              <w:top w:w="60" w:type="dxa"/>
              <w:left w:w="180" w:type="dxa"/>
              <w:bottom w:w="60" w:type="dxa"/>
              <w:right w:w="80" w:type="dxa"/>
            </w:tcMar>
            <w:vAlign w:val="top"/>
          </w:tcPr>
          <w:p>
            <w:pPr>
              <w:spacing w:before="0" w:after="10" w:line="220" w:lineRule="auto"/>
            </w:pPr>
            <w:r>
              <w:rPr>
                <w:rFonts w:ascii="Calibri" w:hAnsi="Calibri" w:cs="Calibri"/>
                <w:b w:val="0"/>
                <w:i/>
                <w:color w:val="9BBB59"/>
                <w:sz w:val="28"/>
              </w:rPr>
              <w:t>15</w:t>
            </w:r>
          </w:p>
          <w:p>
            <w:pPr>
              <w:spacing w:before="0" w:after="20" w:line="220" w:lineRule="auto"/>
            </w:pPr>
            <w:r>
              <w:rPr>
                <w:rFonts w:ascii="Calibri" w:hAnsi="Calibri" w:cs="Calibri"/>
                <w:b/>
                <w:i w:val="0"/>
                <w:color w:val="000000"/>
                <w:sz w:val="18"/>
              </w:rPr>
              <w:t>Notificação de parceiros</w:t>
            </w:r>
          </w:p>
          <w:p>
            <w:pPr>
              <w:spacing w:before="0" w:after="0" w:line="220" w:lineRule="auto"/>
            </w:pPr>
            <w:r>
              <w:rPr>
                <w:rFonts w:ascii="Calibri" w:hAnsi="Calibri" w:cs="Calibri"/>
                <w:b w:val="0"/>
                <w:i w:val="0"/>
                <w:color w:val="444444"/>
                <w:sz w:val="15"/>
              </w:rPr>
              <w:t>Envia aos parceiros um ficheiro Excel com os recibos que estão em cobrança, para que saibam o estado dos pagamentos sem precisar de perguntar.</w:t>
            </w:r>
          </w:p>
        </w:tc>
      </w:tr>
      <w:tr>
        <w:tc>
          <w:tcPr>
            <w:tcW w:type="dxa" w:w="3100"/>
            <w:tcBorders>
              <w:top w:val="nil"/>
              <w:bottom w:val="nil"/>
              <w:left w:val="single" w:sz="18" w:color="6d9d30"/>
              <w:right w:val="nil"/>
            </w:tcBorders>
            <w:tcMar>
              <w:top w:w="60" w:type="dxa"/>
              <w:left w:w="180" w:type="dxa"/>
              <w:bottom w:w="60" w:type="dxa"/>
              <w:right w:w="80" w:type="dxa"/>
            </w:tcMar>
            <w:vAlign w:val="top"/>
          </w:tcPr>
          <w:p>
            <w:pPr>
              <w:spacing w:before="0" w:after="10" w:line="220" w:lineRule="auto"/>
            </w:pPr>
            <w:r>
              <w:rPr>
                <w:rFonts w:ascii="Calibri" w:hAnsi="Calibri" w:cs="Calibri"/>
                <w:b w:val="0"/>
                <w:i/>
                <w:color w:val="9BBB59"/>
                <w:sz w:val="28"/>
              </w:rPr>
              <w:t>16</w:t>
            </w:r>
          </w:p>
          <w:p>
            <w:pPr>
              <w:spacing w:before="0" w:after="20" w:line="220" w:lineRule="auto"/>
            </w:pPr>
            <w:r>
              <w:rPr>
                <w:rFonts w:ascii="Calibri" w:hAnsi="Calibri" w:cs="Calibri"/>
                <w:b/>
                <w:i w:val="0"/>
                <w:color w:val="000000"/>
                <w:sz w:val="18"/>
              </w:rPr>
              <w:t>Participação sem atividade</w:t>
            </w:r>
          </w:p>
          <w:p>
            <w:pPr>
              <w:spacing w:before="0" w:after="0" w:line="220" w:lineRule="auto"/>
            </w:pPr>
            <w:r>
              <w:rPr>
                <w:rFonts w:ascii="Calibri" w:hAnsi="Calibri" w:cs="Calibri"/>
                <w:b w:val="0"/>
                <w:i w:val="0"/>
                <w:color w:val="444444"/>
                <w:sz w:val="15"/>
              </w:rPr>
              <w:t>Alerta quando há sinistros (participações) abertos sem nenhum movimento há vários dias, para que nenhum processo fique esquecido.</w:t>
            </w:r>
          </w:p>
        </w:tc>
        <w:tc>
          <w:tcPr>
            <w:tcW w:type="dxa" w:w="3100"/>
            <w:tcBorders>
              <w:top w:val="nil"/>
              <w:bottom w:val="nil"/>
              <w:left w:val="single" w:sz="18" w:color="6d9d30"/>
              <w:right w:val="nil"/>
            </w:tcBorders>
            <w:tcMar>
              <w:top w:w="60" w:type="dxa"/>
              <w:left w:w="180" w:type="dxa"/>
              <w:bottom w:w="60" w:type="dxa"/>
              <w:right w:w="80" w:type="dxa"/>
            </w:tcMar>
            <w:vAlign w:val="top"/>
          </w:tcPr>
          <w:p>
            <w:pPr>
              <w:spacing w:before="0" w:after="10" w:line="220" w:lineRule="auto"/>
            </w:pPr>
            <w:r>
              <w:rPr>
                <w:rFonts w:ascii="Calibri" w:hAnsi="Calibri" w:cs="Calibri"/>
                <w:b w:val="0"/>
                <w:i/>
                <w:color w:val="9BBB59"/>
                <w:sz w:val="28"/>
              </w:rPr>
              <w:t>17</w:t>
            </w:r>
          </w:p>
          <w:p>
            <w:pPr>
              <w:spacing w:before="0" w:after="20" w:line="220" w:lineRule="auto"/>
            </w:pPr>
            <w:r>
              <w:rPr>
                <w:rFonts w:ascii="Calibri" w:hAnsi="Calibri" w:cs="Calibri"/>
                <w:b/>
                <w:i w:val="0"/>
                <w:color w:val="000000"/>
                <w:sz w:val="18"/>
              </w:rPr>
              <w:t>Simulações sem atividade</w:t>
            </w:r>
          </w:p>
          <w:p>
            <w:pPr>
              <w:spacing w:before="0" w:after="0" w:line="220" w:lineRule="auto"/>
            </w:pPr>
            <w:r>
              <w:rPr>
                <w:rFonts w:ascii="Calibri" w:hAnsi="Calibri" w:cs="Calibri"/>
                <w:b w:val="0"/>
                <w:i w:val="0"/>
                <w:color w:val="444444"/>
                <w:sz w:val="15"/>
              </w:rPr>
              <w:t>Alerta quando há simulações de seguro que não tiveram follow-up há vários dias, para que não perca potenciais vendas por esquecimento.</w:t>
            </w:r>
          </w:p>
        </w:tc>
        <w:tc>
          <w:tcPr>
            <w:tcW w:type="dxa" w:w="3100"/>
            <w:tcBorders>
              <w:top w:val="nil"/>
              <w:bottom w:val="nil"/>
              <w:left w:val="single" w:sz="18" w:color="6d9d30"/>
              <w:right w:val="nil"/>
            </w:tcBorders>
            <w:tcMar>
              <w:top w:w="60" w:type="dxa"/>
              <w:left w:w="180" w:type="dxa"/>
              <w:bottom w:w="60" w:type="dxa"/>
              <w:right w:w="80" w:type="dxa"/>
            </w:tcMar>
            <w:vAlign w:val="top"/>
          </w:tcPr>
          <w:p>
            <w:pPr>
              <w:spacing w:before="0" w:after="10" w:line="220" w:lineRule="auto"/>
            </w:pPr>
            <w:r>
              <w:rPr>
                <w:rFonts w:ascii="Calibri" w:hAnsi="Calibri" w:cs="Calibri"/>
                <w:b w:val="0"/>
                <w:i/>
                <w:color w:val="9BBB59"/>
                <w:sz w:val="28"/>
              </w:rPr>
              <w:t>18</w:t>
            </w:r>
          </w:p>
          <w:p>
            <w:pPr>
              <w:spacing w:before="0" w:after="20" w:line="220" w:lineRule="auto"/>
            </w:pPr>
            <w:r>
              <w:rPr>
                <w:rFonts w:ascii="Calibri" w:hAnsi="Calibri" w:cs="Calibri"/>
                <w:b/>
                <w:i w:val="0"/>
                <w:color w:val="000000"/>
                <w:sz w:val="18"/>
              </w:rPr>
              <w:t>Renovação de apólice</w:t>
            </w:r>
          </w:p>
          <w:p>
            <w:pPr>
              <w:spacing w:before="0" w:after="0" w:line="220" w:lineRule="auto"/>
            </w:pPr>
            <w:r>
              <w:rPr>
                <w:rFonts w:ascii="Calibri" w:hAnsi="Calibri" w:cs="Calibri"/>
                <w:b w:val="0"/>
                <w:i w:val="0"/>
                <w:color w:val="444444"/>
                <w:sz w:val="15"/>
              </w:rPr>
              <w:t>Avisa o cliente antes da renovação da apólice. Essencial para acidentes de trabalho: pede automaticamente a folha de férias ao cliente para que a renovação não atrase.</w:t>
            </w:r>
          </w:p>
        </w:tc>
      </w:tr>
      <w:tr>
        <w:tc>
          <w:tcPr>
            <w:tcW w:type="dxa" w:w="3100"/>
            <w:tcBorders>
              <w:top w:val="nil"/>
              <w:bottom w:val="nil"/>
              <w:left w:val="single" w:sz="18" w:color="6d9d30"/>
              <w:right w:val="nil"/>
            </w:tcBorders>
            <w:tcMar>
              <w:top w:w="60" w:type="dxa"/>
              <w:left w:w="180" w:type="dxa"/>
              <w:bottom w:w="60" w:type="dxa"/>
              <w:right w:w="80" w:type="dxa"/>
            </w:tcMar>
            <w:vAlign w:val="top"/>
          </w:tcPr>
          <w:p>
            <w:pPr>
              <w:spacing w:before="0" w:after="10" w:line="220" w:lineRule="auto"/>
            </w:pPr>
            <w:r>
              <w:rPr>
                <w:rFonts w:ascii="Calibri" w:hAnsi="Calibri" w:cs="Calibri"/>
                <w:b w:val="0"/>
                <w:i/>
                <w:color w:val="9BBB59"/>
                <w:sz w:val="28"/>
              </w:rPr>
              <w:t>19</w:t>
            </w:r>
          </w:p>
          <w:p>
            <w:pPr>
              <w:spacing w:before="0" w:after="20" w:line="220" w:lineRule="auto"/>
            </w:pPr>
            <w:r>
              <w:rPr>
                <w:rFonts w:ascii="Calibri" w:hAnsi="Calibri" w:cs="Calibri"/>
                <w:b/>
                <w:i w:val="0"/>
                <w:color w:val="000000"/>
                <w:sz w:val="18"/>
              </w:rPr>
              <w:t>Gerar campanha</w:t>
            </w:r>
          </w:p>
          <w:p>
            <w:pPr>
              <w:spacing w:before="0" w:after="0" w:line="220" w:lineRule="auto"/>
            </w:pPr>
            <w:r>
              <w:rPr>
                <w:rFonts w:ascii="Calibri" w:hAnsi="Calibri" w:cs="Calibri"/>
                <w:b w:val="0"/>
                <w:i w:val="0"/>
                <w:color w:val="444444"/>
                <w:sz w:val="15"/>
              </w:rPr>
              <w:t>Cria listas de clientes filtrados por critérios específicos (idade, tipo de seguro, região, etc.) para enviar campanhas de marketing direccionadas. Pode agendar geração periódica.</w:t>
            </w:r>
          </w:p>
        </w:tc>
        <w:tc>
          <w:tcPr>
            <w:tcW w:type="dxa" w:w="3100"/>
            <w:tcBorders>
              <w:top w:val="nil"/>
              <w:bottom w:val="nil"/>
              <w:left w:val="single" w:sz="18" w:color="6d9d30"/>
              <w:right w:val="nil"/>
            </w:tcBorders>
            <w:tcMar>
              <w:top w:w="60" w:type="dxa"/>
              <w:left w:w="180" w:type="dxa"/>
              <w:bottom w:w="60" w:type="dxa"/>
              <w:right w:w="80" w:type="dxa"/>
            </w:tcMar>
            <w:vAlign w:val="top"/>
          </w:tcPr>
          <w:p>
            <w:pPr>
              <w:spacing w:before="0" w:after="10" w:line="220" w:lineRule="auto"/>
            </w:pPr>
            <w:r>
              <w:rPr>
                <w:rFonts w:ascii="Calibri" w:hAnsi="Calibri" w:cs="Calibri"/>
                <w:b w:val="0"/>
                <w:i/>
                <w:color w:val="9BBB59"/>
                <w:sz w:val="28"/>
              </w:rPr>
              <w:t>20</w:t>
            </w:r>
          </w:p>
          <w:p>
            <w:pPr>
              <w:spacing w:before="0" w:after="20" w:line="220" w:lineRule="auto"/>
            </w:pPr>
            <w:r>
              <w:rPr>
                <w:rFonts w:ascii="Calibri" w:hAnsi="Calibri" w:cs="Calibri"/>
                <w:b/>
                <w:i w:val="0"/>
                <w:color w:val="000000"/>
                <w:sz w:val="18"/>
              </w:rPr>
              <w:t>Variação de recibos</w:t>
            </w:r>
          </w:p>
          <w:p>
            <w:pPr>
              <w:spacing w:before="0" w:after="0" w:line="220" w:lineRule="auto"/>
            </w:pPr>
            <w:r>
              <w:rPr>
                <w:rFonts w:ascii="Calibri" w:hAnsi="Calibri" w:cs="Calibri"/>
                <w:b w:val="0"/>
                <w:i w:val="0"/>
                <w:color w:val="444444"/>
                <w:sz w:val="15"/>
              </w:rPr>
              <w:t>Detecta variações anormais nos recibos (ex: aumento repentino de valor) e alerta, permitindo detectar erros ou fraudes.</w:t>
            </w:r>
          </w:p>
        </w:tc>
        <w:tc>
          <w:tcPr>
            <w:tcW w:type="dxa" w:w="3100"/>
            <w:tcBorders>
              <w:top w:val="nil"/>
              <w:bottom w:val="nil"/>
              <w:left w:val="single" w:sz="18" w:color="6d9d30"/>
              <w:right w:val="nil"/>
            </w:tcBorders>
            <w:tcMar>
              <w:top w:w="60" w:type="dxa"/>
              <w:left w:w="180" w:type="dxa"/>
              <w:bottom w:w="60" w:type="dxa"/>
              <w:right w:w="80" w:type="dxa"/>
            </w:tcMar>
            <w:vAlign w:val="top"/>
          </w:tcPr>
          <w:p>
            <w:pPr>
              <w:spacing w:before="0" w:after="10" w:line="220" w:lineRule="auto"/>
            </w:pPr>
            <w:r>
              <w:rPr>
                <w:rFonts w:ascii="Calibri" w:hAnsi="Calibri" w:cs="Calibri"/>
                <w:b w:val="0"/>
                <w:i/>
                <w:color w:val="9BBB59"/>
                <w:sz w:val="28"/>
              </w:rPr>
              <w:t>21</w:t>
            </w:r>
          </w:p>
          <w:p>
            <w:pPr>
              <w:spacing w:before="0" w:after="20" w:line="220" w:lineRule="auto"/>
            </w:pPr>
            <w:r>
              <w:rPr>
                <w:rFonts w:ascii="Calibri" w:hAnsi="Calibri" w:cs="Calibri"/>
                <w:b/>
                <w:i w:val="0"/>
                <w:color w:val="000000"/>
                <w:sz w:val="18"/>
              </w:rPr>
              <w:t>Obter documentação das companhias</w:t>
            </w:r>
          </w:p>
          <w:p>
            <w:pPr>
              <w:spacing w:before="0" w:after="0" w:line="220" w:lineRule="auto"/>
            </w:pPr>
            <w:r>
              <w:rPr>
                <w:rFonts w:ascii="Calibri" w:hAnsi="Calibri" w:cs="Calibri"/>
                <w:b w:val="0"/>
                <w:i w:val="0"/>
                <w:color w:val="444444"/>
                <w:sz w:val="15"/>
              </w:rPr>
              <w:t>Descarrega automaticamente documentos das companhias seguradoras (cartas verdes, apólices, etc.) e guarda-os no Libax, sem precisar de ir buscar manualmente a cada portal.</w:t>
            </w:r>
          </w:p>
        </w:tc>
      </w:tr>
      <w:tr>
        <w:tc>
          <w:tcPr>
            <w:tcW w:type="dxa" w:w="3100"/>
            <w:tcBorders>
              <w:top w:val="nil"/>
              <w:bottom w:val="nil"/>
              <w:left w:val="single" w:sz="18" w:color="6d9d30"/>
              <w:right w:val="nil"/>
            </w:tcBorders>
            <w:tcMar>
              <w:top w:w="60" w:type="dxa"/>
              <w:left w:w="180" w:type="dxa"/>
              <w:bottom w:w="60" w:type="dxa"/>
              <w:right w:w="80" w:type="dxa"/>
            </w:tcMar>
            <w:vAlign w:val="top"/>
          </w:tcPr>
          <w:p>
            <w:pPr>
              <w:spacing w:before="0" w:after="10" w:line="220" w:lineRule="auto"/>
            </w:pPr>
            <w:r>
              <w:rPr>
                <w:rFonts w:ascii="Calibri" w:hAnsi="Calibri" w:cs="Calibri"/>
                <w:b w:val="0"/>
                <w:i/>
                <w:color w:val="9BBB59"/>
                <w:sz w:val="28"/>
              </w:rPr>
              <w:t>22</w:t>
            </w:r>
          </w:p>
          <w:p>
            <w:pPr>
              <w:spacing w:before="0" w:after="20" w:line="220" w:lineRule="auto"/>
            </w:pPr>
            <w:r>
              <w:rPr>
                <w:rFonts w:ascii="Calibri" w:hAnsi="Calibri" w:cs="Calibri"/>
                <w:b/>
                <w:i w:val="0"/>
                <w:color w:val="000000"/>
                <w:sz w:val="18"/>
              </w:rPr>
              <w:t>Cancelar apólices</w:t>
            </w:r>
          </w:p>
          <w:p>
            <w:pPr>
              <w:spacing w:before="0" w:after="0" w:line="220" w:lineRule="auto"/>
            </w:pPr>
            <w:r>
              <w:rPr>
                <w:rFonts w:ascii="Calibri" w:hAnsi="Calibri" w:cs="Calibri"/>
                <w:b w:val="0"/>
                <w:i w:val="0"/>
                <w:color w:val="444444"/>
                <w:sz w:val="15"/>
              </w:rPr>
              <w:t>Cancela automaticamente apólices que deveriam estar inactivas mas continuam activas no sistema porque a companhia não comunicou o cancelamento. Mantém a base de dados correcta.</w:t>
            </w:r>
          </w:p>
        </w:tc>
        <w:tc>
          <w:tcPr>
            <w:tcW w:type="dxa" w:w="3100"/>
            <w:tcBorders>
              <w:top w:val="nil"/>
              <w:bottom w:val="nil"/>
              <w:left w:val="single" w:sz="18" w:color="6d9d30"/>
              <w:right w:val="nil"/>
            </w:tcBorders>
            <w:tcMar>
              <w:top w:w="60" w:type="dxa"/>
              <w:left w:w="180" w:type="dxa"/>
              <w:bottom w:w="60" w:type="dxa"/>
              <w:right w:w="80" w:type="dxa"/>
            </w:tcMar>
            <w:vAlign w:val="top"/>
          </w:tcPr>
          <w:p>
            <w:pPr>
              <w:spacing w:before="0" w:after="10" w:line="220" w:lineRule="auto"/>
            </w:pPr>
            <w:r>
              <w:rPr>
                <w:rFonts w:ascii="Calibri" w:hAnsi="Calibri" w:cs="Calibri"/>
                <w:b w:val="0"/>
                <w:i/>
                <w:color w:val="9BBB59"/>
                <w:sz w:val="28"/>
              </w:rPr>
              <w:t>23</w:t>
            </w:r>
          </w:p>
          <w:p>
            <w:pPr>
              <w:spacing w:before="0" w:after="20" w:line="220" w:lineRule="auto"/>
            </w:pPr>
            <w:r>
              <w:rPr>
                <w:rFonts w:ascii="Calibri" w:hAnsi="Calibri" w:cs="Calibri"/>
                <w:b/>
                <w:i w:val="0"/>
                <w:color w:val="000000"/>
                <w:sz w:val="18"/>
              </w:rPr>
              <w:t>Anular recibos antigos</w:t>
            </w:r>
          </w:p>
          <w:p>
            <w:pPr>
              <w:spacing w:before="0" w:after="0" w:line="220" w:lineRule="auto"/>
            </w:pPr>
            <w:r>
              <w:rPr>
                <w:rFonts w:ascii="Calibri" w:hAnsi="Calibri" w:cs="Calibri"/>
                <w:b w:val="0"/>
                <w:i w:val="0"/>
                <w:color w:val="444444"/>
                <w:sz w:val="15"/>
              </w:rPr>
              <w:t>Limpa recibos antigos que ainda aparecem como pendentes mas já deviam estar resolvidos, mantendo os relatórios limpos e correctos.</w:t>
            </w:r>
          </w:p>
        </w:tc>
        <w:tc>
          <w:tcPr>
            <w:tcW w:type="dxa" w:w="3100"/>
            <w:tcBorders>
              <w:top w:val="nil"/>
              <w:bottom w:val="nil"/>
              <w:left w:val="single" w:sz="18" w:color="6d9d30"/>
              <w:right w:val="nil"/>
            </w:tcBorders>
            <w:tcMar>
              <w:top w:w="60" w:type="dxa"/>
              <w:left w:w="180" w:type="dxa"/>
              <w:bottom w:w="60" w:type="dxa"/>
              <w:right w:w="80" w:type="dxa"/>
            </w:tcMar>
            <w:vAlign w:val="top"/>
          </w:tcPr>
          <w:p>
            <w:pPr>
              <w:spacing w:before="0" w:after="10" w:line="220" w:lineRule="auto"/>
            </w:pPr>
            <w:r>
              <w:rPr>
                <w:rFonts w:ascii="Calibri" w:hAnsi="Calibri" w:cs="Calibri"/>
                <w:b w:val="0"/>
                <w:i/>
                <w:color w:val="9BBB59"/>
                <w:sz w:val="28"/>
              </w:rPr>
              <w:t>24</w:t>
            </w:r>
          </w:p>
          <w:p>
            <w:pPr>
              <w:spacing w:before="0" w:after="20" w:line="220" w:lineRule="auto"/>
            </w:pPr>
            <w:r>
              <w:rPr>
                <w:rFonts w:ascii="Calibri" w:hAnsi="Calibri" w:cs="Calibri"/>
                <w:b/>
                <w:i w:val="0"/>
                <w:color w:val="000000"/>
                <w:sz w:val="18"/>
              </w:rPr>
              <w:t>Cobrar na companhia</w:t>
            </w:r>
          </w:p>
          <w:p>
            <w:pPr>
              <w:spacing w:before="0" w:after="0" w:line="220" w:lineRule="auto"/>
            </w:pPr>
            <w:r>
              <w:rPr>
                <w:rFonts w:ascii="Calibri" w:hAnsi="Calibri" w:cs="Calibri"/>
                <w:b w:val="0"/>
                <w:i w:val="0"/>
                <w:color w:val="444444"/>
                <w:sz w:val="15"/>
              </w:rPr>
              <w:t>Marca automaticamente os recibos como pagos na plataforma da companhia seguradora, poupando trabalho manual. Para recibos urgentes use a cobrança em tempo real.</w:t>
            </w:r>
          </w:p>
        </w:tc>
      </w:tr>
    </w:tbl>
    <w:p>
      <w:pPr>
        <w:spacing w:before="80" w:after="0"/>
      </w:pPr>
    </w:p>
    <w:p>
      <w:pPr>
        <w:spacing w:before="0" w:after="40"/>
        <w:pBdr>
          <w:bottom w:val="single" w:sz="6" w:color="6d9d30"/>
        </w:pBdr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27"/>
        <w:gridCol w:w="3627"/>
        <w:gridCol w:w="3627"/>
      </w:tblGrid>
      <w:tr>
        <w:tc>
          <w:tcPr>
            <w:tcW w:type="dxa" w:w="3200"/>
            <w:tcBorders>
              <w:top w:val="nil"/>
              <w:bottom w:val="nil"/>
              <w:left w:val="nil"/>
              <w:right w:val="nil"/>
            </w:tcBorders>
            <w:tcMar>
              <w:top w:w="4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10"/>
            </w:pPr>
            <w:r>
              <w:rPr>
                <w:rFonts w:ascii="Calibri" w:hAnsi="Calibri" w:cs="Calibri"/>
                <w:b/>
                <w:i w:val="0"/>
                <w:color w:val="444444"/>
                <w:sz w:val="16"/>
              </w:rPr>
              <w:t>LIBAX AUTOMATE</w:t>
            </w:r>
          </w:p>
          <w:p>
            <w:pPr>
              <w:spacing w:before="0" w:after="0"/>
            </w:pPr>
            <w:r>
              <w:rPr>
                <w:rFonts w:ascii="Calibri" w:hAnsi="Calibri" w:cs="Calibri"/>
                <w:b w:val="0"/>
                <w:i w:val="0"/>
                <w:color w:val="6D9D30"/>
                <w:sz w:val="15"/>
              </w:rPr>
              <w:t>libax.com/automate</w:t>
            </w:r>
          </w:p>
        </w:tc>
        <w:tc>
          <w:tcPr>
            <w:tcW w:type="dxa" w:w="3200"/>
            <w:tcBorders>
              <w:top w:val="nil"/>
              <w:bottom w:val="nil"/>
              <w:left w:val="nil"/>
              <w:right w:val="nil"/>
            </w:tcBorders>
            <w:tcMar>
              <w:top w:w="4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10"/>
            </w:pPr>
            <w:r>
              <w:rPr>
                <w:rFonts w:ascii="Calibri" w:hAnsi="Calibri" w:cs="Calibri"/>
                <w:b w:val="0"/>
                <w:i w:val="0"/>
                <w:color w:val="444444"/>
                <w:sz w:val="15"/>
              </w:rPr>
              <w:t>Documento para mediadores de seguros</w:t>
            </w:r>
          </w:p>
          <w:p>
            <w:pPr>
              <w:spacing w:before="0" w:after="0"/>
            </w:pPr>
            <w:r>
              <w:rPr>
                <w:rFonts w:ascii="Calibri" w:hAnsi="Calibri" w:cs="Calibri"/>
                <w:b w:val="0"/>
                <w:i w:val="0"/>
                <w:color w:val="666666"/>
                <w:sz w:val="15"/>
              </w:rPr>
              <w:t>24 modelos · edição 2026</w:t>
            </w:r>
          </w:p>
        </w:tc>
        <w:tc>
          <w:tcPr>
            <w:tcW w:type="dxa" w:w="3200"/>
            <w:tcBorders>
              <w:top w:val="nil"/>
              <w:bottom w:val="nil"/>
              <w:left w:val="nil"/>
              <w:right w:val="nil"/>
            </w:tcBorders>
            <w:tcMar>
              <w:top w:w="40" w:type="dxa"/>
              <w:left w:w="0" w:type="dxa"/>
              <w:bottom w:w="0" w:type="dxa"/>
              <w:right w:w="0" w:type="dxa"/>
            </w:tcMar>
          </w:tcPr>
          <w:p>
            <w:pPr>
              <w:jc w:val="right"/>
              <w:spacing w:before="0" w:after="10"/>
            </w:pPr>
            <w:r>
              <w:rPr>
                <w:rFonts w:ascii="Calibri" w:hAnsi="Calibri" w:cs="Calibri"/>
                <w:b/>
                <w:i w:val="0"/>
                <w:color w:val="444444"/>
                <w:sz w:val="16"/>
              </w:rPr>
              <w:t>CATÁLOGO · V2</w:t>
            </w:r>
          </w:p>
          <w:p>
            <w:pPr>
              <w:jc w:val="right"/>
              <w:spacing w:before="0" w:after="0"/>
            </w:pPr>
            <w:r>
              <w:rPr>
                <w:rFonts w:ascii="Calibri" w:hAnsi="Calibri" w:cs="Calibri"/>
                <w:b w:val="0"/>
                <w:i w:val="0"/>
                <w:color w:val="666666"/>
                <w:sz w:val="15"/>
              </w:rPr>
              <w:t>powered by libax</w:t>
            </w:r>
          </w:p>
        </w:tc>
      </w:tr>
    </w:tbl>
    <w:sectPr w:rsidR="00FC693F" w:rsidRPr="0006063C" w:rsidSect="00034616">
      <w:pgSz w:w="12240" w:h="15840"/>
      <w:pgMar w:top="567" w:right="680" w:bottom="567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