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0"/>
        </w:rPr>
        <w:t>NimbusPay Enterprise IT, Operations and Security Policy Handbook</w:t>
      </w:r>
    </w:p>
    <w:p>
      <w:pPr/>
      <w:r>
        <w:rPr>
          <w:rFonts w:ascii="Arial" w:hAnsi="Arial"/>
          <w:i/>
          <w:sz w:val="22"/>
        </w:rPr>
        <w:t>Version 1.0. Synthetic demonstration document. All people, accounts, numbers and credentials in this handbook are fictional and exist only to demonstrate role-based access control.</w:t>
      </w:r>
    </w:p>
    <w:p>
      <w:pPr/>
      <w:r>
        <w:rPr>
          <w:rFonts w:ascii="Arial" w:hAnsi="Arial"/>
          <w:sz w:val="22"/>
        </w:rPr>
        <w:t>How to read this handbook: each part is labelled with its intended audience. The labels are for readers only. Access is enforced by the portal using a trusted policy tied to this exact file, never by the text of the document.</w:t>
      </w:r>
    </w:p>
    <w:p>
      <w:pPr>
        <w:pStyle w:val="Heading1"/>
      </w:pPr>
      <w:r>
        <w:rPr>
          <w:rFonts w:ascii="Arial" w:hAnsi="Arial"/>
          <w:b/>
          <w:sz w:val="28"/>
        </w:rPr>
        <w:t>Part 1. General Policies (Public: Viewer, Operator, Administrator)</w:t>
      </w:r>
    </w:p>
    <w:p>
      <w:pPr/>
      <w:r>
        <w:rPr>
          <w:rFonts w:ascii="Arial" w:hAnsi="Arial"/>
          <w:b/>
          <w:sz w:val="22"/>
        </w:rPr>
        <w:t xml:space="preserve">1.1 Purpose and scope. </w:t>
      </w:r>
      <w:r>
        <w:rPr>
          <w:rFonts w:ascii="Arial" w:hAnsi="Arial"/>
          <w:sz w:val="22"/>
        </w:rPr>
        <w:t>This handbook sets out how NimbusPay employees, contractors and operators use company technology safely. NimbusPay is a fictional payments platform that processes card and bank transfers for merchants. The rules in Part 1 apply to every person who holds an account on NimbusPay systems.</w:t>
      </w:r>
    </w:p>
    <w:p>
      <w:pPr/>
      <w:r>
        <w:rPr>
          <w:rFonts w:ascii="Arial" w:hAnsi="Arial"/>
          <w:b/>
          <w:sz w:val="22"/>
        </w:rPr>
        <w:t xml:space="preserve">1.2 General rules for using corporate devices. </w:t>
      </w:r>
      <w:r>
        <w:rPr>
          <w:rFonts w:ascii="Arial" w:hAnsi="Arial"/>
          <w:sz w:val="22"/>
        </w:rPr>
        <w:t>Users may use company-managed devices and approved applications for normal business activity. Devices must remain protected, updated and connected to approved corporate services. Lock the screen whenever you leave a device unattended. Install software only through the approved software catalogue. Keep the approved security tools enabled at all times. Do not connect unknown removable media such as USB drives. Store company files only in approved repositories. Report suspicious device behaviour to the service desk or the security mailbox.</w:t>
      </w:r>
    </w:p>
    <w:p>
      <w:pPr/>
      <w:r>
        <w:rPr>
          <w:rFonts w:ascii="Arial" w:hAnsi="Arial"/>
          <w:b/>
          <w:sz w:val="22"/>
        </w:rPr>
        <w:t xml:space="preserve">1.3 Acceptable use of company systems. </w:t>
      </w:r>
      <w:r>
        <w:rPr>
          <w:rFonts w:ascii="Arial" w:hAnsi="Arial"/>
          <w:sz w:val="22"/>
        </w:rPr>
        <w:t>Company systems are provided for business purposes. Limited personal use is tolerated if it does not affect work, security or the company's reputation. Do not use company systems to store personal media libraries, run cryptocurrency miners, or access content that is unlawful or offensive.</w:t>
      </w:r>
    </w:p>
    <w:p>
      <w:pPr/>
      <w:r>
        <w:rPr>
          <w:rFonts w:ascii="Arial" w:hAnsi="Arial"/>
          <w:b/>
          <w:sz w:val="22"/>
        </w:rPr>
        <w:t xml:space="preserve">1.4 Remote work. </w:t>
      </w:r>
      <w:r>
        <w:rPr>
          <w:rFonts w:ascii="Arial" w:hAnsi="Arial"/>
          <w:sz w:val="22"/>
        </w:rPr>
        <w:t>When working remotely, connect through the corporate VPN before opening internal applications. Avoid public Wi-Fi where possible, use a privacy screen in public places, and never let family members or visitors use a company device. Remote work from outside the country of employment needs line-manager approval in advance.</w:t>
      </w:r>
    </w:p>
    <w:p>
      <w:pPr/>
      <w:r>
        <w:rPr>
          <w:rFonts w:ascii="Arial" w:hAnsi="Arial"/>
          <w:b/>
          <w:sz w:val="22"/>
        </w:rPr>
        <w:t xml:space="preserve">1.5 Passwords and multi-factor authentication for everyone. </w:t>
      </w:r>
      <w:r>
        <w:rPr>
          <w:rFonts w:ascii="Arial" w:hAnsi="Arial"/>
          <w:sz w:val="22"/>
        </w:rPr>
        <w:t>All staff must use the company password manager and must not reuse company passwords elsewhere. Staff must complete multi-factor authentication whenever it is requested. Never share a password, a one-time code or a security key with anyone, including colleagues and the service desk.</w:t>
      </w:r>
    </w:p>
    <w:p>
      <w:pPr/>
      <w:r>
        <w:rPr>
          <w:rFonts w:ascii="Arial" w:hAnsi="Arial"/>
          <w:b/>
          <w:sz w:val="22"/>
        </w:rPr>
        <w:t xml:space="preserve">1.6 Reporting a suspicious email or security concern. </w:t>
      </w:r>
      <w:r>
        <w:rPr>
          <w:rFonts w:ascii="Arial" w:hAnsi="Arial"/>
          <w:sz w:val="22"/>
        </w:rPr>
        <w:t>If you receive a suspicious email, do not click links or open attachments. Use the Report Phishing button in your mail client or forward the message to security-reports@nimbuspay.example, then delete it. If you think you clicked a malicious link, disconnect from the network and call the service desk immediately.</w:t>
      </w:r>
    </w:p>
    <w:p>
      <w:pPr/>
      <w:r>
        <w:rPr>
          <w:rFonts w:ascii="Arial" w:hAnsi="Arial"/>
          <w:b/>
          <w:sz w:val="22"/>
        </w:rPr>
        <w:t xml:space="preserve">1.7 Service desk. </w:t>
      </w:r>
      <w:r>
        <w:rPr>
          <w:rFonts w:ascii="Arial" w:hAnsi="Arial"/>
          <w:sz w:val="22"/>
        </w:rPr>
        <w:t>The NimbusPay service desk is available Monday to Friday from 08:00 to 18:00 local time, with emergency cover outside those hours for security incidents. Contact it by email at servicedesk@nimbuspay.example, by chat in the Help channel, or by phone on extension 4000.</w:t>
      </w:r>
    </w:p>
    <w:p>
      <w:pPr/>
      <w:r>
        <w:rPr>
          <w:rFonts w:ascii="Arial" w:hAnsi="Arial"/>
          <w:b/>
          <w:sz w:val="22"/>
        </w:rPr>
        <w:t xml:space="preserve">1.8 Data classification labels. </w:t>
      </w:r>
      <w:r>
        <w:rPr>
          <w:rFonts w:ascii="Arial" w:hAnsi="Arial"/>
          <w:sz w:val="22"/>
        </w:rPr>
        <w:t>NimbusPay uses three labels. Public information may be shared with anyone. Internal information is meant for staff who need it to operate services. Confidential information is restricted to named roles and must never be copied to personal accounts, printed without approval, or sent outside the company.</w:t>
      </w:r>
    </w:p>
    <w:p>
      <w:pPr/>
      <w:r>
        <w:rPr>
          <w:rFonts w:ascii="Arial" w:hAnsi="Arial"/>
          <w:b/>
          <w:sz w:val="22"/>
        </w:rPr>
        <w:t xml:space="preserve">1.9 Handling customer data. </w:t>
      </w:r>
      <w:r>
        <w:rPr>
          <w:rFonts w:ascii="Arial" w:hAnsi="Arial"/>
          <w:sz w:val="22"/>
        </w:rPr>
        <w:t>Customer and merchant data must only be used for the purpose it was collected for. Do not copy customer data to personal devices, spreadsheets on shared drives, or chat messages. Ask the data protection office before exporting any customer data.</w:t>
      </w:r>
    </w:p>
    <w:p>
      <w:pPr/>
      <w:r>
        <w:rPr>
          <w:rFonts w:ascii="Arial" w:hAnsi="Arial"/>
          <w:b/>
          <w:sz w:val="22"/>
        </w:rPr>
        <w:t xml:space="preserve">1.10 Security awareness training. </w:t>
      </w:r>
      <w:r>
        <w:rPr>
          <w:rFonts w:ascii="Arial" w:hAnsi="Arial"/>
          <w:sz w:val="22"/>
        </w:rPr>
        <w:t>Every employee completes security awareness training within 30 days of joining and once every year after that. Employees who miss the annual deadline lose access to non-essential systems until the training is finished.</w:t>
      </w:r>
    </w:p>
    <w:p>
      <w:pPr/>
      <w:r>
        <w:rPr>
          <w:rFonts w:ascii="Arial" w:hAnsi="Arial"/>
          <w:b/>
          <w:sz w:val="22"/>
        </w:rPr>
        <w:t xml:space="preserve">1.11 Visitors and badges. </w:t>
      </w:r>
      <w:r>
        <w:rPr>
          <w:rFonts w:ascii="Arial" w:hAnsi="Arial"/>
          <w:sz w:val="22"/>
        </w:rPr>
        <w:t>Visitors must sign in at reception, wear a visitor badge and be escorted at all times. Employees must wear their badge visibly in company buildings and report a lost badge to the service desk on the same day.</w:t>
      </w:r>
    </w:p>
    <w:p>
      <w:pPr/>
      <w:r>
        <w:rPr>
          <w:rFonts w:ascii="Arial" w:hAnsi="Arial"/>
          <w:b/>
          <w:sz w:val="22"/>
        </w:rPr>
        <w:t xml:space="preserve">1.12 Leaving the company. </w:t>
      </w:r>
      <w:r>
        <w:rPr>
          <w:rFonts w:ascii="Arial" w:hAnsi="Arial"/>
          <w:sz w:val="22"/>
        </w:rPr>
        <w:t>When employment ends, the line manager returns all company devices and badges on the last working day. Accounts are disabled at the end of the last working day.</w:t>
      </w:r>
    </w:p>
    <w:p>
      <w:pPr>
        <w:pStyle w:val="Heading1"/>
      </w:pPr>
      <w:r>
        <w:rPr>
          <w:rFonts w:ascii="Arial" w:hAnsi="Arial"/>
          <w:b/>
          <w:sz w:val="28"/>
        </w:rPr>
        <w:t>Part 2. Operational Procedures (Internal: Operator and Administrator)</w:t>
      </w:r>
    </w:p>
    <w:p>
      <w:pPr/>
      <w:r>
        <w:rPr>
          <w:rFonts w:ascii="Arial" w:hAnsi="Arial"/>
          <w:b/>
          <w:sz w:val="22"/>
        </w:rPr>
        <w:t xml:space="preserve">2.1 The Operator role. </w:t>
      </w:r>
      <w:r>
        <w:rPr>
          <w:rFonts w:ascii="Arial" w:hAnsi="Arial"/>
          <w:sz w:val="22"/>
        </w:rPr>
        <w:t>Operators run the daily health of NimbusPay services. They watch the telemetry dashboards, respond to operational alerts, follow runbooks, perform routine troubleshooting and keep a record of every action they take in the ticketing system.</w:t>
      </w:r>
    </w:p>
    <w:p>
      <w:pPr/>
      <w:r>
        <w:rPr>
          <w:rFonts w:ascii="Arial" w:hAnsi="Arial"/>
          <w:b/>
          <w:sz w:val="22"/>
        </w:rPr>
        <w:t xml:space="preserve">2.2 Acknowledging an operational alert. </w:t>
      </w:r>
      <w:r>
        <w:rPr>
          <w:rFonts w:ascii="Arial" w:hAnsi="Arial"/>
          <w:sz w:val="22"/>
        </w:rPr>
        <w:t>Operators may acknowledge operational alerts. To acknowledge an alert, open the alert console, confirm which service raised it, press Acknowledge and enter the incident ticket number. Acknowledging an alert tells the team that someone owns it; it does not resolve it. Severity 1 alerts must be acknowledged within 15 minutes, Severity 2 alerts within 30 minutes and Severity 3 alerts within 4 hours.</w:t>
      </w:r>
    </w:p>
    <w:p>
      <w:pPr/>
      <w:r>
        <w:rPr>
          <w:rFonts w:ascii="Arial" w:hAnsi="Arial"/>
          <w:b/>
          <w:sz w:val="22"/>
        </w:rPr>
        <w:t xml:space="preserve">2.3 Alert severity levels. </w:t>
      </w:r>
      <w:r>
        <w:rPr>
          <w:rFonts w:ascii="Arial" w:hAnsi="Arial"/>
          <w:sz w:val="22"/>
        </w:rPr>
        <w:t>Severity 1 means customer payments are failing or unavailable. Severity 2 means a service is degraded but payments still succeed. Severity 3 means a minor fault with no customer impact. When unsure, treat the alert as the higher severity and escalate.</w:t>
      </w:r>
    </w:p>
    <w:p>
      <w:pPr/>
      <w:r>
        <w:rPr>
          <w:rFonts w:ascii="Arial" w:hAnsi="Arial"/>
          <w:b/>
          <w:sz w:val="22"/>
        </w:rPr>
        <w:t xml:space="preserve">2.4 Escalation. </w:t>
      </w:r>
      <w:r>
        <w:rPr>
          <w:rFonts w:ascii="Arial" w:hAnsi="Arial"/>
          <w:sz w:val="22"/>
        </w:rPr>
        <w:t>If a Severity 1 alert is not resolved within 30 minutes, the Operator escalates to the on-call Administrator by phone using the on-call rota. Severity 2 alerts that are unresolved after 2 hours are escalated by ticket. Every escalation is recorded with the time, the person contacted and the reason.</w:t>
      </w:r>
    </w:p>
    <w:p>
      <w:pPr/>
      <w:r>
        <w:rPr>
          <w:rFonts w:ascii="Arial" w:hAnsi="Arial"/>
          <w:b/>
          <w:sz w:val="22"/>
        </w:rPr>
        <w:t xml:space="preserve">2.5 Modifying the operational maintenance schedule. </w:t>
      </w:r>
      <w:r>
        <w:rPr>
          <w:rFonts w:ascii="Arial" w:hAnsi="Arial"/>
          <w:sz w:val="22"/>
        </w:rPr>
        <w:t>Operators may modify the operational maintenance schedule for the services they run, but only within the approved change windows, which are Tuesday and Thursday from 22:00 to 02:00 UTC. Every schedule change needs a change ticket and is logged automatically. No schedule changes are made during the last three days of a month because of the month-end processing freeze.</w:t>
      </w:r>
    </w:p>
    <w:p>
      <w:pPr/>
      <w:r>
        <w:rPr>
          <w:rFonts w:ascii="Arial" w:hAnsi="Arial"/>
          <w:b/>
          <w:sz w:val="22"/>
        </w:rPr>
        <w:t xml:space="preserve">2.6 Routine troubleshooting. </w:t>
      </w:r>
      <w:r>
        <w:rPr>
          <w:rFonts w:ascii="Arial" w:hAnsi="Arial"/>
          <w:sz w:val="22"/>
        </w:rPr>
        <w:t>Operators may restart non-critical services, clear stuck message queues, check service health endpoints and collect diagnostic logs by following the published runbooks. Changes to production configuration need an approved change ticket before they are made.</w:t>
      </w:r>
    </w:p>
    <w:p>
      <w:pPr/>
      <w:r>
        <w:rPr>
          <w:rFonts w:ascii="Arial" w:hAnsi="Arial"/>
          <w:b/>
          <w:sz w:val="22"/>
        </w:rPr>
        <w:t xml:space="preserve">2.7 Runbook: payment queue backlog. </w:t>
      </w:r>
      <w:r>
        <w:rPr>
          <w:rFonts w:ascii="Arial" w:hAnsi="Arial"/>
          <w:sz w:val="22"/>
        </w:rPr>
        <w:t>If the payment queue backlog exceeds 5,000 messages, first check the health endpoint of the payment worker service. If a worker is unhealthy, restart it once using the standard restart procedure. If the backlog is still growing after 10 minutes, raise a Severity 2 alert and escalate to the on-call Administrator.</w:t>
      </w:r>
    </w:p>
    <w:p>
      <w:pPr/>
      <w:r>
        <w:rPr>
          <w:rFonts w:ascii="Arial" w:hAnsi="Arial"/>
          <w:b/>
          <w:sz w:val="22"/>
        </w:rPr>
        <w:t xml:space="preserve">2.8 Rerunning failed batch jobs. </w:t>
      </w:r>
      <w:r>
        <w:rPr>
          <w:rFonts w:ascii="Arial" w:hAnsi="Arial"/>
          <w:sz w:val="22"/>
        </w:rPr>
        <w:t>Operators may rerun a failed batch job once. If the second run fails, the Operator must stop, attach the job logs to the incident ticket and escalate rather than trying a third run.</w:t>
      </w:r>
    </w:p>
    <w:p>
      <w:pPr/>
      <w:r>
        <w:rPr>
          <w:rFonts w:ascii="Arial" w:hAnsi="Arial"/>
          <w:b/>
          <w:sz w:val="22"/>
        </w:rPr>
        <w:t xml:space="preserve">2.9 Log access. </w:t>
      </w:r>
      <w:r>
        <w:rPr>
          <w:rFonts w:ascii="Arial" w:hAnsi="Arial"/>
          <w:sz w:val="22"/>
        </w:rPr>
        <w:t>Operators have read-only access to application logs for the last 30 days. Logs must not be exported outside the operations workspace and must not be searched for customer personal data.</w:t>
      </w:r>
    </w:p>
    <w:p>
      <w:pPr/>
      <w:r>
        <w:rPr>
          <w:rFonts w:ascii="Arial" w:hAnsi="Arial"/>
          <w:b/>
          <w:sz w:val="22"/>
        </w:rPr>
        <w:t xml:space="preserve">2.10 On-call rota. </w:t>
      </w:r>
      <w:r>
        <w:rPr>
          <w:rFonts w:ascii="Arial" w:hAnsi="Arial"/>
          <w:sz w:val="22"/>
        </w:rPr>
        <w:t>Operators share a weekly on-call rota that changes every Monday at 09:00 UTC. The outgoing Operator writes a handover note listing open incidents, pending changes and anything unusual seen during the week.</w:t>
      </w:r>
    </w:p>
    <w:p>
      <w:pPr/>
      <w:r>
        <w:rPr>
          <w:rFonts w:ascii="Arial" w:hAnsi="Arial"/>
          <w:b/>
          <w:sz w:val="22"/>
        </w:rPr>
        <w:t xml:space="preserve">2.11 Recording operator actions. </w:t>
      </w:r>
      <w:r>
        <w:rPr>
          <w:rFonts w:ascii="Arial" w:hAnsi="Arial"/>
          <w:sz w:val="22"/>
        </w:rPr>
        <w:t>Every action taken by an Operator is recorded in the ticketing system within one hour. Records include what was changed, why, who approved it and how to undo it.</w:t>
      </w:r>
    </w:p>
    <w:p>
      <w:pPr/>
      <w:r>
        <w:rPr>
          <w:rFonts w:ascii="Arial" w:hAnsi="Arial"/>
          <w:b/>
          <w:sz w:val="22"/>
        </w:rPr>
        <w:t xml:space="preserve">2.12 Operational tooling. </w:t>
      </w:r>
      <w:r>
        <w:rPr>
          <w:rFonts w:ascii="Arial" w:hAnsi="Arial"/>
          <w:sz w:val="22"/>
        </w:rPr>
        <w:t>The operations workspace includes the alert console, the telemetry dashboards, the runbook library and the ticketing system. Access to these tools is granted when an employee is given the Operator role.</w:t>
      </w:r>
    </w:p>
    <w:p>
      <w:pPr>
        <w:pStyle w:val="Heading1"/>
      </w:pPr>
      <w:r>
        <w:rPr>
          <w:rFonts w:ascii="Arial" w:hAnsi="Arial"/>
          <w:b/>
          <w:sz w:val="28"/>
        </w:rPr>
        <w:t>Part 3. Administration and Security (Confidential: Administrator only)</w:t>
      </w:r>
    </w:p>
    <w:p>
      <w:pPr/>
      <w:r>
        <w:rPr>
          <w:rFonts w:ascii="Arial" w:hAnsi="Arial"/>
          <w:b/>
          <w:sz w:val="22"/>
        </w:rPr>
        <w:t xml:space="preserve">3.1 The Administrator role. </w:t>
      </w:r>
      <w:r>
        <w:rPr>
          <w:rFonts w:ascii="Arial" w:hAnsi="Arial"/>
          <w:sz w:val="22"/>
        </w:rPr>
        <w:t>Administrators manage access, security policy and recovery for NimbusPay. They hold every Operator permission and, in addition, can assign roles, change security policies, approve emergency access and review audit records.</w:t>
      </w:r>
    </w:p>
    <w:p>
      <w:pPr/>
      <w:r>
        <w:rPr>
          <w:rFonts w:ascii="Arial" w:hAnsi="Arial"/>
          <w:b/>
          <w:sz w:val="22"/>
        </w:rPr>
        <w:t xml:space="preserve">3.2 Assigning and revoking roles. </w:t>
      </w:r>
      <w:r>
        <w:rPr>
          <w:rFonts w:ascii="Arial" w:hAnsi="Arial"/>
          <w:sz w:val="22"/>
        </w:rPr>
        <w:t>Only Administrators may assign or revoke the Viewer, Operator and Administrator roles. A role change needs a ticket, approval from the requester's line manager, and confirmation from a second Administrator when the Administrator role is being granted. Role grants are reviewed every quarter.</w:t>
      </w:r>
    </w:p>
    <w:p>
      <w:pPr/>
      <w:r>
        <w:rPr>
          <w:rFonts w:ascii="Arial" w:hAnsi="Arial"/>
          <w:b/>
          <w:sz w:val="22"/>
        </w:rPr>
        <w:t xml:space="preserve">3.3 Changing the enterprise MFA policy. </w:t>
      </w:r>
      <w:r>
        <w:rPr>
          <w:rFonts w:ascii="Arial" w:hAnsi="Arial"/>
          <w:sz w:val="22"/>
        </w:rPr>
        <w:t>Only Administrators may change the enterprise multi-factor authentication policy. The current policy requires phishing-resistant authentication for all staff, and hardware security keys for Operators and Administrators. A change to the policy needs approval from the Security Governance Board and 14 days' notice to all staff.</w:t>
      </w:r>
    </w:p>
    <w:p>
      <w:pPr/>
      <w:r>
        <w:rPr>
          <w:rFonts w:ascii="Arial" w:hAnsi="Arial"/>
          <w:b/>
          <w:sz w:val="22"/>
        </w:rPr>
        <w:t xml:space="preserve">3.4 Break-glass emergency access. </w:t>
      </w:r>
      <w:r>
        <w:rPr>
          <w:rFonts w:ascii="Arial" w:hAnsi="Arial"/>
          <w:sz w:val="22"/>
        </w:rPr>
        <w:t>Break-glass access is used only when normal administrator accounts are unavailable during a Severity 1 incident. The sealed account is bg-emergency-01. Its current password is Zebra-Quartz-7741! (a fictional demo credential). Every use of the account must be reported to the Security Governance Board within 24 hours, and the password is rotated immediately afterwards.</w:t>
      </w:r>
    </w:p>
    <w:p>
      <w:pPr/>
      <w:r>
        <w:rPr>
          <w:rFonts w:ascii="Arial" w:hAnsi="Arial"/>
          <w:b/>
          <w:sz w:val="22"/>
        </w:rPr>
        <w:t xml:space="preserve">3.5 Service credentials and key rotation. </w:t>
      </w:r>
      <w:r>
        <w:rPr>
          <w:rFonts w:ascii="Arial" w:hAnsi="Arial"/>
          <w:sz w:val="22"/>
        </w:rPr>
        <w:t>Service account keys are rotated every 90 days. The monitoring service token currently in use is nimbus-demo-token-FAKE-5c1e9a2b7d4f (a fictional demo value). Tokens must be stored only in the approved secrets vault and never in tickets, chat or source code.</w:t>
      </w:r>
    </w:p>
    <w:p>
      <w:pPr/>
      <w:r>
        <w:rPr>
          <w:rFonts w:ascii="Arial" w:hAnsi="Arial"/>
          <w:b/>
          <w:sz w:val="22"/>
        </w:rPr>
        <w:t xml:space="preserve">3.6 Security incident response. </w:t>
      </w:r>
      <w:r>
        <w:rPr>
          <w:rFonts w:ascii="Arial" w:hAnsi="Arial"/>
          <w:sz w:val="22"/>
        </w:rPr>
        <w:t>On a confirmed security incident, the on-call Administrator contains the affected systems, preserves evidence, informs the Chief Information Security Officer and starts the incident log. Regulators must be notified within 72 hours of confirming a breach that affects customer data. Affected customers are notified after legal review.</w:t>
      </w:r>
    </w:p>
    <w:p>
      <w:pPr/>
      <w:r>
        <w:rPr>
          <w:rFonts w:ascii="Arial" w:hAnsi="Arial"/>
          <w:b/>
          <w:sz w:val="22"/>
        </w:rPr>
        <w:t xml:space="preserve">3.7 Audit records and retention. </w:t>
      </w:r>
      <w:r>
        <w:rPr>
          <w:rFonts w:ascii="Arial" w:hAnsi="Arial"/>
          <w:sz w:val="22"/>
        </w:rPr>
        <w:t>Audit logs are kept for 7 years. Only Administrators may change retention settings, and any change needs written approval from the Security Governance Board. Logs under legal hold must not be deleted for any reason.</w:t>
      </w:r>
    </w:p>
    <w:p>
      <w:pPr/>
      <w:r>
        <w:rPr>
          <w:rFonts w:ascii="Arial" w:hAnsi="Arial"/>
          <w:b/>
          <w:sz w:val="22"/>
        </w:rPr>
        <w:t xml:space="preserve">3.8 Privileged access review. </w:t>
      </w:r>
      <w:r>
        <w:rPr>
          <w:rFonts w:ascii="Arial" w:hAnsi="Arial"/>
          <w:sz w:val="22"/>
        </w:rPr>
        <w:t>Every quarter, two Administrators jointly review all Operator and Administrator accounts and remove any access that is no longer needed. The review is signed off by the Chief Information Security Officer.</w:t>
      </w:r>
    </w:p>
    <w:p>
      <w:pPr/>
      <w:r>
        <w:rPr>
          <w:rFonts w:ascii="Arial" w:hAnsi="Arial"/>
          <w:b/>
          <w:sz w:val="22"/>
        </w:rPr>
        <w:t xml:space="preserve">3.9 Security contacts. </w:t>
      </w:r>
      <w:r>
        <w:rPr>
          <w:rFonts w:ascii="Arial" w:hAnsi="Arial"/>
          <w:sz w:val="22"/>
        </w:rPr>
        <w:t>The security lead is Meera Iyer-Demo, mobile +91-90000-00001, personal email meera.iyer.demo@example.com. The backup security contact is Daniel Okoro-Demo, mobile +44-7000-000002, personal email daniel.okoro.demo@example.com. These are fictional people and numbers used only for this demonstration.</w:t>
      </w:r>
    </w:p>
    <w:p>
      <w:pPr/>
      <w:r>
        <w:rPr>
          <w:rFonts w:ascii="Arial" w:hAnsi="Arial"/>
          <w:b/>
          <w:sz w:val="22"/>
        </w:rPr>
        <w:t xml:space="preserve">3.10 Security budget. </w:t>
      </w:r>
      <w:r>
        <w:rPr>
          <w:rFonts w:ascii="Arial" w:hAnsi="Arial"/>
          <w:sz w:val="22"/>
        </w:rPr>
        <w:t>The approved security budget for fiscal year 2027 is 4.2 million US dollars, of which 1.1 million is reserved for the identity and access management upgrade. The figure is confidential until the annual report is published.</w:t>
      </w:r>
    </w:p>
    <w:p>
      <w:pPr/>
      <w:r>
        <w:rPr>
          <w:rFonts w:ascii="Arial" w:hAnsi="Arial"/>
          <w:b/>
          <w:sz w:val="22"/>
        </w:rPr>
        <w:t xml:space="preserve">3.11 Disaster recovery targets. </w:t>
      </w:r>
      <w:r>
        <w:rPr>
          <w:rFonts w:ascii="Arial" w:hAnsi="Arial"/>
          <w:sz w:val="22"/>
        </w:rPr>
        <w:t>The recovery time objective for the payment platform is 4 hours and the recovery point objective is 15 minutes. Disaster recovery tests run twice a year and the results are reviewed by the Administrators.</w:t>
      </w:r>
    </w:p>
    <w:p>
      <w:pPr/>
      <w:r>
        <w:rPr>
          <w:rFonts w:ascii="Arial" w:hAnsi="Arial"/>
          <w:b/>
          <w:sz w:val="22"/>
        </w:rPr>
        <w:t xml:space="preserve">3.12 Penetration test summary. </w:t>
      </w:r>
      <w:r>
        <w:rPr>
          <w:rFonts w:ascii="Arial" w:hAnsi="Arial"/>
          <w:sz w:val="22"/>
        </w:rPr>
        <w:t>The 2026 external penetration test found two high-severity findings and five medium-severity findings. Both high-severity issues concern session handling in the merchant portal and must be fixed by 30 November. The full report is available only to Administrators.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