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4 GB de espacio de memoria se subdivide en las siguientes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SRAM: Normalmente utilizada para conectar SRAM (usualmente on-chip)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PERIPHERALS: Normalmente utilizada para conectar perifericos on-chip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RAM: Puede almacenar codigo y datos de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DEVICES: Contiene dos slots de 512MB (1 GB total). Se utiliza para conectar periféricos off-chip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SYSTEM: Contiene varias partes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Internal Private Peripheral Bus (PPB): Se utiliza para acceder a componentes del sistema tales como NVIC, Systick, etc y a componentes de debug. En la mayoría de los casos esta memoria solo puede ser accedida por código que se ejecute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External Private Peripheral Bus: Se incluye para que el proveedor pueda agregar componentes de propios. Este espacio de memoria solo puede ser accedido por código ejecutándose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Vendor-Specific Area: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Resto de la memoria: Se utiliza para componentes específicos del proveedor. Muchas veces no se utiliza.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8. ¿Qué ventajas presenta el uso de instrucciones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 secuencia de reset del microprocesador puede resumirse en los siguientes pasos: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 – Despues del reset el contador de programa (PC) se actualiza con la direccion 0x00000000.</w:t>
      </w:r>
    </w:p>
    <w:p>
      <w:pPr>
        <w:pStyle w:val="Standard"/>
        <w:rPr/>
      </w:pPr>
      <w:r>
        <w:rPr/>
        <w:t>2 – El procesador lee el valor de la dirección 0x00000000 y lo carga en el MSP (Main Stack Pointer).</w:t>
      </w:r>
    </w:p>
    <w:p>
      <w:pPr>
        <w:pStyle w:val="Standard"/>
        <w:rPr/>
      </w:pPr>
      <w:r>
        <w:rPr/>
        <w:t>3 – El procesador lee la direccion del reset handler de la direccion 0x00000004</w:t>
      </w:r>
    </w:p>
    <w:p>
      <w:pPr>
        <w:pStyle w:val="Standard"/>
        <w:rPr/>
      </w:pPr>
      <w:r>
        <w:rPr/>
        <w:t>4 – El procesador “salta” a la direccion de memoria del reset handler y comienza a ejecutar las instrucciones</w:t>
      </w:r>
    </w:p>
    <w:p>
      <w:pPr>
        <w:pStyle w:val="Standard"/>
        <w:rPr/>
      </w:pPr>
      <w:r>
        <w:rPr/>
        <w:t>5 – Se invoca a la funcion main del programa con el codigo del usuario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Reset handler: Es una funcion normal escrita en C o Assembly que se encarga de inicializar el procesador y los perifericos. Ejemplo, configura el reloj. Inicializa el stack space, etc.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 Agregar diagrama &gt;&gt;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El MPU es un dispositivo programable que se utiliza para definir permisos de acceso a memoria y atributos de memoria para las distintas regiones de memoria.</w:t>
      </w:r>
    </w:p>
    <w:p>
      <w:pPr>
        <w:pStyle w:val="Standard"/>
        <w:jc w:val="both"/>
        <w:rPr/>
      </w:pPr>
      <w:r>
        <w:rPr/>
        <w:t>Los procesadores Cortex-M3 y Cortex-M4 soportan hasta 8 regiones de memoria. Cada una de ellas tiene su direccion inicial, tamanos y configuraciones.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La MPU se utiliza para hacer a los sistemas embebidos mas robustos y seguros:</w:t>
      </w:r>
    </w:p>
    <w:p>
      <w:pPr>
        <w:pStyle w:val="Standard"/>
        <w:jc w:val="both"/>
        <w:rPr/>
      </w:pPr>
      <w:r>
        <w:rPr/>
        <w:t>- Previenen que las tareas de aplicación corrompan la memoria de stack o de datos utilizada por otras tareas y por el kernel del sistema operativo.</w:t>
      </w:r>
    </w:p>
    <w:p>
      <w:pPr>
        <w:pStyle w:val="Standard"/>
        <w:jc w:val="both"/>
        <w:rPr/>
      </w:pPr>
      <w:r>
        <w:rPr/>
        <w:t>- Previenen que tareas no privilegiadas accedan a ciertos perifericos que son criticos para la solidez o la seguridad del sistemas</w:t>
      </w:r>
    </w:p>
    <w:p>
      <w:pPr>
        <w:pStyle w:val="Standard"/>
        <w:jc w:val="both"/>
        <w:rPr/>
      </w:pPr>
      <w:r>
        <w:rPr/>
        <w:t>- Se puede al espacio SRAM o RAM como no ejecutable para prevenir ataques de inyeccion de codigo.</w:t>
      </w:r>
    </w:p>
    <w:p>
      <w:pPr>
        <w:pStyle w:val="Standard"/>
        <w:jc w:val="both"/>
        <w:rPr/>
      </w:pPr>
      <w:r>
        <w:rPr/>
        <w:t>- Se puede definir atributos de memoria como el cacheability.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Si un acceso a memoria viola los permisos definidos por la MPU, el acceso es bloqueado y se genera una excepcion.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19</Pages>
  <Words>1094</Words>
  <Characters>5773</Characters>
  <CharactersWithSpaces>6809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2022-04-11T09:20:35Z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