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mbria" w:cs="Cambria" w:eastAsia="Cambria" w:hAnsi="Cambria"/>
          <w:b/>
          <w:bCs/>
          <w:color w:val="16202E"/>
          <w:sz w:val="52"/>
          <w:szCs w:val="52"/>
        </w:rPr>
        <w:t xml:space="preserve">Informe Evaluación Parcial N°2</w:t>
      </w:r>
    </w:p>
    <w:p>
      <w:pPr>
        <w:spacing w:after="200"/>
      </w:pPr>
      <w:r>
        <w:rPr>
          <w:rFonts w:ascii="Cambria" w:cs="Cambria" w:eastAsia="Cambria" w:hAnsi="Cambria"/>
          <w:color w:val="B36B00"/>
          <w:sz w:val="32"/>
          <w:szCs w:val="32"/>
        </w:rPr>
        <w:t xml:space="preserve">Arquitectura cloud segura del Sistema Hospitalario</w:t>
      </w:r>
    </w:p>
    <w:p>
      <w:pPr>
        <w:spacing w:after="120" w:line="300"/>
      </w:pPr>
      <w:r>
        <w:t xml:space="preserve">DSY1107 Desarrollo Cloud Native I · Duoc UC, Escuela de Informática y Telecomunicaciones</w:t>
      </w:r>
    </w:p>
    <w:p>
      <w:pPr>
        <w:spacing w:after="120" w:line="300"/>
      </w:pPr>
      <w:r>
        <w:t xml:space="preserve">Estudiante: Gonzalo</w:t>
      </w:r>
    </w:p>
    <w:p>
      <w:pPr>
        <w:spacing w:after="120" w:line="300"/>
      </w:pPr>
      <w:r>
        <w:t xml:space="preserve">Fecha: 24 de septiembre de 2026</w:t>
      </w:r>
    </w:p>
    <w:p>
      <w:r>
        <w:br w:type="page"/>
      </w:r>
    </w:p>
    <w:p>
      <w:pPr>
        <w:pStyle w:val="Heading1"/>
      </w:pPr>
      <w:r>
        <w:t xml:space="preserve">1. Introducción</w:t>
      </w:r>
    </w:p>
    <w:p>
      <w:pPr>
        <w:spacing w:after="120" w:line="300"/>
      </w:pPr>
      <w:r>
        <w:t xml:space="preserve">Este informe documenta la arquitectura base del Sistema Hospitalario, un sistema de gestión de pacientes desplegado en AWS. La solución integra un frontend web con autenticación OpenID Connect en Amazon Cognito, un API Gateway que protege el acceso mediante JWT, un backend en una instancia EC2 y una base de datos MySQL en RDS.</w:t>
      </w:r>
    </w:p>
    <w:p>
      <w:pPr>
        <w:spacing w:after="120" w:line="300"/>
      </w:pPr>
      <w:r>
        <w:t xml:space="preserve">Cada sección se organiza según los indicadores de la pauta de evaluación e incluye las capturas que respaldan la configuración. Donde falta evidencia se indica de forma explícita.</w:t>
      </w:r>
    </w:p>
    <w:p>
      <w:pPr>
        <w:pStyle w:val="Heading1"/>
      </w:pPr>
      <w:r>
        <w:t xml:space="preserve">2. Arquitectura</w:t>
      </w:r>
    </w:p>
    <w:p>
      <w:pPr>
        <w:spacing w:after="120" w:line="300"/>
      </w:pPr>
      <w:r>
        <w:t xml:space="preserve">El flujo completo es el siguiente:</w:t>
      </w:r>
    </w:p>
    <w:p>
      <w:pPr>
        <w:pStyle w:val="ListParagraph"/>
        <w:numPr>
          <w:ilvl w:val="0"/>
          <w:numId w:val="2"/>
        </w:numPr>
        <w:spacing w:after="60"/>
      </w:pPr>
      <w:r>
        <w:t xml:space="preserve">El usuario abre el frontend (React + TypeScript) y es redirigido a la Hosted UI de Cognito.</w:t>
      </w:r>
    </w:p>
    <w:p>
      <w:pPr>
        <w:pStyle w:val="ListParagraph"/>
        <w:numPr>
          <w:ilvl w:val="0"/>
          <w:numId w:val="2"/>
        </w:numPr>
        <w:spacing w:after="60"/>
      </w:pPr>
      <w:r>
        <w:t xml:space="preserve">Cognito autentica al usuario con el flujo Authorization Code y devuelve un code al frontend, que lo canjea por los tokens.</w:t>
      </w:r>
    </w:p>
    <w:p>
      <w:pPr>
        <w:pStyle w:val="ListParagraph"/>
        <w:numPr>
          <w:ilvl w:val="0"/>
          <w:numId w:val="2"/>
        </w:numPr>
        <w:spacing w:after="60"/>
      </w:pPr>
      <w:r>
        <w:t xml:space="preserve">El frontend llama a API Gateway (HTTP API) enviando el JWT en cada petición a /api/v1/*.</w:t>
      </w:r>
    </w:p>
    <w:p>
      <w:pPr>
        <w:pStyle w:val="ListParagraph"/>
        <w:numPr>
          <w:ilvl w:val="0"/>
          <w:numId w:val="2"/>
        </w:numPr>
        <w:spacing w:after="60"/>
      </w:pPr>
      <w:r>
        <w:t xml:space="preserve">API Gateway valida el token con el authorizer y reenvía la petición a la API en EC2.</w:t>
      </w:r>
    </w:p>
    <w:p>
      <w:pPr>
        <w:pStyle w:val="ListParagraph"/>
        <w:numPr>
          <w:ilvl w:val="0"/>
          <w:numId w:val="2"/>
        </w:numPr>
        <w:spacing w:after="60"/>
      </w:pPr>
      <w:r>
        <w:t xml:space="preserve">La API consulta y escribe en la base de datos MySQL alojada en RDS.</w:t>
      </w:r>
    </w:p>
    <w:p>
      <w:pPr>
        <w:pStyle w:val="Heading1"/>
      </w:pPr>
      <w:r>
        <w:t xml:space="preserve">3. Identidad con Amazon Cognito</w:t>
      </w:r>
    </w:p>
    <w:p>
      <w:pPr>
        <w:pStyle w:val="Heading2"/>
      </w:pPr>
      <w:r>
        <w:t xml:space="preserve">3.1 Tenant</w:t>
      </w:r>
    </w:p>
    <w:p>
      <w:pPr>
        <w:spacing w:after="120" w:line="300"/>
      </w:pPr>
      <w:r>
        <w:t xml:space="preserve">Se creó el user pool </w:t>
      </w:r>
      <w:r>
        <w:rPr>
          <w:b/>
          <w:bCs/>
        </w:rPr>
        <w:t xml:space="preserve">HospitalUserPool-DSY1107</w:t>
      </w:r>
      <w:r>
        <w:t xml:space="preserve"> en la región us-east-1 (ID us-east-1_7yYrEJl8g) el 23 de septiembre de 2026. El pool expone la URL de configuración OpenID Connect y la URL de claves de firma (JWKS) con las que se validan los tokens.</w:t>
      </w:r>
    </w:p>
    <w:p>
      <w:pPr>
        <w:keepNext/>
        <w:spacing w:after="60" w:before="120"/>
        <w:jc w:val="center"/>
      </w:pPr>
      <w:r>
        <w:drawing>
          <wp:inline distT="0" distB="0" distL="0" distR="0">
            <wp:extent cx="4191000" cy="3105150"/>
            <wp:effectExtent t="0" r="0" b="0" l="0"/>
            <wp:docPr id="1" name="01-cognito-overview.png" descr="Overview del user pool HospitalUserPool-DSY1107" title="Overview del user pool HospitalUserPool-DSY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3105150"/>
                    </a:xfrm>
                    <a:prstGeom prst="rect">
                      <a:avLst/>
                    </a:prstGeom>
                  </pic:spPr>
                </pic:pic>
              </a:graphicData>
            </a:graphic>
          </wp:inline>
        </w:drawing>
      </w:r>
    </w:p>
    <w:p>
      <w:pPr>
        <w:spacing w:after="200"/>
        <w:jc w:val="center"/>
      </w:pPr>
      <w:r>
        <w:rPr>
          <w:i/>
          <w:iCs/>
          <w:color w:val="5B6675"/>
          <w:sz w:val="19"/>
          <w:szCs w:val="19"/>
        </w:rPr>
        <w:t xml:space="preserve">Figura 1. Overview del user pool HospitalUserPool-DSY1107</w:t>
      </w:r>
    </w:p>
    <w:p>
      <w:pPr>
        <w:pStyle w:val="Heading2"/>
      </w:pPr>
      <w:r>
        <w:t xml:space="preserve">3.2 Usuarios</w:t>
      </w:r>
    </w:p>
    <w:p>
      <w:pPr>
        <w:spacing w:after="120" w:line="300"/>
      </w:pPr>
      <w:r>
        <w:t xml:space="preserve">El tenant tiene un usuario de prueba, alumno@duocuc.cl, con correo verificado, estado Confirmed y cuenta habilitada.</w:t>
      </w:r>
    </w:p>
    <w:p>
      <w:pPr>
        <w:keepNext/>
        <w:spacing w:after="60" w:before="120"/>
        <w:jc w:val="center"/>
      </w:pPr>
      <w:r>
        <w:drawing>
          <wp:inline distT="0" distB="0" distL="0" distR="0">
            <wp:extent cx="4191000" cy="3105150"/>
            <wp:effectExtent t="0" r="0" b="0" l="0"/>
            <wp:docPr id="1" name="05-cognito-users.png" descr="Usuarios del user pool" title="Usuarios del user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105150"/>
                    </a:xfrm>
                    <a:prstGeom prst="rect">
                      <a:avLst/>
                    </a:prstGeom>
                  </pic:spPr>
                </pic:pic>
              </a:graphicData>
            </a:graphic>
          </wp:inline>
        </w:drawing>
      </w:r>
    </w:p>
    <w:p>
      <w:pPr>
        <w:spacing w:after="200"/>
        <w:jc w:val="center"/>
      </w:pPr>
      <w:r>
        <w:rPr>
          <w:i/>
          <w:iCs/>
          <w:color w:val="5B6675"/>
          <w:sz w:val="19"/>
          <w:szCs w:val="19"/>
        </w:rPr>
        <w:t xml:space="preserve">Figura 2. Usuarios del user pool</w:t>
      </w:r>
    </w:p>
    <w:p>
      <w:pPr>
        <w:shd w:fill="FFF1D6" w:val="clear"/>
        <w:spacing w:after="160" w:before="80"/>
      </w:pPr>
      <w:r>
        <w:rPr>
          <w:b/>
          <w:bCs/>
        </w:rPr>
        <w:t xml:space="preserve">Evidencia pendiente: </w:t>
      </w:r>
      <w:r>
        <w:t xml:space="preserve">captura de roles o grupos (Cognito › Groups) y de un segundo usuario, si el sistema los requiere.</w:t>
      </w:r>
    </w:p>
    <w:p>
      <w:pPr>
        <w:pStyle w:val="Heading2"/>
      </w:pPr>
      <w:r>
        <w:t xml:space="preserve">3.3 Aplicación registrada</w:t>
      </w:r>
    </w:p>
    <w:p>
      <w:pPr>
        <w:spacing w:after="120" w:line="300"/>
      </w:pPr>
      <w:r>
        <w:t xml:space="preserve">La aplicación </w:t>
      </w:r>
      <w:r>
        <w:rPr>
          <w:b/>
          <w:bCs/>
        </w:rPr>
        <w:t xml:space="preserve">HospitalFront</w:t>
      </w:r>
      <w:r>
        <w:t xml:space="preserve"> (Client ID 1g7gh607pfmd9qpjtqls234h8o) es un cliente público sin client secret. Usa Authorization code grant, los scopes openid, email y phone, y tiene como callback http://localhost:5173. Los access e ID tokens duran 1 hora y el refresh token 30 días.</w:t>
      </w:r>
    </w:p>
    <w:p>
      <w:pPr>
        <w:keepNext/>
        <w:spacing w:after="60" w:before="120"/>
        <w:jc w:val="center"/>
      </w:pPr>
      <w:r>
        <w:drawing>
          <wp:inline distT="0" distB="0" distL="0" distR="0">
            <wp:extent cx="4191000" cy="3105150"/>
            <wp:effectExtent t="0" r="0" b="0" l="0"/>
            <wp:docPr id="1" name="03-cognito-login-pages-oidc.png" descr="App client HospitalFront: configuración de las login pages" title="App client HospitalFront: configuración de las login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105150"/>
                    </a:xfrm>
                    <a:prstGeom prst="rect">
                      <a:avLst/>
                    </a:prstGeom>
                  </pic:spPr>
                </pic:pic>
              </a:graphicData>
            </a:graphic>
          </wp:inline>
        </w:drawing>
      </w:r>
    </w:p>
    <w:p>
      <w:pPr>
        <w:spacing w:after="200"/>
        <w:jc w:val="center"/>
      </w:pPr>
      <w:r>
        <w:rPr>
          <w:i/>
          <w:iCs/>
          <w:color w:val="5B6675"/>
          <w:sz w:val="19"/>
          <w:szCs w:val="19"/>
        </w:rPr>
        <w:t xml:space="preserve">Figura 3. App client HospitalFront: configuración de las login pages</w:t>
      </w:r>
    </w:p>
    <w:p>
      <w:pPr>
        <w:pStyle w:val="Heading2"/>
      </w:pPr>
      <w:r>
        <w:t xml:space="preserve">3.4 Inicio de sesión y PKCE</w:t>
      </w:r>
    </w:p>
    <w:p>
      <w:pPr>
        <w:spacing w:after="120" w:line="300"/>
      </w:pPr>
      <w:r>
        <w:t xml:space="preserve">El inicio de sesión se realiza en la Hosted UI del dominio hospital-dsy1107-14303.auth.us-east-1.amazoncognito.com. Al ser un cliente público, el flujo Authorization Code se protege con PKCE: el frontend genera un code_verifier, envía su code_challenge en la solicitud de autorización y presenta el verifier al canjear el code.</w:t>
      </w:r>
    </w:p>
    <w:p>
      <w:pPr>
        <w:keepNext/>
        <w:spacing w:after="60" w:before="120"/>
        <w:jc w:val="center"/>
      </w:pPr>
      <w:r>
        <w:drawing>
          <wp:inline distT="0" distB="0" distL="0" distR="0">
            <wp:extent cx="4191000" cy="3105150"/>
            <wp:effectExtent t="0" r="0" b="0" l="0"/>
            <wp:docPr id="1" name="04-cognito-domain.png" descr="Dominio de Cognito para el managed login" title="Dominio de Cognito para el managed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105150"/>
                    </a:xfrm>
                    <a:prstGeom prst="rect">
                      <a:avLst/>
                    </a:prstGeom>
                  </pic:spPr>
                </pic:pic>
              </a:graphicData>
            </a:graphic>
          </wp:inline>
        </w:drawing>
      </w:r>
    </w:p>
    <w:p>
      <w:pPr>
        <w:spacing w:after="200"/>
        <w:jc w:val="center"/>
      </w:pPr>
      <w:r>
        <w:rPr>
          <w:i/>
          <w:iCs/>
          <w:color w:val="5B6675"/>
          <w:sz w:val="19"/>
          <w:szCs w:val="19"/>
        </w:rPr>
        <w:t xml:space="preserve">Figura 4. Dominio de Cognito para el managed login</w:t>
      </w:r>
    </w:p>
    <w:p>
      <w:pPr>
        <w:keepNext/>
        <w:spacing w:after="60" w:before="120"/>
        <w:jc w:val="center"/>
      </w:pPr>
      <w:r>
        <w:drawing>
          <wp:inline distT="0" distB="0" distL="0" distR="0">
            <wp:extent cx="4191000" cy="2362200"/>
            <wp:effectExtent t="0" r="0" b="0" l="0"/>
            <wp:docPr id="1" name="12-cognito-hosted-ui-login.png" descr="Hosted UI de Cognito con la sesión de alumno@duocuc.cl" title="Hosted UI de Cognito con la sesión de alumno@duocuc.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362200"/>
                    </a:xfrm>
                    <a:prstGeom prst="rect">
                      <a:avLst/>
                    </a:prstGeom>
                  </pic:spPr>
                </pic:pic>
              </a:graphicData>
            </a:graphic>
          </wp:inline>
        </w:drawing>
      </w:r>
    </w:p>
    <w:p>
      <w:pPr>
        <w:spacing w:after="200"/>
        <w:jc w:val="center"/>
      </w:pPr>
      <w:r>
        <w:rPr>
          <w:i/>
          <w:iCs/>
          <w:color w:val="5B6675"/>
          <w:sz w:val="19"/>
          <w:szCs w:val="19"/>
        </w:rPr>
        <w:t xml:space="preserve">Figura 5. Hosted UI de Cognito con la sesión de alumno@duocuc.cl</w:t>
      </w:r>
    </w:p>
    <w:p>
      <w:pPr>
        <w:shd w:fill="FFF1D6" w:val="clear"/>
        <w:spacing w:after="160" w:before="80"/>
      </w:pPr>
      <w:r>
        <w:rPr>
          <w:b/>
          <w:bCs/>
        </w:rPr>
        <w:t xml:space="preserve">Evidencia pendiente: </w:t>
      </w:r>
      <w:r>
        <w:t xml:space="preserve">captura de la URL de /authorize con code_challenge, code_challenge_method, state y nonce; captura del registro de una cuenta nueva (sign-up); y del JWT decodificado con sus claims (iss, aud, sub, email).</w:t>
      </w:r>
    </w:p>
    <w:p>
      <w:pPr>
        <w:pStyle w:val="Heading1"/>
      </w:pPr>
      <w:r>
        <w:t xml:space="preserve">4. API Gateway</w:t>
      </w:r>
    </w:p>
    <w:p>
      <w:pPr>
        <w:pStyle w:val="Heading2"/>
      </w:pPr>
      <w:r>
        <w:t xml:space="preserve">4.1 Rutas</w:t>
      </w:r>
    </w:p>
    <w:p>
      <w:pPr>
        <w:spacing w:after="120" w:line="300"/>
      </w:pPr>
      <w:r>
        <w:t xml:space="preserve">La API </w:t>
      </w:r>
      <w:r>
        <w:rPr>
          <w:b/>
          <w:bCs/>
        </w:rPr>
        <w:t xml:space="preserve">hospital-dsy1107-http-api</w:t>
      </w:r>
      <w:r>
        <w:t xml:space="preserve"> define la ruta proxy /api/v1/{proxy+} con los métodos GET, POST, PUT, DELETE y OPTIONS. Una sola ruta cubre todos los endpoints del backend y OPTIONS atiende el preflight de CORS.</w:t>
      </w:r>
    </w:p>
    <w:p>
      <w:pPr>
        <w:keepNext/>
        <w:spacing w:after="60" w:before="120"/>
        <w:jc w:val="center"/>
      </w:pPr>
      <w:r>
        <w:drawing>
          <wp:inline distT="0" distB="0" distL="0" distR="0">
            <wp:extent cx="4191000" cy="3105150"/>
            <wp:effectExtent t="0" r="0" b="0" l="0"/>
            <wp:docPr id="1" name="09-apigateway-routes.png" descr="Rutas de la API en API Gateway" title="Rutas de la API en 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105150"/>
                    </a:xfrm>
                    <a:prstGeom prst="rect">
                      <a:avLst/>
                    </a:prstGeom>
                  </pic:spPr>
                </pic:pic>
              </a:graphicData>
            </a:graphic>
          </wp:inline>
        </w:drawing>
      </w:r>
    </w:p>
    <w:p>
      <w:pPr>
        <w:spacing w:after="200"/>
        <w:jc w:val="center"/>
      </w:pPr>
      <w:r>
        <w:rPr>
          <w:i/>
          <w:iCs/>
          <w:color w:val="5B6675"/>
          <w:sz w:val="19"/>
          <w:szCs w:val="19"/>
        </w:rPr>
        <w:t xml:space="preserve">Figura 6. Rutas de la API en API Gateway</w:t>
      </w:r>
    </w:p>
    <w:p>
      <w:pPr>
        <w:pStyle w:val="Heading2"/>
      </w:pPr>
      <w:r>
        <w:t xml:space="preserve">4.2 Validación JWT</w:t>
      </w:r>
    </w:p>
    <w:p>
      <w:pPr>
        <w:spacing w:after="120" w:line="300"/>
      </w:pPr>
      <w:r>
        <w:t xml:space="preserve">La ruta GET /api/v1/{proxy+} tiene asociado el authorizer bgpmw7 y la integración 3a8t9mf, que apunta al backend. Con esto las peticiones sin un JWT válido se rechazan en el gateway antes de llegar a EC2.</w:t>
      </w:r>
    </w:p>
    <w:p>
      <w:pPr>
        <w:keepNext/>
        <w:spacing w:after="60" w:before="120"/>
        <w:jc w:val="center"/>
      </w:pPr>
      <w:r>
        <w:drawing>
          <wp:inline distT="0" distB="0" distL="0" distR="0">
            <wp:extent cx="4191000" cy="3105150"/>
            <wp:effectExtent t="0" r="0" b="0" l="0"/>
            <wp:docPr id="1" name="10-apigateway-get-jwt-authorizer.png" descr="Detalle de la ruta GET con authorizer e integración" title="Detalle de la ruta GET con authorizer e integ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105150"/>
                    </a:xfrm>
                    <a:prstGeom prst="rect">
                      <a:avLst/>
                    </a:prstGeom>
                  </pic:spPr>
                </pic:pic>
              </a:graphicData>
            </a:graphic>
          </wp:inline>
        </w:drawing>
      </w:r>
    </w:p>
    <w:p>
      <w:pPr>
        <w:spacing w:after="200"/>
        <w:jc w:val="center"/>
      </w:pPr>
      <w:r>
        <w:rPr>
          <w:i/>
          <w:iCs/>
          <w:color w:val="5B6675"/>
          <w:sz w:val="19"/>
          <w:szCs w:val="19"/>
        </w:rPr>
        <w:t xml:space="preserve">Figura 7. Detalle de la ruta GET con authorizer e integración</w:t>
      </w:r>
    </w:p>
    <w:p>
      <w:pPr>
        <w:shd w:fill="FFF1D6" w:val="clear"/>
        <w:spacing w:after="160" w:before="80"/>
      </w:pPr>
      <w:r>
        <w:rPr>
          <w:b/>
          <w:bCs/>
        </w:rPr>
        <w:t xml:space="preserve">Evidencia pendiente: </w:t>
      </w:r>
      <w:r>
        <w:t xml:space="preserve">captura de Authorization con el issuer y la audience del authorizer; confirmación de que POST, PUT y DELETE también lo tienen; y pruebas de una llamada sin token (401), con token inválido o sin permisos (403) y con token válido (200).</w:t>
      </w:r>
    </w:p>
    <w:p>
      <w:pPr>
        <w:pStyle w:val="Heading2"/>
      </w:pPr>
      <w:r>
        <w:t xml:space="preserve">4.3 CORS</w:t>
      </w:r>
    </w:p>
    <w:p>
      <w:pPr>
        <w:spacing w:after="120" w:line="300"/>
      </w:pPr>
      <w:r>
        <w:t xml:space="preserve">La ruta incluye el método OPTIONS para resolver las solicitudes de preflight del navegador.</w:t>
      </w:r>
    </w:p>
    <w:p>
      <w:pPr>
        <w:shd w:fill="FFF1D6" w:val="clear"/>
        <w:spacing w:after="160" w:before="80"/>
      </w:pPr>
      <w:r>
        <w:rPr>
          <w:b/>
          <w:bCs/>
        </w:rPr>
        <w:t xml:space="preserve">Evidencia pendiente: </w:t>
      </w:r>
      <w:r>
        <w:t xml:space="preserve">captura de la sección CORS de API Gateway con los orígenes, métodos y encabezados permitidos. El origen debe limitarse al del frontend.</w:t>
      </w:r>
    </w:p>
    <w:p>
      <w:pPr>
        <w:pStyle w:val="Heading1"/>
      </w:pPr>
      <w:r>
        <w:t xml:space="preserve">5. Despliegue del backend y la base de datos</w:t>
      </w:r>
    </w:p>
    <w:p>
      <w:pPr>
        <w:spacing w:after="120" w:line="300"/>
      </w:pPr>
      <w:r>
        <w:t xml:space="preserve">La API corre en la instancia EC2 </w:t>
      </w:r>
      <w:r>
        <w:rPr>
          <w:b/>
          <w:bCs/>
        </w:rPr>
        <w:t xml:space="preserve">hospital-dsy1107-api</w:t>
      </w:r>
      <w:r>
        <w:t xml:space="preserve"> (t3.micro, estado Running, us-east-1). La base de datos es </w:t>
      </w:r>
      <w:r>
        <w:rPr>
          <w:b/>
          <w:bCs/>
        </w:rPr>
        <w:t xml:space="preserve">hospital-dsy1107-mysql</w:t>
      </w:r>
      <w:r>
        <w:t xml:space="preserve"> (MySQL Community, db.t3.micro, us-east-1a, estado Available), protegida por el security group hospital-dsy1107-db-sg, que define una regla de entrada MySQL/Aurora por TCP.</w:t>
      </w:r>
    </w:p>
    <w:p>
      <w:pPr>
        <w:keepNext/>
        <w:spacing w:after="60" w:before="120"/>
        <w:jc w:val="center"/>
      </w:pPr>
      <w:r>
        <w:drawing>
          <wp:inline distT="0" distB="0" distL="0" distR="0">
            <wp:extent cx="4191000" cy="3105150"/>
            <wp:effectExtent t="0" r="0" b="0" l="0"/>
            <wp:docPr id="1" name="11-ec2-instance-api.png" descr="Instancia EC2 de la API" title="Instancia EC2 de l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105150"/>
                    </a:xfrm>
                    <a:prstGeom prst="rect">
                      <a:avLst/>
                    </a:prstGeom>
                  </pic:spPr>
                </pic:pic>
              </a:graphicData>
            </a:graphic>
          </wp:inline>
        </w:drawing>
      </w:r>
    </w:p>
    <w:p>
      <w:pPr>
        <w:spacing w:after="200"/>
        <w:jc w:val="center"/>
      </w:pPr>
      <w:r>
        <w:rPr>
          <w:i/>
          <w:iCs/>
          <w:color w:val="5B6675"/>
          <w:sz w:val="19"/>
          <w:szCs w:val="19"/>
        </w:rPr>
        <w:t xml:space="preserve">Figura 8. Instancia EC2 de la API</w:t>
      </w:r>
    </w:p>
    <w:p>
      <w:pPr>
        <w:keepNext/>
        <w:spacing w:after="60" w:before="120"/>
        <w:jc w:val="center"/>
      </w:pPr>
      <w:r>
        <w:drawing>
          <wp:inline distT="0" distB="0" distL="0" distR="0">
            <wp:extent cx="4191000" cy="3105150"/>
            <wp:effectExtent t="0" r="0" b="0" l="0"/>
            <wp:docPr id="1" name="07-rds-detail-connectivity.png" descr="Instancia RDS MySQL" title="Instancia RDS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3105150"/>
                    </a:xfrm>
                    <a:prstGeom prst="rect">
                      <a:avLst/>
                    </a:prstGeom>
                  </pic:spPr>
                </pic:pic>
              </a:graphicData>
            </a:graphic>
          </wp:inline>
        </w:drawing>
      </w:r>
    </w:p>
    <w:p>
      <w:pPr>
        <w:spacing w:after="200"/>
        <w:jc w:val="center"/>
      </w:pPr>
      <w:r>
        <w:rPr>
          <w:i/>
          <w:iCs/>
          <w:color w:val="5B6675"/>
          <w:sz w:val="19"/>
          <w:szCs w:val="19"/>
        </w:rPr>
        <w:t xml:space="preserve">Figura 9. Instancia RDS MySQL</w:t>
      </w:r>
    </w:p>
    <w:p>
      <w:pPr>
        <w:keepNext/>
        <w:spacing w:after="60" w:before="120"/>
        <w:jc w:val="center"/>
      </w:pPr>
      <w:r>
        <w:drawing>
          <wp:inline distT="0" distB="0" distL="0" distR="0">
            <wp:extent cx="4191000" cy="3105150"/>
            <wp:effectExtent t="0" r="0" b="0" l="0"/>
            <wp:docPr id="1" name="08-sg-db-inbound-3306.png" descr="Security group de la base de datos" title="Security group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3105150"/>
                    </a:xfrm>
                    <a:prstGeom prst="rect">
                      <a:avLst/>
                    </a:prstGeom>
                  </pic:spPr>
                </pic:pic>
              </a:graphicData>
            </a:graphic>
          </wp:inline>
        </w:drawing>
      </w:r>
    </w:p>
    <w:p>
      <w:pPr>
        <w:spacing w:after="200"/>
        <w:jc w:val="center"/>
      </w:pPr>
      <w:r>
        <w:rPr>
          <w:i/>
          <w:iCs/>
          <w:color w:val="5B6675"/>
          <w:sz w:val="19"/>
          <w:szCs w:val="19"/>
        </w:rPr>
        <w:t xml:space="preserve">Figura 10. Security group de la base de datos</w:t>
      </w:r>
    </w:p>
    <w:p>
      <w:pPr>
        <w:pStyle w:val="Heading1"/>
      </w:pPr>
      <w:r>
        <w:t xml:space="preserve">6. Frontend integrado</w:t>
      </w:r>
    </w:p>
    <w:p>
      <w:pPr>
        <w:spacing w:after="120" w:line="300"/>
      </w:pPr>
      <w:r>
        <w:t xml:space="preserve">Tras iniciar sesión, el frontend muestra el usuario autenticado, lista los pacientes almacenados y permite registrar nuevos. El mensaje «Paciente registrado correctamente» confirma que la escritura llegó al backend a través de API Gateway.</w:t>
      </w:r>
    </w:p>
    <w:p>
      <w:pPr>
        <w:keepNext/>
        <w:spacing w:after="60" w:before="120"/>
        <w:jc w:val="center"/>
      </w:pPr>
      <w:r>
        <w:drawing>
          <wp:inline distT="0" distB="0" distL="0" distR="0">
            <wp:extent cx="4191000" cy="3105150"/>
            <wp:effectExtent t="0" r="0" b="0" l="0"/>
            <wp:docPr id="1" name="13-frontend-pacientes.png" descr="Frontend Sistema de Gestión de Pacientes con sesión activa" title="Frontend Sistema de Gestión de Pacientes con sesión a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3105150"/>
                    </a:xfrm>
                    <a:prstGeom prst="rect">
                      <a:avLst/>
                    </a:prstGeom>
                  </pic:spPr>
                </pic:pic>
              </a:graphicData>
            </a:graphic>
          </wp:inline>
        </w:drawing>
      </w:r>
    </w:p>
    <w:p>
      <w:pPr>
        <w:spacing w:after="200"/>
        <w:jc w:val="center"/>
      </w:pPr>
      <w:r>
        <w:rPr>
          <w:i/>
          <w:iCs/>
          <w:color w:val="5B6675"/>
          <w:sz w:val="19"/>
          <w:szCs w:val="19"/>
        </w:rPr>
        <w:t xml:space="preserve">Figura 11. Frontend Sistema de Gestión de Pacientes con sesión activa</w:t>
      </w:r>
    </w:p>
    <w:p>
      <w:pPr>
        <w:shd w:fill="FFF1D6" w:val="clear"/>
        <w:spacing w:after="160" w:before="80"/>
      </w:pPr>
      <w:r>
        <w:rPr>
          <w:b/>
          <w:bCs/>
        </w:rPr>
        <w:t xml:space="preserve">Evidencia pendiente: </w:t>
      </w:r>
      <w:r>
        <w:t xml:space="preserve">el frontend está configurado con callback http://localhost:5173, por lo que hoy se ejecuta de forma local. La pauta pide mostrar frontend y backend desplegados en la nube, por lo que falta publicarlo (por ejemplo en S3 con CloudFront) y agregar su URL como callback y sign-out en el app client.</w:t>
      </w:r>
    </w:p>
    <w:p>
      <w:pPr>
        <w:pStyle w:val="Heading1"/>
      </w:pPr>
      <w:r>
        <w:t xml:space="preserve">7. Cumplimiento de la pauta</w:t>
      </w:r>
    </w:p>
    <w:p>
      <w:pPr>
        <w:spacing w:after="120" w:line="300"/>
      </w:pPr>
      <w:r>
        <w:t xml:space="preserve">La siguiente tabla resume la evidencia disponible para cada indicador.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626"/>
        <w:gridCol w:w="2400"/>
      </w:tblGrid>
      <w:tr>
        <w:trPr>
          <w:tblHeader/>
        </w:trPr>
        <w:tc>
          <w:tcPr>
            <w:tcW w:type="dxa" w:w="3000"/>
            <w:tcBorders>
              <w:top w:val="single" w:color="C9CFD6" w:sz="4"/>
              <w:left w:val="single" w:color="C9CFD6" w:sz="4"/>
              <w:bottom w:val="single" w:color="C9CFD6" w:sz="4"/>
              <w:right w:val="single" w:color="C9CFD6" w:sz="4"/>
            </w:tcBorders>
            <w:shd w:fill="16202E" w:val="clear"/>
            <w:tcMar>
              <w:top w:type="dxa" w:w="60"/>
              <w:left w:type="dxa" w:w="100"/>
              <w:bottom w:type="dxa" w:w="60"/>
              <w:right w:type="dxa" w:w="100"/>
            </w:tcMar>
          </w:tcPr>
          <w:p>
            <w:r>
              <w:rPr>
                <w:b/>
                <w:bCs/>
                <w:color w:val="FFFFFF"/>
                <w:sz w:val="20"/>
                <w:szCs w:val="20"/>
              </w:rPr>
              <w:t xml:space="preserve">Indicador (ponderación)</w:t>
            </w:r>
          </w:p>
        </w:tc>
        <w:tc>
          <w:tcPr>
            <w:tcW w:type="dxa" w:w="3626"/>
            <w:tcBorders>
              <w:top w:val="single" w:color="C9CFD6" w:sz="4"/>
              <w:left w:val="single" w:color="C9CFD6" w:sz="4"/>
              <w:bottom w:val="single" w:color="C9CFD6" w:sz="4"/>
              <w:right w:val="single" w:color="C9CFD6" w:sz="4"/>
            </w:tcBorders>
            <w:shd w:fill="16202E" w:val="clear"/>
            <w:tcMar>
              <w:top w:type="dxa" w:w="60"/>
              <w:left w:type="dxa" w:w="100"/>
              <w:bottom w:type="dxa" w:w="60"/>
              <w:right w:type="dxa" w:w="100"/>
            </w:tcMar>
          </w:tcPr>
          <w:p>
            <w:r>
              <w:rPr>
                <w:b/>
                <w:bCs/>
                <w:color w:val="FFFFFF"/>
                <w:sz w:val="20"/>
                <w:szCs w:val="20"/>
              </w:rPr>
              <w:t xml:space="preserve">Evidencia disponible</w:t>
            </w:r>
          </w:p>
        </w:tc>
        <w:tc>
          <w:tcPr>
            <w:tcW w:type="dxa" w:w="2400"/>
            <w:tcBorders>
              <w:top w:val="single" w:color="C9CFD6" w:sz="4"/>
              <w:left w:val="single" w:color="C9CFD6" w:sz="4"/>
              <w:bottom w:val="single" w:color="C9CFD6" w:sz="4"/>
              <w:right w:val="single" w:color="C9CFD6" w:sz="4"/>
            </w:tcBorders>
            <w:shd w:fill="16202E" w:val="clear"/>
            <w:tcMar>
              <w:top w:type="dxa" w:w="60"/>
              <w:left w:type="dxa" w:w="100"/>
              <w:bottom w:type="dxa" w:w="60"/>
              <w:right w:type="dxa" w:w="100"/>
            </w:tcMar>
          </w:tcPr>
          <w:p>
            <w:r>
              <w:rPr>
                <w:b/>
                <w:bCs/>
                <w:color w:val="FFFFFF"/>
                <w:sz w:val="20"/>
                <w:szCs w:val="20"/>
              </w:rPr>
              <w:t xml:space="preserve">Estado</w:t>
            </w:r>
          </w:p>
        </w:tc>
      </w:tr>
      <w:tr>
        <w:trPr>
          <w:tblHeader w:val="false"/>
        </w:trPr>
        <w:tc>
          <w:tcPr>
            <w:tcW w:type="dxa" w:w="30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Rutas del API Manager (13%)</w:t>
            </w:r>
          </w:p>
        </w:tc>
        <w:tc>
          <w:tcPr>
            <w:tcW w:type="dxa" w:w="3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Ruta /api/v1/{proxy+} con GET, POST, PUT, DELETE y OPTIONS (Fig. 6).</w:t>
            </w:r>
          </w:p>
        </w:tc>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Evidenciado; falta probar cada ruta</w:t>
            </w:r>
          </w:p>
        </w:tc>
      </w:tr>
      <w:tr>
        <w:trPr>
          <w:tblHeader w:val="false"/>
        </w:trPr>
        <w:tc>
          <w:tcPr>
            <w:tcW w:type="dxa" w:w="30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CORS (7%)</w:t>
            </w:r>
          </w:p>
        </w:tc>
        <w:tc>
          <w:tcPr>
            <w:tcW w:type="dxa" w:w="3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Método OPTIONS presente en la ruta.</w:t>
            </w:r>
          </w:p>
        </w:tc>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Falta captura de CORS</w:t>
            </w:r>
          </w:p>
        </w:tc>
      </w:tr>
      <w:tr>
        <w:trPr>
          <w:tblHeader w:val="false"/>
        </w:trPr>
        <w:tc>
          <w:tcPr>
            <w:tcW w:type="dxa" w:w="30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Tenant IDaaS (10%)</w:t>
            </w:r>
          </w:p>
        </w:tc>
        <w:tc>
          <w:tcPr>
            <w:tcW w:type="dxa" w:w="3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User pool y usuario de prueba confirmado (Fig. 1 y 2).</w:t>
            </w:r>
          </w:p>
        </w:tc>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Evidenciado; sin roles ni grupos</w:t>
            </w:r>
          </w:p>
        </w:tc>
      </w:tr>
      <w:tr>
        <w:trPr>
          <w:tblHeader w:val="false"/>
        </w:trPr>
        <w:tc>
          <w:tcPr>
            <w:tcW w:type="dxa" w:w="30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Aplicación en el tenant (10%)</w:t>
            </w:r>
          </w:p>
        </w:tc>
        <w:tc>
          <w:tcPr>
            <w:tcW w:type="dxa" w:w="3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App client HospitalFront con Client ID, grant y scopes (Fig. 3).</w:t>
            </w:r>
          </w:p>
        </w:tc>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Evidenciado; callback solo localhost</w:t>
            </w:r>
          </w:p>
        </w:tc>
      </w:tr>
      <w:tr>
        <w:trPr>
          <w:tblHeader w:val="false"/>
        </w:trPr>
        <w:tc>
          <w:tcPr>
            <w:tcW w:type="dxa" w:w="30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Flujo de registro e inicio de sesión (10%)</w:t>
            </w:r>
          </w:p>
        </w:tc>
        <w:tc>
          <w:tcPr>
            <w:tcW w:type="dxa" w:w="3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Inicio de sesión en Hosted UI y sesión activa en el frontend (Fig. 5 y 11).</w:t>
            </w:r>
          </w:p>
        </w:tc>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Falta registro y claims del token</w:t>
            </w:r>
          </w:p>
        </w:tc>
      </w:tr>
      <w:tr>
        <w:trPr>
          <w:tblHeader w:val="false"/>
        </w:trPr>
        <w:tc>
          <w:tcPr>
            <w:tcW w:type="dxa" w:w="30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Authorization Code con PKCE (15%)</w:t>
            </w:r>
          </w:p>
        </w:tc>
        <w:tc>
          <w:tcPr>
            <w:tcW w:type="dxa" w:w="3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App client con Authorization code grant y sin secret.</w:t>
            </w:r>
          </w:p>
        </w:tc>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Falta URL con code_challenge, state y nonce</w:t>
            </w:r>
          </w:p>
        </w:tc>
      </w:tr>
      <w:tr>
        <w:trPr>
          <w:tblHeader w:val="false"/>
        </w:trPr>
        <w:tc>
          <w:tcPr>
            <w:tcW w:type="dxa" w:w="30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Validación JWT en las rutas (20%)</w:t>
            </w:r>
          </w:p>
        </w:tc>
        <w:tc>
          <w:tcPr>
            <w:tcW w:type="dxa" w:w="3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Authorizer asociado a la ruta GET (Fig. 7).</w:t>
            </w:r>
          </w:p>
        </w:tc>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Falta issuer, audience y pruebas 401/403/200</w:t>
            </w:r>
          </w:p>
        </w:tc>
      </w:tr>
      <w:tr>
        <w:trPr>
          <w:tblHeader w:val="false"/>
        </w:trPr>
        <w:tc>
          <w:tcPr>
            <w:tcW w:type="dxa" w:w="30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Evidencia de cada ruta (15%)</w:t>
            </w:r>
          </w:p>
        </w:tc>
        <w:tc>
          <w:tcPr>
            <w:tcW w:type="dxa" w:w="3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Listado y registro de pacientes desde el frontend (Fig. 11).</w:t>
            </w:r>
          </w:p>
        </w:tc>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val="false"/>
                <w:bCs w:val="false"/>
                <w:sz w:val="20"/>
                <w:szCs w:val="20"/>
              </w:rPr>
              <w:t xml:space="preserve">Faltan llamadas con y sin token</w:t>
            </w:r>
          </w:p>
        </w:tc>
      </w:tr>
    </w:tbl>
    <w:p>
      <w:pPr>
        <w:pStyle w:val="Heading1"/>
      </w:pPr>
      <w:r>
        <w:t xml:space="preserve">8. Conclusiones</w:t>
      </w:r>
    </w:p>
    <w:p>
      <w:pPr>
        <w:spacing w:after="120" w:line="300"/>
      </w:pPr>
      <w:r>
        <w:t xml:space="preserve">La arquitectura base está desplegada: Cognito emite la identidad, API Gateway centraliza el acceso, EC2 ejecuta la API y RDS almacena los datos, con el frontend integrado de extremo a extremo. Para cubrir por completo la pauta restan las pruebas de rutas con y sin token, la configuración visible de CORS y JWT, la evidencia de PKCE y el registro de usuarios, y el despliegue del frontend en la nube.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mbria" w:cs="Cambria" w:eastAsia="Cambria" w:hAnsi="Cambria"/>
      <w:b/>
      <w:bCs/>
      <w:color w:val="16202E"/>
      <w:sz w:val="32"/>
      <w:szCs w:val="32"/>
    </w:rPr>
  </w:style>
  <w:style w:type="paragraph" w:styleId="Heading2">
    <w:name w:val="Heading 2"/>
    <w:basedOn w:val="Normal"/>
    <w:next w:val="Normal"/>
    <w:qFormat/>
    <w:pPr>
      <w:keepNext/>
      <w:spacing w:after="100" w:before="220"/>
      <w:outlineLvl w:val="1"/>
    </w:pPr>
    <w:rPr>
      <w:rFonts w:ascii="Cambria" w:cs="Cambria" w:eastAsia="Cambria" w:hAnsi="Cambria"/>
      <w:b/>
      <w:bCs/>
      <w:color w:val="B36B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9a5d52ee673787669ada884648dbd0fd539dd0.png"/><Relationship Id="rId8" Type="http://schemas.openxmlformats.org/officeDocument/2006/relationships/image" Target="media/5d174fcd24869cd43cbc1d6f4d89c9444b774b9c.png"/><Relationship Id="rId9" Type="http://schemas.openxmlformats.org/officeDocument/2006/relationships/image" Target="media/78b28ceac7fad4ddefe5806d698dfb91028491a2.png"/><Relationship Id="rId10" Type="http://schemas.openxmlformats.org/officeDocument/2006/relationships/image" Target="media/3b1fa349c735098e9144399bef24e46cc903f1ce.png"/><Relationship Id="rId11" Type="http://schemas.openxmlformats.org/officeDocument/2006/relationships/image" Target="media/090f1a8b0cbfa02a05cb610a3aac4e53774647e5.png"/><Relationship Id="rId12" Type="http://schemas.openxmlformats.org/officeDocument/2006/relationships/image" Target="media/7817422ad3fd01a3350543d9b8160a5f08f9d088.png"/><Relationship Id="rId13" Type="http://schemas.openxmlformats.org/officeDocument/2006/relationships/image" Target="media/b45ae78beec8212afcdc42631de8f8a2a0c3ab5d.png"/><Relationship Id="rId14" Type="http://schemas.openxmlformats.org/officeDocument/2006/relationships/image" Target="media/f0b054e2d5faf2be786c3a9f0b9831e06c98b0d3.png"/><Relationship Id="rId15" Type="http://schemas.openxmlformats.org/officeDocument/2006/relationships/image" Target="media/2115dc6e9cadc487987b01fae339bf2be6e3ee6e.png"/><Relationship Id="rId16" Type="http://schemas.openxmlformats.org/officeDocument/2006/relationships/image" Target="media/aa1ee9878126190406e69f6b1c1f59f708b1bc75.png"/><Relationship Id="rId17" Type="http://schemas.openxmlformats.org/officeDocument/2006/relationships/image" Target="media/cd0c9f40ea0435e3b1081a15d3aa1433ea7d452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2026-09-24T16:36:30.769Z</dcterms:created>
  <dcterms:modified xsi:type="dcterms:W3CDTF">2026-09-24T16:36:30.769Z</dcterms:modified>
</cp:coreProperties>
</file>

<file path=docProps/custom.xml><?xml version="1.0" encoding="utf-8"?>
<Properties xmlns="http://schemas.openxmlformats.org/officeDocument/2006/custom-properties" xmlns:vt="http://schemas.openxmlformats.org/officeDocument/2006/docPropsVTypes"/>
</file>