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Private Credit Intern position within Aflac Global Investments. Supporting credit analysis, responsible investing reporting and sector research inside a large insurance portfolio is exactly the kind of rigorous, long horizon work I want to start my career in, and I would be keen to contribute from day one.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my Master 1 in Finance at ESSCA School of Management and hold the Bloomberg Market Concepts certification. Using AI tools, I designed a quantitative equity strategy that achieved a Sharpe ratio of 0.91 against the SPY over a ten year backtest, and I built and operated a live trading system on Polymarket across eight exchanges, which I shut down once it showed no net edge. These projects taught me to harness AI for research while keeping a strict focus on risk, validation and honest performance measurement. This experience is directly useful for maintaining large data sets, identifying trends that inform credit decisions and producing clear written analysis.</w:t>
      </w:r>
    </w:p>
    <w:p>
      <w:pPr>
        <w:spacing w:after="200"/>
        <w:jc w:val="both"/>
      </w:pPr>
      <w:r>
        <w:rPr>
          <w:rFonts w:ascii="Arial" w:cs="Arial" w:eastAsia="Arial" w:hAnsi="Arial"/>
          <w:sz w:val="22"/>
          <w:szCs w:val="22"/>
        </w:rPr>
        <w:t xml:space="preserve">Beyond my studies, I worked as a Sales Assistant at Mecanicus, where I handled more than ten over the counter transactions between €50k and €500k and managed €3M of inventory. Since 2018 I have also run an independent reselling activity that generated over €10k of revenue at a net margin of about 50%, which taught me pricing discipline, negotiation and accountability for my own results. Structuring and pricing deals of this size taught me to read counterparties carefully and to document my reasoning, which I would apply to private credit research.</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delighted to discuss my application in an interview and thank you for your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2026-10-31T10:38:36.876Z</dcterms:created>
  <dcterms:modified xsi:type="dcterms:W3CDTF">2026-10-31T10:38:36.876Z</dcterms:modified>
</cp:coreProperties>
</file>

<file path=docProps/custom.xml><?xml version="1.0" encoding="utf-8"?>
<Properties xmlns="http://schemas.openxmlformats.org/officeDocument/2006/custom-properties" xmlns:vt="http://schemas.openxmlformats.org/officeDocument/2006/docPropsVTypes"/>
</file>