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Summer Intern, Equity Research (Buy Side) position at CIBC in Chicago. Developing and presenting an investment thesis on public companies during the internship is the kind of responsibility I am looking for, and I am drawn to the way the programme combines modelling with real investment discussion.</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Master's in Finance at ESSCA, I hold the Bloomberg Market Concepts certification and a TOEIC score of 975 out of 990. Using AI tools, I designed a quantitative equity strategy that achieved a Sharpe ratio of 0.91 against the SPY over a ten year backtest, and I built a live trading system on Polymarket across eight exchanges, which I shut down once the live P&amp;L showed no net edge. For an equity research role, these projects taught me to test an idea rigorously, to read the numbers honestly and to use AI to accelerate research without outsourcing judgement. I am comfortable with financial statements, valuation and Office tools, and I follow markets daily.</w:t>
      </w:r>
    </w:p>
    <w:p>
      <w:pPr>
        <w:spacing w:after="200"/>
        <w:jc w:val="both"/>
      </w:pPr>
      <w:r>
        <w:rPr>
          <w:rFonts w:ascii="Arial" w:cs="Arial" w:eastAsia="Arial" w:hAnsi="Arial"/>
          <w:sz w:val="22"/>
          <w:szCs w:val="22"/>
        </w:rPr>
        <w:t xml:space="preserve">Before finance, I learned to deal with counterparties directly. As a Sales Assistant at Mecanicus I handled more than ten over the counter transactions between €50k and €500k and helped manage €3M of inventory, and since 2018 I have run an independent resale activity that generated over €10k of revenue at roughly a 50% net margin. A background in competitive sport also helps me stay composed under pressure and deadlines. This gives me a practical sense of how businesses create value, which I want to apply to company analysis.</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delighted to discuss my application further and would welcome the opportunity to meet for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2026-10-31T10:38:32.230Z</dcterms:created>
  <dcterms:modified xsi:type="dcterms:W3CDTF">2026-10-31T10:38:32.230Z</dcterms:modified>
</cp:coreProperties>
</file>

<file path=docProps/custom.xml><?xml version="1.0" encoding="utf-8"?>
<Properties xmlns="http://schemas.openxmlformats.org/officeDocument/2006/custom-properties" xmlns:vt="http://schemas.openxmlformats.org/officeDocument/2006/docPropsVTypes"/>
</file>